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D53" w:rsidRPr="0094697E" w:rsidRDefault="00C84D53" w:rsidP="005A4AD5">
      <w:pPr>
        <w:spacing w:after="160" w:line="259" w:lineRule="auto"/>
        <w:ind w:right="-23"/>
        <w:jc w:val="right"/>
        <w:outlineLvl w:val="2"/>
        <w:rPr>
          <w:rFonts w:ascii="GHEA Grapalat" w:hAnsi="GHEA Grapalat" w:cs="Sylfaen"/>
          <w:sz w:val="20"/>
          <w:lang w:val="hy-AM"/>
        </w:rPr>
      </w:pPr>
      <w:bookmarkStart w:id="0" w:name="_GoBack"/>
      <w:bookmarkEnd w:id="0"/>
      <w:r w:rsidRPr="0094697E">
        <w:rPr>
          <w:rFonts w:ascii="GHEA Grapalat" w:hAnsi="GHEA Grapalat" w:cs="Sylfaen"/>
          <w:sz w:val="20"/>
          <w:lang w:val="hy-AM"/>
        </w:rPr>
        <w:t xml:space="preserve">Հավելված </w:t>
      </w:r>
    </w:p>
    <w:p w:rsidR="00C84D53" w:rsidRPr="0094697E" w:rsidRDefault="00C84D53" w:rsidP="005A4AD5">
      <w:pPr>
        <w:spacing w:after="160" w:line="240" w:lineRule="auto"/>
        <w:ind w:right="-23"/>
        <w:jc w:val="right"/>
        <w:outlineLvl w:val="2"/>
        <w:rPr>
          <w:rFonts w:ascii="GHEA Grapalat" w:hAnsi="GHEA Grapalat" w:cs="Sylfaen"/>
          <w:sz w:val="20"/>
          <w:lang w:val="hy-AM"/>
        </w:rPr>
      </w:pPr>
      <w:r w:rsidRPr="0094697E">
        <w:rPr>
          <w:rFonts w:ascii="GHEA Grapalat" w:hAnsi="GHEA Grapalat" w:cs="Sylfaen"/>
          <w:sz w:val="20"/>
          <w:lang w:val="hy-AM"/>
        </w:rPr>
        <w:t xml:space="preserve">Հայաստանի Հանրապետության </w:t>
      </w:r>
      <w:r w:rsidRPr="0094697E">
        <w:rPr>
          <w:rFonts w:ascii="GHEA Grapalat" w:hAnsi="GHEA Grapalat" w:cs="Sylfaen"/>
          <w:sz w:val="20"/>
          <w:lang w:val="hy-AM"/>
        </w:rPr>
        <w:br/>
        <w:t xml:space="preserve">Վայոց ձորի մարզի </w:t>
      </w:r>
      <w:r w:rsidRPr="0094697E">
        <w:rPr>
          <w:rFonts w:ascii="GHEA Grapalat" w:hAnsi="GHEA Grapalat" w:cs="Sylfaen"/>
          <w:sz w:val="20"/>
          <w:lang w:val="hy-AM"/>
        </w:rPr>
        <w:br/>
        <w:t xml:space="preserve">Եղեգնաձոր համայնքի ավագանու </w:t>
      </w:r>
      <w:r w:rsidRPr="0094697E">
        <w:rPr>
          <w:rFonts w:ascii="GHEA Grapalat" w:hAnsi="GHEA Grapalat" w:cs="Sylfaen"/>
          <w:sz w:val="20"/>
          <w:lang w:val="hy-AM"/>
        </w:rPr>
        <w:br/>
        <w:t>202</w:t>
      </w:r>
      <w:r w:rsidRPr="0094697E">
        <w:rPr>
          <w:rFonts w:ascii="GHEA Grapalat" w:hAnsi="GHEA Grapalat" w:cs="Sylfaen"/>
          <w:sz w:val="20"/>
        </w:rPr>
        <w:t>__</w:t>
      </w:r>
      <w:r w:rsidRPr="0094697E">
        <w:rPr>
          <w:rFonts w:ascii="GHEA Grapalat" w:hAnsi="GHEA Grapalat" w:cs="Sylfaen"/>
          <w:sz w:val="20"/>
          <w:lang w:val="hy-AM"/>
        </w:rPr>
        <w:t xml:space="preserve"> թվականի ________- ի ___-ի N ____- Ն որոշման</w:t>
      </w:r>
    </w:p>
    <w:p w:rsidR="00497B61" w:rsidRPr="0094697E" w:rsidRDefault="00497B61" w:rsidP="00497B61">
      <w:pPr>
        <w:shd w:val="clear" w:color="auto" w:fill="FFFFFF"/>
        <w:spacing w:after="0" w:line="240" w:lineRule="auto"/>
        <w:ind w:firstLine="313"/>
        <w:jc w:val="right"/>
        <w:rPr>
          <w:rFonts w:ascii="GHEA Grapalat" w:eastAsia="Times New Roman" w:hAnsi="GHEA Grapalat" w:cs="Times New Roman"/>
          <w:color w:val="000000"/>
          <w:lang w:val="hy-AM"/>
        </w:rPr>
      </w:pPr>
      <w:r w:rsidRPr="0094697E">
        <w:rPr>
          <w:rFonts w:ascii="Calibri" w:eastAsia="Times New Roman" w:hAnsi="Calibri" w:cs="Calibri"/>
          <w:color w:val="000000"/>
          <w:lang w:val="hy-AM"/>
        </w:rPr>
        <w:t> </w:t>
      </w:r>
    </w:p>
    <w:p w:rsidR="00497B61" w:rsidRPr="005A4AD5" w:rsidRDefault="00497B61" w:rsidP="00497B6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hd w:val="clear" w:color="auto" w:fill="FFFFFF"/>
          <w:lang w:val="hy-AM"/>
        </w:rPr>
      </w:pPr>
      <w:r w:rsidRPr="005A4AD5">
        <w:rPr>
          <w:rFonts w:ascii="GHEA Grapalat" w:eastAsia="Times New Roman" w:hAnsi="GHEA Grapalat" w:cs="Times New Roman"/>
          <w:b/>
          <w:bCs/>
          <w:color w:val="000000"/>
          <w:sz w:val="24"/>
          <w:shd w:val="clear" w:color="auto" w:fill="FFFFFF"/>
          <w:lang w:val="hy-AM"/>
        </w:rPr>
        <w:t>ԵՂԵԳՆԱՁՈՐ ՀԱՄԱՅՆՔԻ ՎԱՐՉԱԿԱՆ ՏԱՐԱԾՔՈՒՄ ԳՏՆՎՈՂ ՔԱՂԱՔԱՑԻԱԿԱՆ ՀՈԳԵՀԱՆԳՍՏԻ (ՀՐԱԺԵՇՏԻ) ԾԻՍԱԿԱՏԱՐՈՒԹՅԱՆ Ծ</w:t>
      </w:r>
      <w:r w:rsidR="00C84D53" w:rsidRPr="005A4AD5">
        <w:rPr>
          <w:rFonts w:ascii="GHEA Grapalat" w:eastAsia="Times New Roman" w:hAnsi="GHEA Grapalat" w:cs="Times New Roman"/>
          <w:b/>
          <w:bCs/>
          <w:color w:val="000000"/>
          <w:sz w:val="24"/>
          <w:shd w:val="clear" w:color="auto" w:fill="FFFFFF"/>
          <w:lang w:val="hy-AM"/>
        </w:rPr>
        <w:t xml:space="preserve">ԱՌԱՅՈՒԹՅՈՒՆՆԵՐԻ ԻՐԱԿԱՆԱՑՄԱՆ </w:t>
      </w:r>
      <w:r w:rsidRPr="005A4AD5">
        <w:rPr>
          <w:rFonts w:ascii="GHEA Grapalat" w:eastAsia="Times New Roman" w:hAnsi="GHEA Grapalat" w:cs="Times New Roman"/>
          <w:b/>
          <w:bCs/>
          <w:color w:val="000000"/>
          <w:sz w:val="24"/>
          <w:shd w:val="clear" w:color="auto" w:fill="FFFFFF"/>
          <w:lang w:val="hy-AM"/>
        </w:rPr>
        <w:t>ԿԱՄ ՄԱՏՈՒՑՄԱՆ ՀԱՄԱՐ ՆԱԽԱՏԵՍՎԱԾ ՇԵՆՔԵՐԻՆ ԵՎ ՇԻՆՈՒԹՅՈՒՆՆԵՐԻՆ ՆԵՐԿԱՅԱՑՎՈՂ ՍԱՀՄԱՆԱՓԱԿՈՒՄՆԵՐԸ, ՊԱՀԱՆՋՆԵՐ</w:t>
      </w:r>
      <w:r w:rsidR="00C84D53" w:rsidRPr="005A4AD5">
        <w:rPr>
          <w:rFonts w:ascii="GHEA Grapalat" w:eastAsia="Times New Roman" w:hAnsi="GHEA Grapalat" w:cs="Times New Roman"/>
          <w:b/>
          <w:bCs/>
          <w:color w:val="000000"/>
          <w:sz w:val="24"/>
          <w:shd w:val="clear" w:color="auto" w:fill="FFFFFF"/>
          <w:lang w:val="hy-AM"/>
        </w:rPr>
        <w:t>Ն</w:t>
      </w:r>
      <w:r w:rsidRPr="005A4AD5">
        <w:rPr>
          <w:rFonts w:ascii="GHEA Grapalat" w:eastAsia="Times New Roman" w:hAnsi="GHEA Grapalat" w:cs="Times New Roman"/>
          <w:b/>
          <w:bCs/>
          <w:color w:val="000000"/>
          <w:sz w:val="24"/>
          <w:shd w:val="clear" w:color="auto" w:fill="FFFFFF"/>
          <w:lang w:val="hy-AM"/>
        </w:rPr>
        <w:t xml:space="preserve"> </w:t>
      </w:r>
      <w:r w:rsidR="00C84D53" w:rsidRPr="005A4AD5">
        <w:rPr>
          <w:rFonts w:ascii="GHEA Grapalat" w:eastAsia="Times New Roman" w:hAnsi="GHEA Grapalat" w:cs="Times New Roman"/>
          <w:b/>
          <w:bCs/>
          <w:color w:val="000000"/>
          <w:sz w:val="24"/>
          <w:shd w:val="clear" w:color="auto" w:fill="FFFFFF"/>
          <w:lang w:val="hy-AM"/>
        </w:rPr>
        <w:t>ՈՒ</w:t>
      </w:r>
      <w:r w:rsidRPr="005A4AD5">
        <w:rPr>
          <w:rFonts w:ascii="GHEA Grapalat" w:eastAsia="Times New Roman" w:hAnsi="GHEA Grapalat" w:cs="Times New Roman"/>
          <w:b/>
          <w:bCs/>
          <w:color w:val="000000"/>
          <w:sz w:val="24"/>
          <w:shd w:val="clear" w:color="auto" w:fill="FFFFFF"/>
          <w:lang w:val="hy-AM"/>
        </w:rPr>
        <w:t xml:space="preserve"> ՊԱՅՄԱՆՆԵՐԸ</w:t>
      </w:r>
    </w:p>
    <w:p w:rsidR="00497B61" w:rsidRPr="005A4AD5" w:rsidRDefault="00497B61" w:rsidP="00497B61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5A4AD5">
        <w:rPr>
          <w:rFonts w:ascii="Calibri" w:eastAsia="Times New Roman" w:hAnsi="Calibri" w:cs="Calibri"/>
          <w:color w:val="000000"/>
          <w:sz w:val="24"/>
          <w:lang w:val="hy-AM"/>
        </w:rPr>
        <w:t> </w:t>
      </w:r>
    </w:p>
    <w:p w:rsidR="00497B61" w:rsidRPr="00D57217" w:rsidRDefault="00497B61" w:rsidP="00497B61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i/>
          <w:color w:val="000000"/>
          <w:sz w:val="24"/>
          <w:shd w:val="clear" w:color="auto" w:fill="FFFFFF"/>
          <w:lang w:val="hy-AM"/>
        </w:rPr>
      </w:pPr>
      <w:r w:rsidRPr="00D57217">
        <w:rPr>
          <w:rFonts w:ascii="GHEA Grapalat" w:eastAsia="Times New Roman" w:hAnsi="GHEA Grapalat" w:cs="Times New Roman"/>
          <w:b/>
          <w:bCs/>
          <w:i/>
          <w:color w:val="000000"/>
          <w:sz w:val="24"/>
          <w:shd w:val="clear" w:color="auto" w:fill="FFFFFF"/>
          <w:lang w:val="hy-AM"/>
        </w:rPr>
        <w:t>ԸՆԴՀԱՆՈՒՐ ԴՐՈՒՅԹՆԵՐ</w:t>
      </w:r>
    </w:p>
    <w:p w:rsidR="00497B61" w:rsidRPr="00D57217" w:rsidRDefault="00497B61" w:rsidP="00497B61">
      <w:pPr>
        <w:shd w:val="clear" w:color="auto" w:fill="FFFFFF"/>
        <w:spacing w:after="0" w:line="240" w:lineRule="auto"/>
        <w:ind w:firstLine="313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Calibri" w:eastAsia="Times New Roman" w:hAnsi="Calibri" w:cs="Calibri"/>
          <w:color w:val="000000"/>
          <w:sz w:val="24"/>
          <w:lang w:val="hy-AM"/>
        </w:rPr>
        <w:t> 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bCs/>
          <w:color w:val="000000"/>
          <w:sz w:val="24"/>
          <w:lang w:val="hy-AM"/>
        </w:rPr>
        <w:t>1.</w:t>
      </w:r>
      <w:r w:rsidRPr="00D57217">
        <w:rPr>
          <w:rFonts w:ascii="Calibri" w:eastAsia="Times New Roman" w:hAnsi="Calibri" w:cs="Calibri"/>
          <w:color w:val="000000"/>
          <w:sz w:val="24"/>
          <w:lang w:val="hy-AM"/>
        </w:rPr>
        <w:t> </w:t>
      </w:r>
      <w:r w:rsidRPr="00D57217">
        <w:rPr>
          <w:rFonts w:ascii="GHEA Grapalat" w:eastAsia="Times New Roman" w:hAnsi="GHEA Grapalat" w:cs="Arial Unicode"/>
          <w:color w:val="000000"/>
          <w:sz w:val="24"/>
          <w:lang w:val="hy-AM"/>
        </w:rPr>
        <w:t>Սույնով սահմանվում են</w:t>
      </w:r>
      <w:r w:rsidR="00EA0741" w:rsidRPr="005A4AD5">
        <w:rPr>
          <w:rFonts w:ascii="GHEA Grapalat" w:eastAsia="Times New Roman" w:hAnsi="GHEA Grapalat" w:cs="Arial Unicode"/>
          <w:color w:val="000000"/>
          <w:sz w:val="24"/>
          <w:lang w:val="hy-AM"/>
        </w:rPr>
        <w:t xml:space="preserve"> ՀՀ Վայոց ձորի մարզի</w:t>
      </w:r>
      <w:r w:rsidRPr="00D57217">
        <w:rPr>
          <w:rFonts w:ascii="GHEA Grapalat" w:eastAsia="Times New Roman" w:hAnsi="GHEA Grapalat" w:cs="Arial Unicode"/>
          <w:color w:val="000000"/>
          <w:sz w:val="24"/>
          <w:lang w:val="hy-AM"/>
        </w:rPr>
        <w:t xml:space="preserve"> Եղեգնաձոր համայնքի</w:t>
      </w:r>
      <w:r w:rsidR="00590F42" w:rsidRPr="005A4AD5">
        <w:rPr>
          <w:rFonts w:ascii="GHEA Grapalat" w:eastAsia="Times New Roman" w:hAnsi="GHEA Grapalat" w:cs="Arial Unicode"/>
          <w:color w:val="000000"/>
          <w:sz w:val="24"/>
          <w:lang w:val="hy-AM"/>
        </w:rPr>
        <w:t xml:space="preserve"> (այսուհետ՝ Համայնք)</w:t>
      </w:r>
      <w:r w:rsidRPr="00D57217">
        <w:rPr>
          <w:rFonts w:ascii="GHEA Grapalat" w:eastAsia="Times New Roman" w:hAnsi="GHEA Grapalat" w:cs="Arial Unicode"/>
          <w:color w:val="000000"/>
          <w:sz w:val="24"/>
          <w:lang w:val="hy-AM"/>
        </w:rPr>
        <w:t xml:space="preserve"> վարչական տարածքում գտնվող քաղաքացիական հոգեհանգստի (հրաժեշտի) ծիսակատարության</w:t>
      </w:r>
      <w:r w:rsidR="00EA0741" w:rsidRPr="00D57217">
        <w:rPr>
          <w:rFonts w:ascii="GHEA Grapalat" w:eastAsia="Times New Roman" w:hAnsi="GHEA Grapalat" w:cs="Arial Unicode"/>
          <w:color w:val="000000"/>
          <w:sz w:val="24"/>
          <w:lang w:val="hy-AM"/>
        </w:rPr>
        <w:t xml:space="preserve"> ծառայությունների իրականացման </w:t>
      </w:r>
      <w:r w:rsidRPr="00D57217">
        <w:rPr>
          <w:rFonts w:ascii="GHEA Grapalat" w:eastAsia="Times New Roman" w:hAnsi="GHEA Grapalat" w:cs="Arial Unicode"/>
          <w:color w:val="000000"/>
          <w:sz w:val="24"/>
          <w:lang w:val="hy-AM"/>
        </w:rPr>
        <w:t>կամ մատուցման համար նախատեսված շենքերին և շինություններին (այսուհետ՝ քաղաքացիական հոգեհանգս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տի իրականացման սրահ) ներկայացվող սահմանափակումները, պահանջները և պայմանները: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bCs/>
          <w:color w:val="000000"/>
          <w:sz w:val="24"/>
          <w:lang w:val="hy-AM"/>
        </w:rPr>
        <w:t>2.</w:t>
      </w:r>
      <w:r w:rsidRPr="00D57217">
        <w:rPr>
          <w:rFonts w:ascii="Calibri" w:eastAsia="Times New Roman" w:hAnsi="Calibri" w:cs="Calibri"/>
          <w:color w:val="000000"/>
          <w:sz w:val="24"/>
          <w:lang w:val="hy-AM"/>
        </w:rPr>
        <w:t> </w:t>
      </w:r>
      <w:r w:rsidRPr="00D57217">
        <w:rPr>
          <w:rFonts w:ascii="GHEA Grapalat" w:eastAsia="Times New Roman" w:hAnsi="GHEA Grapalat" w:cs="Arial Unicode"/>
          <w:color w:val="000000"/>
          <w:sz w:val="24"/>
          <w:lang w:val="hy-AM"/>
        </w:rPr>
        <w:t xml:space="preserve">Քաղաքացիական հոգեհանգստի ծառայություններ իրականացնելու կամ մատուցելու թույլտվությունը տալիս է </w:t>
      </w:r>
      <w:r w:rsidR="00590F42" w:rsidRPr="005A4AD5">
        <w:rPr>
          <w:rFonts w:ascii="GHEA Grapalat" w:eastAsia="Times New Roman" w:hAnsi="GHEA Grapalat" w:cs="Arial Unicode"/>
          <w:color w:val="000000"/>
          <w:sz w:val="24"/>
          <w:lang w:val="hy-AM"/>
        </w:rPr>
        <w:t>Հ</w:t>
      </w:r>
      <w:r w:rsidR="00EA0741" w:rsidRPr="005A4AD5">
        <w:rPr>
          <w:rFonts w:ascii="GHEA Grapalat" w:eastAsia="Times New Roman" w:hAnsi="GHEA Grapalat" w:cs="Arial Unicode"/>
          <w:color w:val="000000"/>
          <w:sz w:val="24"/>
          <w:lang w:val="hy-AM"/>
        </w:rPr>
        <w:t>ամայնքի ղեկավարը</w:t>
      </w:r>
      <w:r w:rsidRPr="00D57217">
        <w:rPr>
          <w:rFonts w:ascii="GHEA Grapalat" w:eastAsia="Times New Roman" w:hAnsi="GHEA Grapalat" w:cs="Arial Unicode"/>
          <w:color w:val="000000"/>
          <w:sz w:val="24"/>
          <w:lang w:val="hy-AM"/>
        </w:rPr>
        <w:t>՝ ընթացիկ տարվա</w:t>
      </w:r>
      <w:r w:rsidRPr="00D57217">
        <w:rPr>
          <w:rFonts w:ascii="Calibri" w:eastAsia="Times New Roman" w:hAnsi="Calibri" w:cs="Calibri"/>
          <w:color w:val="000000"/>
          <w:sz w:val="24"/>
          <w:lang w:val="hy-AM"/>
        </w:rPr>
        <w:t> </w:t>
      </w:r>
      <w:r w:rsidRPr="00D57217">
        <w:rPr>
          <w:rFonts w:ascii="GHEA Grapalat" w:eastAsia="Times New Roman" w:hAnsi="GHEA Grapalat" w:cs="Arial Unicode"/>
          <w:color w:val="000000"/>
          <w:sz w:val="24"/>
          <w:lang w:val="hy-AM"/>
        </w:rPr>
        <w:t>տեղական տուրքի վճարման անդորրագրի հիման վրա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, եթե քաղաքացիական հոգեհանգստի իրականացման սրահը թույլտվության տրամադրման պահին (ինչպես առաջին, այնպես էլ հաջորդ անգամ) համապատասխանում է սույն հավելվածով սահմանված սահմանափակումներին, պահանջներին և պայմաններին: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bCs/>
          <w:color w:val="000000"/>
          <w:sz w:val="24"/>
          <w:lang w:val="hy-AM"/>
        </w:rPr>
        <w:t>3.</w:t>
      </w:r>
      <w:r w:rsidRPr="00D57217">
        <w:rPr>
          <w:rFonts w:ascii="Calibri" w:eastAsia="Times New Roman" w:hAnsi="Calibri" w:cs="Calibri"/>
          <w:color w:val="000000"/>
          <w:sz w:val="24"/>
          <w:lang w:val="hy-AM"/>
        </w:rPr>
        <w:t> </w:t>
      </w:r>
      <w:r w:rsidRPr="00D57217">
        <w:rPr>
          <w:rFonts w:ascii="GHEA Grapalat" w:eastAsia="Times New Roman" w:hAnsi="GHEA Grapalat" w:cs="Arial Unicode"/>
          <w:color w:val="000000"/>
          <w:sz w:val="24"/>
          <w:lang w:val="hy-AM"/>
        </w:rPr>
        <w:t>Առանց թույլտվության քաղաքացիական հոգեհանգ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ստի (հրաժեշտի) ծիսակատարության ծառայությունների իրականացումը կամ մատուցումը առաջացնում է Հայաստանի Հանրապետության վարչական իրավախախտումների վերաբերյալ օրենսգրքով նախատեսված վարչական պատասխանատվություն: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Calibri" w:eastAsia="Times New Roman" w:hAnsi="Calibri" w:cs="Calibri"/>
          <w:color w:val="000000"/>
          <w:sz w:val="24"/>
          <w:lang w:val="hy-AM"/>
        </w:rPr>
        <w:t> </w:t>
      </w:r>
    </w:p>
    <w:p w:rsidR="00497B61" w:rsidRPr="00D57217" w:rsidRDefault="00497B61" w:rsidP="005A4AD5">
      <w:pPr>
        <w:spacing w:after="0" w:line="240" w:lineRule="auto"/>
        <w:ind w:right="-23" w:firstLine="567"/>
        <w:jc w:val="center"/>
        <w:rPr>
          <w:rFonts w:ascii="GHEA Grapalat" w:eastAsia="Times New Roman" w:hAnsi="GHEA Grapalat" w:cs="Times New Roman"/>
          <w:b/>
          <w:bCs/>
          <w:i/>
          <w:color w:val="000000"/>
          <w:sz w:val="24"/>
          <w:shd w:val="clear" w:color="auto" w:fill="FFFFFF"/>
          <w:lang w:val="hy-AM"/>
        </w:rPr>
      </w:pPr>
      <w:r w:rsidRPr="00D57217">
        <w:rPr>
          <w:rFonts w:ascii="GHEA Grapalat" w:eastAsia="Times New Roman" w:hAnsi="GHEA Grapalat" w:cs="Times New Roman"/>
          <w:b/>
          <w:bCs/>
          <w:i/>
          <w:color w:val="000000"/>
          <w:sz w:val="24"/>
          <w:shd w:val="clear" w:color="auto" w:fill="FFFFFF"/>
          <w:lang w:val="hy-AM"/>
        </w:rPr>
        <w:t>ՔԱՂԱՔԱՑԻԱԿԱՆ ՀՈԳԵՀԱՆԳՍՏԻ</w:t>
      </w:r>
      <w:r w:rsidR="00590F42" w:rsidRPr="005A4AD5">
        <w:rPr>
          <w:rFonts w:ascii="GHEA Grapalat" w:eastAsia="Times New Roman" w:hAnsi="GHEA Grapalat" w:cs="Times New Roman"/>
          <w:b/>
          <w:bCs/>
          <w:i/>
          <w:color w:val="000000"/>
          <w:sz w:val="24"/>
          <w:shd w:val="clear" w:color="auto" w:fill="FFFFFF"/>
          <w:lang w:val="hy-AM"/>
        </w:rPr>
        <w:t xml:space="preserve"> </w:t>
      </w:r>
      <w:r w:rsidRPr="00D57217">
        <w:rPr>
          <w:rFonts w:ascii="GHEA Grapalat" w:eastAsia="Times New Roman" w:hAnsi="GHEA Grapalat" w:cs="Times New Roman"/>
          <w:b/>
          <w:bCs/>
          <w:i/>
          <w:color w:val="000000"/>
          <w:sz w:val="24"/>
          <w:shd w:val="clear" w:color="auto" w:fill="FFFFFF"/>
          <w:lang w:val="hy-AM"/>
        </w:rPr>
        <w:t>ԻՐԱԿԱՆԱՑՄԱՆ</w:t>
      </w:r>
      <w:r w:rsidR="00590F42" w:rsidRPr="005A4AD5">
        <w:rPr>
          <w:rFonts w:ascii="GHEA Grapalat" w:eastAsia="Times New Roman" w:hAnsi="GHEA Grapalat" w:cs="Times New Roman"/>
          <w:b/>
          <w:bCs/>
          <w:i/>
          <w:color w:val="000000"/>
          <w:sz w:val="24"/>
          <w:shd w:val="clear" w:color="auto" w:fill="FFFFFF"/>
          <w:lang w:val="hy-AM"/>
        </w:rPr>
        <w:t xml:space="preserve"> </w:t>
      </w:r>
      <w:r w:rsidRPr="00D57217">
        <w:rPr>
          <w:rFonts w:ascii="GHEA Grapalat" w:eastAsia="Times New Roman" w:hAnsi="GHEA Grapalat" w:cs="Times New Roman"/>
          <w:b/>
          <w:bCs/>
          <w:i/>
          <w:color w:val="000000"/>
          <w:sz w:val="24"/>
          <w:shd w:val="clear" w:color="auto" w:fill="FFFFFF"/>
          <w:lang w:val="hy-AM"/>
        </w:rPr>
        <w:t>ՍՐԱՀՆԵՐԻՆ ՆԵՐԿԱՅԱՑՎՈՂ ՍԱՀՄԱՆԱՓԱԿՈՒՄՆԵՐԸ, ՊԱՀԱՆՋՆԵՐԸ ԵՎ ՊԱՅՄԱՆՆԵՐԸ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Calibri" w:eastAsia="Times New Roman" w:hAnsi="Calibri" w:cs="Calibri"/>
          <w:color w:val="000000"/>
          <w:sz w:val="24"/>
          <w:lang w:val="hy-AM"/>
        </w:rPr>
        <w:t> 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bCs/>
          <w:color w:val="000000"/>
          <w:sz w:val="24"/>
          <w:lang w:val="hy-AM"/>
        </w:rPr>
        <w:t>4.</w:t>
      </w:r>
      <w:r w:rsidRPr="00D57217">
        <w:rPr>
          <w:rFonts w:ascii="Calibri" w:eastAsia="Times New Roman" w:hAnsi="Calibri" w:cs="Calibri"/>
          <w:color w:val="000000"/>
          <w:sz w:val="24"/>
          <w:lang w:val="hy-AM"/>
        </w:rPr>
        <w:t> </w:t>
      </w:r>
      <w:r w:rsidRPr="00D57217">
        <w:rPr>
          <w:rFonts w:ascii="GHEA Grapalat" w:eastAsia="Times New Roman" w:hAnsi="GHEA Grapalat" w:cs="Arial Unicode"/>
          <w:color w:val="000000"/>
          <w:sz w:val="24"/>
          <w:lang w:val="hy-AM"/>
        </w:rPr>
        <w:t>Քաղաքացիական հոգեհանգստի իրականացման սրահները կարող են գտնվել՝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1) ուսումնական, կրթական, մշակութային, առողջապահական, մարզական և սոցիալական կազմակերպություններից, հիմնարկներից, հաստատություններից, հյուրանոցներից, բազմաբնակարան շենքերից, պետական կառավարման և</w:t>
      </w:r>
      <w:r w:rsidR="00590F42" w:rsidRPr="005A4AD5">
        <w:rPr>
          <w:rFonts w:ascii="Calibri" w:eastAsia="Times New Roman" w:hAnsi="Calibri" w:cs="Calibri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տեղական</w:t>
      </w:r>
      <w:r w:rsidR="00590F42" w:rsidRPr="005A4AD5">
        <w:rPr>
          <w:rFonts w:ascii="Calibri" w:eastAsia="Times New Roman" w:hAnsi="Calibri" w:cs="Calibri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ինքնակառավարման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մարմինների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,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օտարերկրյա</w:t>
      </w:r>
      <w:r w:rsidR="00590F42"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պետությունների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և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միջազգային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կազմակերպությունների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կամ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դրանց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ներկայացուցչությունների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վարչական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շենքերից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,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զբոսայգիներից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,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այգիներից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,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պուրակներից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,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հանգստի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GHEA Grapalat"/>
          <w:color w:val="000000"/>
          <w:sz w:val="24"/>
          <w:lang w:val="hy-AM"/>
        </w:rPr>
        <w:t>կամ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ժամանցի համար նախատեսված այլ վայրերից, հանրային սննդի օբյեկտներից նվազագույնը 100</w:t>
      </w:r>
      <w:r w:rsidR="00590F42"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մ</w:t>
      </w:r>
      <w:r w:rsidR="00590F42"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>ետր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, իսկ անհատական բնակելի տներից նվազագույնը 70</w:t>
      </w:r>
      <w:r w:rsidR="00590F42"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մ</w:t>
      </w:r>
      <w:r w:rsidR="00590F42"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>ետր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հեռավորության վրա բացառությամբ, եթե դրանք գտնվելու են՝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lastRenderedPageBreak/>
        <w:t>ա. հիվանդանոցներում գործող ախտաբանաանատոմիական բաժիններում կամ բաժանմու</w:t>
      </w:r>
      <w:r w:rsidR="00590F42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նքներում,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բ. գերեզմանատների զբաղեցված հողամասի սահմանից մինչև 50</w:t>
      </w:r>
      <w:r w:rsidR="00590F42"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մ</w:t>
      </w:r>
      <w:r w:rsidR="00590F42"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>ետր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հեռավորության վրա, </w:t>
      </w:r>
    </w:p>
    <w:p w:rsidR="00497B61" w:rsidRPr="005A4AD5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գ. միայն անհատական բնակելի տներից և (կամ) հանրային սննդի օբյեկտներից մինչև սույն կետի առաջին ենթակետում նշված հեռավորությունների վրա և առկա է դրանց սեփականատերերի գրավոր համաձայնությունը</w:t>
      </w:r>
      <w:r w:rsidR="00590F42"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>,</w:t>
      </w:r>
    </w:p>
    <w:p w:rsidR="00497B61" w:rsidRPr="005A4AD5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դ. </w:t>
      </w:r>
      <w:r w:rsidR="00590F42"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>համայնքի</w:t>
      </w:r>
      <w:r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տարածքում գործող եկեղեցիների: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bCs/>
          <w:color w:val="000000"/>
          <w:sz w:val="24"/>
          <w:lang w:val="hy-AM"/>
        </w:rPr>
        <w:t>5.</w:t>
      </w:r>
      <w:r w:rsidRPr="00D57217">
        <w:rPr>
          <w:rFonts w:ascii="Calibri" w:eastAsia="Times New Roman" w:hAnsi="Calibri" w:cs="Calibri"/>
          <w:color w:val="000000"/>
          <w:sz w:val="24"/>
          <w:lang w:val="hy-AM"/>
        </w:rPr>
        <w:t> </w:t>
      </w:r>
      <w:r w:rsidRPr="00D57217">
        <w:rPr>
          <w:rFonts w:ascii="GHEA Grapalat" w:eastAsia="Times New Roman" w:hAnsi="GHEA Grapalat" w:cs="Arial Unicode"/>
          <w:color w:val="000000"/>
          <w:sz w:val="24"/>
          <w:lang w:val="hy-AM"/>
        </w:rPr>
        <w:t>Քաղաքացիական հոգեհանգստի իրականացման սրահները պետք է բավարարեն հետևյալ պահանջներին և պայմաններին՝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1) Քաղաքացիական հոգեհանգստի իրականացման սրահները պետք է ունենան՝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ա. նախասրահ՝ հանդերձարանով,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բ. հանգուցյալի մարմնի </w:t>
      </w:r>
      <w:r w:rsidR="009B3DC4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կամ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աճյունի տեղադրման համար նախատեսված սենյակ,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գ. շուրջօրյա աշխատանքային ռեժիմով դիակների պահման համար առանձնացված վայր (տարածք),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դ. սանհանգույց (առնվազն 2 հատ, որից մեկը պետք է մատչելի լինի տեղաշարժման դժվարություններ ունեցող անձանց համար),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ե. Հայաստանի Հանրապետության օրենսդրությամբ նախատեսված առաջին բժշկական օգնության համար անհրաժեշտ դեղորայքով և կահավորմամբ սենյակ,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զ. հուղարկավորությունը ստանձնողների ընդունման համար նախատեսված առանձ</w:t>
      </w:r>
      <w:r w:rsidR="00495D11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ին մուտքով գրասենյակային տարածք.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2) քաղաքացիական հոգեհանգստի իրականացման սրահը պետք է մատչելի լինի տեղաշարժման դժվարություններ ունեցող անձանց համար՝ առնվազն մինչև հանգուցյալի մարմնի կամ աճյունի տեղադրման համար նախատեսված սենյակ, </w:t>
      </w:r>
      <w:r w:rsidR="00495D11"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>սանհանգույց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և առաջին բժշկական օգնութ</w:t>
      </w:r>
      <w:r w:rsidR="00495D11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յան սենյակ մուտք գործելու համար.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3) քաղաքացիական հոգեհանգստի իրականացման սրահում հանգուցյալի մարմնի կամ աճյունի տեղադրման համար նախատեսված երկու և ավելի սենյակի առկայության դեպքում յուրաքանչյուրը պետք է ունենա առանձին </w:t>
      </w:r>
      <w:r w:rsidR="00495D11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մուտք, նախասրահ, սանհանգույցներ.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4) քաղաքացիական հոգեհանգստի իրականացման սրահով զբաղեցված և դրա սպասարկման համար անհրաժեշտ հողատարածքը՝ ներառյալ սույն կետի 6-րդ ենթակետով նախատեսված տարածքը պետք է ունենա առնվազն երկու մետր բարձրությամբ անթափանց նյութերով կառուցված ցանկապատ կամ պարիսպ:</w:t>
      </w:r>
      <w:r w:rsidR="006F073D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Ընդ որում քաղաքացիական հոգեհանգստի իրականացման</w:t>
      </w:r>
      <w:r w:rsidR="00495D11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ծառայությունները իրականացվում 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կամ մատուցվում են միայն սրահի ցանկապատված տարածքում այնպես, որ սրահի տարածքից դուրս գտնվող անձանց համար սգո պարագաները, այդ թվում՝ ծաղիկները և ծաղկեպսակները տեսանելի չլինե</w:t>
      </w:r>
      <w:r w:rsidR="006F073D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ն՝ բացառությամբ ավտոկայանատեղիի.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5) Հայաստանի Հանրապետության կառավարության 2002 թվականի մարտի 19-ի N 270 որոշման պահանջներին համապատասխան և հասցեի նշմամբ ցուցանակներ, ընդ որում ցուցանակները պետք է լինեն լուսավորված</w:t>
      </w:r>
      <w:r w:rsidR="006F073D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.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6) քաղաքացիական հոգեհանգստի իրականացման սրահի տարածքը պետք է ունենա յու</w:t>
      </w:r>
      <w:r w:rsidR="006F073D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րաքանչյուր հանգուցյալի մարմնի 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կամ աճյունի տեղադրման համար նախատեսված մեկ սենյակի հաշվարկով առնվազն 20 ավտոմեքենայի համար նախատեսված կայանատեղ</w:t>
      </w:r>
      <w:r w:rsidR="006F073D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.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lastRenderedPageBreak/>
        <w:t>7) քաղաքացիական հոգեհանգստի իրականացման սրահին կից պետք է լինի հանգուցյալի մարմնի կամ աճյունի տեղադրման համար նախատեսված մեկ սենյակի հաշվարկով առնվազն 100 քմ մակերեսով տարածք՝ քաղաքացիական հոգեհանգստի արարողությանը մասնակցող անձանց գտնվելու համար՝ ապահովված աղբամաններով, լուսավորությամբ և ծխելու համար նա</w:t>
      </w:r>
      <w:r w:rsidR="006F073D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խատեսված (առանձնացված) հատվածով.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8) քաղաքացիական հոգեհանգստի իրականացման սրահը պետք է ունենա ջեռուցման, հովացման, օդափոխ</w:t>
      </w:r>
      <w:r w:rsidR="006F073D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ության, իսկ հանգուցյալի մարմնի 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կամ աճյունի տեղադրման համար նախատեսված սենյակում նաև ե</w:t>
      </w:r>
      <w:r w:rsidR="006F073D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րաժշտության ձայնային համակարգեր.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9) քաղաքացիական հոգեհանգստի սրահը շահագործողը պետք է ունենա բժշկի որակավորում ունեցող աշխատակ</w:t>
      </w:r>
      <w:r w:rsidR="006F073D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ից կամ համապատասխան պայմանագիր </w:t>
      </w:r>
      <w:r w:rsidR="006F073D"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>Համայնքում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գործող բժշկական հաստատությունների հետ՝ քաղաքացիական հոգեհանգստի (հրաժեշտի) ծիսակատարության ծառայությունների իրականացման կամ մատուցման ողջ ժամանակահատվածում բժշկի ներկայությունը ապահովելու համար՝ անհրաժեշտության դեպքում առաջին բժշկական օ</w:t>
      </w:r>
      <w:r w:rsidR="006F073D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գնություն ցուցաբերելու նպատակով.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10) քաղաքացիական հոգեհանգստի</w:t>
      </w:r>
      <w:r w:rsidR="006F073D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սրահ</w:t>
      </w:r>
      <w:r w:rsidR="006F073D" w:rsidRP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>ը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շահագործողը քաղաքացիական հոգեհանգստի սրահում ծառայությունների իրականացման կամ մատուցման ընթացքում պետք է ապահովի Հայաստանի Հանրապետության օրենսդրությամբ նախատեսված քաղաքաշինական, հակահրդեհային, սանիտարահիգիե</w:t>
      </w:r>
      <w:r w:rsidR="005A4AD5"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նիկ (սանիտարահամաճարակաբանական) 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նորմերի</w:t>
      </w:r>
      <w:r w:rsidR="005A4AD5">
        <w:rPr>
          <w:rFonts w:ascii="GHEA Grapalat" w:eastAsia="Times New Roman" w:hAnsi="GHEA Grapalat" w:cs="Times New Roman"/>
          <w:color w:val="000000"/>
          <w:sz w:val="24"/>
          <w:lang w:val="hy-AM"/>
        </w:rPr>
        <w:t xml:space="preserve"> 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ու կանոնների պահպանումը:</w:t>
      </w:r>
    </w:p>
    <w:p w:rsidR="00497B61" w:rsidRPr="00D57217" w:rsidRDefault="00497B61" w:rsidP="005A4AD5">
      <w:pPr>
        <w:shd w:val="clear" w:color="auto" w:fill="FFFFFF"/>
        <w:spacing w:after="0" w:line="240" w:lineRule="auto"/>
        <w:ind w:right="-23" w:firstLine="567"/>
        <w:jc w:val="both"/>
        <w:rPr>
          <w:rFonts w:ascii="GHEA Grapalat" w:eastAsia="Times New Roman" w:hAnsi="GHEA Grapalat" w:cs="Times New Roman"/>
          <w:color w:val="000000"/>
          <w:sz w:val="24"/>
          <w:lang w:val="hy-AM"/>
        </w:rPr>
      </w:pPr>
      <w:r w:rsidRPr="00D57217">
        <w:rPr>
          <w:rFonts w:ascii="Calibri" w:eastAsia="Times New Roman" w:hAnsi="Calibri" w:cs="Calibri"/>
          <w:bCs/>
          <w:color w:val="000000"/>
          <w:sz w:val="24"/>
          <w:lang w:val="hy-AM"/>
        </w:rPr>
        <w:t> </w:t>
      </w:r>
      <w:r w:rsidRPr="00D57217">
        <w:rPr>
          <w:rFonts w:ascii="GHEA Grapalat" w:eastAsia="Times New Roman" w:hAnsi="GHEA Grapalat" w:cs="Arial Unicode"/>
          <w:bCs/>
          <w:color w:val="000000"/>
          <w:sz w:val="24"/>
          <w:lang w:val="hy-AM"/>
        </w:rPr>
        <w:t>6.</w:t>
      </w:r>
      <w:r w:rsidRPr="00D57217">
        <w:rPr>
          <w:rFonts w:ascii="Calibri" w:eastAsia="Times New Roman" w:hAnsi="Calibri" w:cs="Calibri"/>
          <w:color w:val="000000"/>
          <w:sz w:val="24"/>
          <w:lang w:val="hy-AM"/>
        </w:rPr>
        <w:t> </w:t>
      </w:r>
      <w:r w:rsidRPr="00D57217">
        <w:rPr>
          <w:rFonts w:ascii="GHEA Grapalat" w:eastAsia="Times New Roman" w:hAnsi="GHEA Grapalat" w:cs="Arial Unicode"/>
          <w:color w:val="000000"/>
          <w:sz w:val="24"/>
          <w:lang w:val="hy-AM"/>
        </w:rPr>
        <w:t>Քաղաքացիական հոգեհանգստ</w:t>
      </w:r>
      <w:r w:rsidRPr="00D57217">
        <w:rPr>
          <w:rFonts w:ascii="GHEA Grapalat" w:eastAsia="Times New Roman" w:hAnsi="GHEA Grapalat" w:cs="Times New Roman"/>
          <w:color w:val="000000"/>
          <w:sz w:val="24"/>
          <w:lang w:val="hy-AM"/>
        </w:rPr>
        <w:t>ի իրականացման սրահը կարող է ունենալ նաև հոգևորականի համար նախատեսված սենյակ, ինչպես նաև առանձին մուտքով ծաղիկների և սգո պարագաների վաճառքի սրահ, որի ցուցափեղկերը և մուտքերը պարտադիր պետք է լինեն վարագուրապատված կամ մգավորված ապակիներով այնպես, որ վաճառվող ապրանքների նմուշները դրսից տեսանելի չլինեն:</w:t>
      </w:r>
    </w:p>
    <w:sectPr w:rsidR="00497B61" w:rsidRPr="00D57217" w:rsidSect="005A4AD5">
      <w:pgSz w:w="12240" w:h="15840"/>
      <w:pgMar w:top="709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61"/>
    <w:rsid w:val="00495D11"/>
    <w:rsid w:val="00497B61"/>
    <w:rsid w:val="004A0D94"/>
    <w:rsid w:val="004B70E4"/>
    <w:rsid w:val="00535FBC"/>
    <w:rsid w:val="00590F42"/>
    <w:rsid w:val="005A4AD5"/>
    <w:rsid w:val="006F073D"/>
    <w:rsid w:val="00762AD8"/>
    <w:rsid w:val="008147D7"/>
    <w:rsid w:val="0094697E"/>
    <w:rsid w:val="00997D48"/>
    <w:rsid w:val="009B3DC4"/>
    <w:rsid w:val="00BE4798"/>
    <w:rsid w:val="00C84D53"/>
    <w:rsid w:val="00D57217"/>
    <w:rsid w:val="00EA0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5E7E22-68EF-485B-B787-78465E50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7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7B61"/>
    <w:rPr>
      <w:b/>
      <w:bCs/>
    </w:rPr>
  </w:style>
  <w:style w:type="character" w:styleId="a5">
    <w:name w:val="Emphasis"/>
    <w:basedOn w:val="a0"/>
    <w:uiPriority w:val="20"/>
    <w:qFormat/>
    <w:rsid w:val="00497B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5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2025-12-03T13:46:00Z</dcterms:created>
  <dcterms:modified xsi:type="dcterms:W3CDTF">2025-12-03T14:47:00Z</dcterms:modified>
</cp:coreProperties>
</file>