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6846E" w14:textId="1B18167E" w:rsidR="007336AF" w:rsidRPr="00AD57DB" w:rsidRDefault="007336AF" w:rsidP="00E915A0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AD57DB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4F33393D" w14:textId="77777777" w:rsidR="007336AF" w:rsidRPr="00AD57DB" w:rsidRDefault="007336AF" w:rsidP="00E915A0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14:paraId="7B27CBB9" w14:textId="77777777" w:rsidR="007336AF" w:rsidRPr="00AD57DB" w:rsidRDefault="007336AF" w:rsidP="00E915A0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AD57DB">
        <w:rPr>
          <w:rFonts w:ascii="GHEA Mariam" w:hAnsi="GHEA Mariam"/>
          <w:b/>
          <w:sz w:val="28"/>
          <w:szCs w:val="24"/>
        </w:rPr>
        <w:t>ՀԱՅԱՍՏԱՆԻ ՀԱՆՐԱՊԵՏՈՒԹՅԱՆ</w:t>
      </w:r>
    </w:p>
    <w:p w14:paraId="40BF6DFF" w14:textId="77777777" w:rsidR="007336AF" w:rsidRPr="00AD57DB" w:rsidRDefault="007336AF" w:rsidP="00E915A0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AD57DB">
        <w:rPr>
          <w:rFonts w:ascii="GHEA Mariam" w:hAnsi="GHEA Mariam"/>
          <w:b/>
          <w:sz w:val="28"/>
          <w:szCs w:val="24"/>
        </w:rPr>
        <w:t>ՕՐԵՆՔԸ</w:t>
      </w:r>
    </w:p>
    <w:p w14:paraId="0AEB97CC" w14:textId="77777777" w:rsidR="007336AF" w:rsidRPr="00AD57DB" w:rsidRDefault="007336AF" w:rsidP="00E915A0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8"/>
          <w:szCs w:val="24"/>
        </w:rPr>
      </w:pPr>
    </w:p>
    <w:p w14:paraId="4DBE03CF" w14:textId="4FC0D6BB" w:rsidR="005B0931" w:rsidRPr="00AD57DB" w:rsidRDefault="005B0931" w:rsidP="00E915A0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b/>
          <w:bCs/>
          <w:sz w:val="24"/>
          <w:szCs w:val="24"/>
        </w:rPr>
        <w:t>«ԳՈՒՅՔԻ</w:t>
      </w:r>
      <w:r w:rsidRPr="00AD57DB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ՆԿԱՏՄԱՄԲ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ԻՐԱՎՈՒՆՔՆԵՐԻ</w:t>
      </w:r>
      <w:r w:rsidRPr="00AD57D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Պ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ԵՏԱԿԱՆ</w:t>
      </w:r>
      <w:r w:rsidRPr="00AD57D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ԳՐԱՆՑՄԱՆ</w:t>
      </w:r>
      <w:r w:rsidRPr="00AD57D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ՄԱՍԻՆ»</w:t>
      </w:r>
      <w:r w:rsidRPr="00AD57D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F25C15" w:rsidRPr="00AD57DB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ԼՐԱՑՈՒՄ</w:t>
      </w:r>
      <w:r w:rsidRPr="00AD57D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AD57D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</w:p>
    <w:p w14:paraId="10181178" w14:textId="7C6B69F9" w:rsidR="007336AF" w:rsidRPr="00AD57DB" w:rsidRDefault="007336AF" w:rsidP="00E915A0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BFA95D9" w14:textId="7FD61F10" w:rsidR="00B825AD" w:rsidRPr="00AD57DB" w:rsidRDefault="00EC7B1E" w:rsidP="00EC7B1E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GHEA Mariam"/>
          <w:b/>
          <w:bCs/>
          <w:sz w:val="24"/>
          <w:szCs w:val="24"/>
          <w:lang w:val="ru-RU"/>
        </w:rPr>
        <w:t xml:space="preserve">   </w:t>
      </w:r>
      <w:r w:rsidR="007336AF" w:rsidRPr="00AD57DB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="005877A1" w:rsidRPr="00AD57DB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="007336AF" w:rsidRPr="00AD57DB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1.</w:t>
      </w:r>
      <w:r w:rsidR="00467FA2" w:rsidRPr="00AD57DB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8A78E2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«Գույքի նկատմամբ իրավունքների պետական գրանցման մասին» 1999 թվականի ապրիլի 14-ի ՀՕ-295 օրենք</w:t>
      </w:r>
      <w:r w:rsidR="0061286B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ը լրացնել նոր 34.1.-ին հոդվածով հետևյալ բովանդակությամբ</w:t>
      </w:r>
      <w:r w:rsidR="00B825AD" w:rsidRPr="00AD57DB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271245D9" w14:textId="799C4EE7" w:rsidR="00AA7DFA" w:rsidRDefault="00EC7B1E" w:rsidP="00EC7B1E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ru-RU"/>
        </w:rPr>
        <w:t xml:space="preserve">   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AA7DFA" w:rsidRPr="00AD57DB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34.1.</w:t>
      </w:r>
      <w:r w:rsidR="00AA7DFA" w:rsidRPr="00AD57DB">
        <w:rPr>
          <w:rFonts w:ascii="GHEA Mariam" w:eastAsia="Times New Roman" w:hAnsi="GHEA Mariam" w:cs="Times New Roman"/>
          <w:b/>
          <w:sz w:val="24"/>
          <w:szCs w:val="24"/>
          <w:lang w:val="hy-AM"/>
        </w:rPr>
        <w:tab/>
      </w:r>
      <w:r w:rsidR="005E549C" w:rsidRPr="008C5E23">
        <w:rPr>
          <w:rFonts w:ascii="GHEA Mariam" w:eastAsia="Times New Roman" w:hAnsi="GHEA Mariam" w:cs="Times New Roman"/>
          <w:b/>
          <w:sz w:val="24"/>
          <w:szCs w:val="24"/>
          <w:lang w:val="hy-AM"/>
        </w:rPr>
        <w:t>Կ</w:t>
      </w:r>
      <w:r w:rsidR="00B37C17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ադաստրային քարտեզում անշարժ գույքի միավորի </w:t>
      </w:r>
      <w:r w:rsidR="00AA7DFA" w:rsidRPr="00AD57DB">
        <w:rPr>
          <w:rFonts w:ascii="GHEA Mariam" w:eastAsia="Times New Roman" w:hAnsi="GHEA Mariam" w:cs="Times New Roman"/>
          <w:b/>
          <w:sz w:val="24"/>
          <w:szCs w:val="24"/>
          <w:lang w:val="hy-AM"/>
        </w:rPr>
        <w:t>սխալների ուղղումը</w:t>
      </w:r>
    </w:p>
    <w:p w14:paraId="59F5E3A4" w14:textId="774BA24D" w:rsidR="0084187A" w:rsidRPr="00557461" w:rsidRDefault="008C58C5" w:rsidP="008C58C5">
      <w:pPr>
        <w:shd w:val="clear" w:color="auto" w:fill="FFFFFF"/>
        <w:spacing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C5E23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  </w:t>
      </w:r>
      <w:r w:rsidRPr="008C58C5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1. </w:t>
      </w:r>
      <w:r w:rsidR="0084187A" w:rsidRPr="008C58C5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Կադաստրային քարտեզում անշարժ գույքի միավորի սխալ</w:t>
      </w:r>
      <w:r w:rsidR="0084187A" w:rsidRPr="008C58C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4187A" w:rsidRPr="0084187A">
        <w:rPr>
          <w:rFonts w:ascii="GHEA Mariam" w:eastAsia="Times New Roman" w:hAnsi="GHEA Mariam" w:cs="Times New Roman"/>
          <w:sz w:val="24"/>
          <w:szCs w:val="24"/>
          <w:lang w:val="hy-AM"/>
        </w:rPr>
        <w:t>համարվում է այնպիսի անհամապատասխանությունը, որն առաջացել է</w:t>
      </w:r>
      <w:r w:rsidR="0084187A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4187A" w:rsidRPr="0084187A">
        <w:rPr>
          <w:rFonts w:ascii="GHEA Mariam" w:eastAsia="Times New Roman" w:hAnsi="GHEA Mariam" w:cs="Times New Roman"/>
          <w:sz w:val="24"/>
          <w:szCs w:val="24"/>
          <w:lang w:val="hy-AM"/>
        </w:rPr>
        <w:t>անշարժ գույքի միավորի նկատմամբ իրավունքների պետական գրանցման ժամանակ այդ միավորի փաստացի իրավիճակի հետ չհամապատասխանելու (բացառությամբ սխալ հողօգտագործման դեպքերի) կամ պետական գրանցման համար հիմք հանդիսացած փաստաթղթերում արտացոլված տվյալներին չհամապատասխանելու հետևանքով</w:t>
      </w:r>
      <w:r w:rsidR="0084187A" w:rsidRPr="00A2269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</w:t>
      </w:r>
      <w:r w:rsidR="0084187A" w:rsidRPr="008D100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4187A" w:rsidRPr="00113C2D">
        <w:rPr>
          <w:rFonts w:ascii="GHEA Mariam" w:eastAsia="Times New Roman" w:hAnsi="GHEA Mariam" w:cs="Times New Roman"/>
          <w:sz w:val="24"/>
          <w:szCs w:val="24"/>
          <w:lang w:val="hy-AM"/>
        </w:rPr>
        <w:t>որը հանգեցնում է անշարժ գույքի միավորի</w:t>
      </w:r>
      <w:r w:rsidR="0084187A" w:rsidRPr="00A00C15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 </w:t>
      </w:r>
      <w:r w:rsidR="0084187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գծային չափերի, մակերեսի և երկրաչափական տեսքի</w:t>
      </w:r>
      <w:r w:rsidR="0084187A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55746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կադաստրային քարտեզում </w:t>
      </w:r>
      <w:r w:rsidR="009A006D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տեղադրված</w:t>
      </w:r>
      <w:r w:rsidR="0055746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չլինել</w:t>
      </w:r>
      <w:r w:rsidR="00557461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ուն</w:t>
      </w:r>
      <w:r w:rsidR="0055746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 սխալ տեղադիրքով </w:t>
      </w:r>
      <w:r w:rsidR="009A006D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տեղադրված</w:t>
      </w:r>
      <w:r w:rsidR="0055746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լինել</w:t>
      </w:r>
      <w:r w:rsidR="00557461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ուն,</w:t>
      </w:r>
      <w:r w:rsidR="0055746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4187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նպատակային և գործառնական նշանակությունների</w:t>
      </w:r>
      <w:r w:rsidR="0084187A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557461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ինչպես նաև </w:t>
      </w:r>
      <w:r w:rsidR="00557461" w:rsidRPr="0055746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սուբյեկտի վերաբերյալ </w:t>
      </w:r>
      <w:r w:rsidR="007B6CF8">
        <w:rPr>
          <w:rFonts w:ascii="GHEA Mariam" w:eastAsia="Times New Roman" w:hAnsi="GHEA Mariam" w:cs="Times New Roman"/>
          <w:sz w:val="24"/>
          <w:szCs w:val="24"/>
          <w:lang w:val="hy-AM"/>
        </w:rPr>
        <w:t>տեղեկատվության</w:t>
      </w:r>
      <w:r w:rsidR="00117E94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սխալ արտացոլման</w:t>
      </w:r>
      <w:r w:rsidR="0084187A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3801BE79" w14:textId="66662BA8" w:rsidR="00AA7DFA" w:rsidRPr="00A00C15" w:rsidRDefault="00AA7DFA" w:rsidP="00BC472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   2. </w:t>
      </w:r>
      <w:r w:rsidR="00635E13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Սույն հոդվածի 1-ին մասում նշված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սխալներ</w:t>
      </w:r>
      <w:r w:rsidR="00635E13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կարող են լինել ինչպես </w:t>
      </w:r>
      <w:r w:rsidR="009F5959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կադաստրային քարտեզ</w:t>
      </w:r>
      <w:r w:rsidR="009F5959">
        <w:rPr>
          <w:rFonts w:ascii="GHEA Mariam" w:eastAsia="Times New Roman" w:hAnsi="GHEA Mariam" w:cs="Times New Roman"/>
          <w:sz w:val="24"/>
          <w:szCs w:val="24"/>
          <w:lang w:val="hy-AM"/>
        </w:rPr>
        <w:t>ներ</w:t>
      </w:r>
      <w:r w:rsidR="009F5959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ում</w:t>
      </w:r>
      <w:r w:rsidR="009F5959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, այնպես էլ</w:t>
      </w:r>
      <w:r w:rsidR="009F5959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իրավունքի պետական գրանցման տվյալներում</w:t>
      </w:r>
      <w:r w:rsidR="009F5959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0EB25050" w14:textId="3F0E3494" w:rsidR="00AA7DFA" w:rsidRDefault="00AA7DFA" w:rsidP="00BC472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3. Պետական գրանցման տվյալներում առկա սխալների ուղղումը կատարվում է սույն օրենքի 34-րդ հոդվածի համաձայն</w:t>
      </w:r>
      <w:r w:rsidR="003F5AE0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իսկ </w:t>
      </w:r>
      <w:r w:rsidR="00863198">
        <w:rPr>
          <w:rFonts w:ascii="GHEA Mariam" w:eastAsia="Times New Roman" w:hAnsi="GHEA Mariam" w:cs="Times New Roman"/>
          <w:sz w:val="24"/>
          <w:szCs w:val="24"/>
          <w:lang w:val="ru-RU"/>
        </w:rPr>
        <w:t>կ</w:t>
      </w:r>
      <w:bookmarkStart w:id="0" w:name="_GoBack"/>
      <w:bookmarkEnd w:id="0"/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ադաստրային քարտեզներում անշարժ գույքի միավորների սխալները</w:t>
      </w:r>
      <w:r w:rsidR="003F5AE0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՝ </w:t>
      </w:r>
      <w:r w:rsidR="00D835D3" w:rsidRPr="00D835D3">
        <w:rPr>
          <w:rFonts w:ascii="GHEA Mariam" w:eastAsia="Times New Roman" w:hAnsi="GHEA Mariam" w:cs="Times New Roman"/>
          <w:sz w:val="24"/>
          <w:szCs w:val="24"/>
          <w:lang w:val="hy-AM"/>
        </w:rPr>
        <w:t>կ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առավարության որոշմամբ սահմանված կարգով, բացառությամբ սույն օրենքով </w:t>
      </w:r>
      <w:r w:rsidR="00997523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նախատեսված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դեպքերի:</w:t>
      </w:r>
    </w:p>
    <w:p w14:paraId="78C9C93F" w14:textId="319B95C0" w:rsidR="00A025BD" w:rsidRPr="00AD57DB" w:rsidRDefault="00AA7DFA" w:rsidP="00BC472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69480C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. Սույն օրենքով սահմանված՝ անշարժ գույքի միավորի սխալներ</w:t>
      </w:r>
      <w:r w:rsidR="00364C8F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ուղղվում են Կադաստրի կոմիտեի կողմից վարչական վարույթ հարուցելու և եզրափակելու մի</w:t>
      </w:r>
      <w:r w:rsidR="002F17A9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ջ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ոցով, որի վերաբերյալ իրավահարաբերությունները կարգավորվում են սույն օրենքով:</w:t>
      </w:r>
    </w:p>
    <w:p w14:paraId="25FE50DB" w14:textId="6ED1961C" w:rsidR="00AA7DFA" w:rsidRPr="00AD57DB" w:rsidRDefault="00AA7DFA" w:rsidP="007C34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4A522C" w:rsidRPr="004A522C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Pr="00AD57D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Սույն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օրենքով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սահմանված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անշարժ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գույքի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միավորների</w:t>
      </w:r>
      <w:r w:rsidR="00C62374" w:rsidRPr="00A00C15">
        <w:rPr>
          <w:rFonts w:ascii="GHEA Mariam" w:eastAsia="Times New Roman" w:hAnsi="GHEA Mariam" w:cs="GHEA Mariam"/>
          <w:sz w:val="24"/>
          <w:szCs w:val="24"/>
          <w:lang w:val="hy-AM"/>
        </w:rPr>
        <w:t xml:space="preserve">՝ </w:t>
      </w:r>
      <w:r w:rsidR="00C6237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գծային չափերի, մակերեսի</w:t>
      </w:r>
      <w:r w:rsidR="00C62374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C6237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երկրաչափական տեսքի</w:t>
      </w:r>
      <w:r w:rsidR="00C62374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C6237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կադաստրային քարտեզում </w:t>
      </w:r>
      <w:r w:rsidR="00C62374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տեղադրված</w:t>
      </w:r>
      <w:r w:rsidR="00C6237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չլինել</w:t>
      </w:r>
      <w:r w:rsidR="00C62374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ու</w:t>
      </w:r>
      <w:r w:rsidR="00C6237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 սխալ տեղադիրքով </w:t>
      </w:r>
      <w:r w:rsidR="00C62374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տեղադրված</w:t>
      </w:r>
      <w:r w:rsidR="00C6237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լինել</w:t>
      </w:r>
      <w:r w:rsidR="00C62374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ու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հետ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կապված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սխալների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ուղղման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վարչական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վար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ույթ հարուցելու համար հիմք են հանդիսանում սեփականատիրոջ կամ իրավատիրոջ անունից չափագրողի կողմից ներկայացված ուղղում կատարելու մասին դիմումը և համապատասխան փաստաթղթերի փաթեթը: Փաթեթի մեջ ներառվում են՝</w:t>
      </w:r>
    </w:p>
    <w:p w14:paraId="2870A84B" w14:textId="121F5026" w:rsidR="00AA7DFA" w:rsidRPr="00AD57DB" w:rsidRDefault="0092368D" w:rsidP="0092368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92368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1)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  <w:t xml:space="preserve">դիմում՝ </w:t>
      </w:r>
      <w:r w:rsidR="0079573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անշարժ գույքի միավորի սխալների 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ուղղում կատարելու և սեփականատիրոջ</w:t>
      </w:r>
      <w:r w:rsidR="00EE7334" w:rsidRPr="00EE733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</w:t>
      </w:r>
      <w:r w:rsidR="00EE7334" w:rsidRPr="00EA3125">
        <w:rPr>
          <w:rFonts w:ascii="GHEA Mariam" w:eastAsia="Times New Roman" w:hAnsi="GHEA Mariam" w:cs="Times New Roman"/>
          <w:sz w:val="24"/>
          <w:szCs w:val="24"/>
          <w:lang w:val="hy-AM"/>
        </w:rPr>
        <w:t>մ</w:t>
      </w:r>
      <w:r w:rsidR="00EA3125" w:rsidRPr="00EA312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իրավատիրոջ կողմից լիազորություն ունենալու մասին նշումով.</w:t>
      </w:r>
    </w:p>
    <w:p w14:paraId="47A883D7" w14:textId="560E185C" w:rsidR="00AA7DFA" w:rsidRPr="00AD57DB" w:rsidRDefault="0092368D" w:rsidP="0092368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92368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00712C">
        <w:rPr>
          <w:rFonts w:ascii="GHEA Mariam" w:eastAsia="Times New Roman" w:hAnsi="GHEA Mariam" w:cs="Times New Roman"/>
          <w:sz w:val="24"/>
          <w:szCs w:val="24"/>
          <w:lang w:val="hy-AM"/>
        </w:rPr>
        <w:t>2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  <w:t>չափագրման փաթեթ և իրադրության հատակագիծ՝ համադրված օրթոֆոտոլուսանկարների հետ.</w:t>
      </w:r>
    </w:p>
    <w:p w14:paraId="26D6B0E4" w14:textId="4B8B1433" w:rsidR="00AA7DFA" w:rsidRPr="006E3EEA" w:rsidRDefault="0092368D" w:rsidP="0092368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6319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00712C">
        <w:rPr>
          <w:rFonts w:ascii="GHEA Mariam" w:eastAsia="Times New Roman" w:hAnsi="GHEA Mariam" w:cs="Times New Roman"/>
          <w:sz w:val="24"/>
          <w:szCs w:val="24"/>
          <w:lang w:val="hy-AM"/>
        </w:rPr>
        <w:t>3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)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="00AA7DFA" w:rsidRPr="006E3EEA">
        <w:rPr>
          <w:rFonts w:ascii="GHEA Mariam" w:eastAsia="Times New Roman" w:hAnsi="GHEA Mariam" w:cs="Times New Roman"/>
          <w:sz w:val="24"/>
          <w:szCs w:val="24"/>
          <w:lang w:val="hy-AM"/>
        </w:rPr>
        <w:t>արձանագրություն</w:t>
      </w:r>
      <w:r w:rsidR="00CC652C" w:rsidRPr="006E3EEA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3ECFB54B" w14:textId="1DD08C6B" w:rsidR="00AA7DFA" w:rsidRPr="00AD57DB" w:rsidRDefault="00AA7DFA" w:rsidP="000641E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E3EE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4A522C" w:rsidRPr="006E3EEA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Pr="006E3EE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E3EE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3C5B76" w:rsidRPr="006E3EEA">
        <w:rPr>
          <w:rFonts w:ascii="GHEA Mariam" w:eastAsia="Times New Roman" w:hAnsi="GHEA Mariam" w:cs="GHEA Mariam"/>
          <w:sz w:val="24"/>
          <w:szCs w:val="24"/>
          <w:lang w:val="hy-AM"/>
        </w:rPr>
        <w:t xml:space="preserve">Սույն հոդվածի </w:t>
      </w:r>
      <w:r w:rsidR="00764D3D" w:rsidRPr="006E3EEA">
        <w:rPr>
          <w:rFonts w:ascii="GHEA Mariam" w:eastAsia="Times New Roman" w:hAnsi="GHEA Mariam" w:cs="GHEA Mariam"/>
          <w:sz w:val="24"/>
          <w:szCs w:val="24"/>
          <w:lang w:val="hy-AM"/>
        </w:rPr>
        <w:t>5-րդ</w:t>
      </w:r>
      <w:r w:rsidR="004A522C" w:rsidRPr="006E3EEA">
        <w:rPr>
          <w:rFonts w:ascii="GHEA Mariam" w:eastAsia="Times New Roman" w:hAnsi="GHEA Mariam" w:cs="GHEA Mariam"/>
          <w:sz w:val="24"/>
          <w:szCs w:val="24"/>
          <w:lang w:val="hy-AM"/>
        </w:rPr>
        <w:t xml:space="preserve"> մ</w:t>
      </w:r>
      <w:r w:rsidR="003C5B76" w:rsidRPr="006E3EEA">
        <w:rPr>
          <w:rFonts w:ascii="GHEA Mariam" w:eastAsia="Times New Roman" w:hAnsi="GHEA Mariam" w:cs="GHEA Mariam"/>
          <w:sz w:val="24"/>
          <w:szCs w:val="24"/>
          <w:lang w:val="hy-AM"/>
        </w:rPr>
        <w:t>ասում նշված</w:t>
      </w:r>
      <w:r w:rsidR="008030C4" w:rsidRPr="006E3EEA">
        <w:rPr>
          <w:rFonts w:ascii="GHEA Mariam" w:eastAsia="Times New Roman" w:hAnsi="GHEA Mariam" w:cs="GHEA Mariam"/>
          <w:sz w:val="24"/>
          <w:szCs w:val="24"/>
          <w:lang w:val="hy-AM"/>
        </w:rPr>
        <w:t xml:space="preserve"> </w:t>
      </w:r>
      <w:r w:rsidR="00795734" w:rsidRPr="006E3EEA">
        <w:rPr>
          <w:rFonts w:ascii="GHEA Mariam" w:eastAsia="Times New Roman" w:hAnsi="GHEA Mariam" w:cs="Times New Roman"/>
          <w:sz w:val="24"/>
          <w:szCs w:val="24"/>
          <w:lang w:val="hy-AM"/>
        </w:rPr>
        <w:t>սխալների</w:t>
      </w:r>
      <w:r w:rsidR="00795734" w:rsidRPr="00AD57DB">
        <w:rPr>
          <w:rFonts w:ascii="GHEA Mariam" w:eastAsia="Times New Roman" w:hAnsi="GHEA Mariam" w:cs="GHEA Mariam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հետ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կապված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ուղղման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դիմումի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փաթեթը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կազմվում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է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չափագրողի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կողմից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: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Փաթեթը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կազմելուց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առաջ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չափագրողը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lastRenderedPageBreak/>
        <w:t>պար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տավոր է իրականացնել հարցումներ (</w:t>
      </w:r>
      <w:r w:rsidR="00F641E5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Կ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ադաստրի կոմիտե, ազգային արխիվ, համայնք և այլն) և ստանալ անհրաժեշտ ելակետային տվյալներ՝ ուղղումն իրականացնելը հիմնավորելու համար: Այս փաստաթղթերը պարտադիր ներառվում են ուղղման փաթեթում:</w:t>
      </w:r>
    </w:p>
    <w:p w14:paraId="416ACDD2" w14:textId="4E36C248" w:rsidR="00AA7DFA" w:rsidRPr="00AD57DB" w:rsidRDefault="00DC209D" w:rsidP="000641E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7F661F" w:rsidRPr="007F661F">
        <w:rPr>
          <w:rFonts w:ascii="GHEA Mariam" w:eastAsia="Times New Roman" w:hAnsi="GHEA Mariam" w:cs="Times New Roman"/>
          <w:sz w:val="24"/>
          <w:szCs w:val="24"/>
          <w:lang w:val="hy-AM"/>
        </w:rPr>
        <w:t>7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. Անշարժ գույքի միավորի</w:t>
      </w:r>
      <w:r w:rsidR="00BF0FF2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՝ </w:t>
      </w:r>
      <w:r w:rsidR="008E52B7" w:rsidRPr="00F43407">
        <w:rPr>
          <w:rFonts w:ascii="GHEA Mariam" w:eastAsia="Times New Roman" w:hAnsi="GHEA Mariam" w:cs="Times New Roman"/>
          <w:sz w:val="24"/>
          <w:szCs w:val="24"/>
          <w:lang w:val="hy-AM"/>
        </w:rPr>
        <w:t>ս</w:t>
      </w:r>
      <w:r w:rsidR="00BF0FF2" w:rsidRPr="00A00C15">
        <w:rPr>
          <w:rFonts w:ascii="GHEA Mariam" w:eastAsia="Times New Roman" w:hAnsi="GHEA Mariam" w:cs="GHEA Mariam"/>
          <w:sz w:val="24"/>
          <w:szCs w:val="24"/>
          <w:lang w:val="hy-AM"/>
        </w:rPr>
        <w:t xml:space="preserve">ույն հոդվածի </w:t>
      </w:r>
      <w:r w:rsidR="004F213C" w:rsidRPr="004F213C">
        <w:rPr>
          <w:rFonts w:ascii="GHEA Mariam" w:eastAsia="Times New Roman" w:hAnsi="GHEA Mariam" w:cs="GHEA Mariam"/>
          <w:sz w:val="24"/>
          <w:szCs w:val="24"/>
          <w:lang w:val="hy-AM"/>
        </w:rPr>
        <w:t>1-ի</w:t>
      </w:r>
      <w:r w:rsidR="004F213C" w:rsidRPr="00E94735">
        <w:rPr>
          <w:rFonts w:ascii="GHEA Mariam" w:eastAsia="Times New Roman" w:hAnsi="GHEA Mariam" w:cs="GHEA Mariam"/>
          <w:sz w:val="24"/>
          <w:szCs w:val="24"/>
          <w:lang w:val="hy-AM"/>
        </w:rPr>
        <w:t>ն</w:t>
      </w:r>
      <w:r w:rsidR="00F43407" w:rsidRPr="004F213C">
        <w:rPr>
          <w:rFonts w:ascii="GHEA Mariam" w:eastAsia="Times New Roman" w:hAnsi="GHEA Mariam" w:cs="GHEA Mariam"/>
          <w:sz w:val="24"/>
          <w:szCs w:val="24"/>
          <w:lang w:val="hy-AM"/>
        </w:rPr>
        <w:t xml:space="preserve"> </w:t>
      </w:r>
      <w:r w:rsidR="00F43407" w:rsidRPr="00F43407">
        <w:rPr>
          <w:rFonts w:ascii="GHEA Mariam" w:eastAsia="Times New Roman" w:hAnsi="GHEA Mariam" w:cs="GHEA Mariam"/>
          <w:sz w:val="24"/>
          <w:szCs w:val="24"/>
          <w:lang w:val="hy-AM"/>
        </w:rPr>
        <w:t>մ</w:t>
      </w:r>
      <w:r w:rsidR="00BF0FF2" w:rsidRPr="00A00C15">
        <w:rPr>
          <w:rFonts w:ascii="GHEA Mariam" w:eastAsia="Times New Roman" w:hAnsi="GHEA Mariam" w:cs="GHEA Mariam"/>
          <w:sz w:val="24"/>
          <w:szCs w:val="24"/>
          <w:lang w:val="hy-AM"/>
        </w:rPr>
        <w:t>ասում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F0FF2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նշված 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ս</w:t>
      </w:r>
      <w:r w:rsidR="00BF0FF2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խալների 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ուղղման նպատակով չափագրողը չափագրման գործընթացը փաստացի իրականացնելիս սահմանների նշահարման փուլում նշահարման օրվա, ժամի և վայրի վերաբերյալ պարտավոր է ապահովել բոլոր այն անշարժ գույքերի սեփականատերերի, սեփականության իրավունքի իրավատերերի, գրավատուների ծանուցված լինելը, որոնց անշարժ գույքի սահմանները կարող են առնչվել չափագրված տարածքի նշահարվող սահմանների հետ (այդ թվում</w:t>
      </w:r>
      <w:r w:rsidR="008B268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՝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պետական և համայնքային սեփականություն հանդիսացող հողամասերի): Ծանուցումն իրականացվում է բոլոր հնարավոր միջոցներով՝ փոստ, էլ. փոստ, հեռախոսակապ, անձամբ և այլն,</w:t>
      </w:r>
      <w:r w:rsidR="000B3BA7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ընդ որում՝</w:t>
      </w:r>
      <w:r w:rsidR="00AA7DFA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ծանուցմանն ուղղված բոլոր գործողությունները պետք է փաստագրվեն:</w:t>
      </w:r>
    </w:p>
    <w:p w14:paraId="3966C762" w14:textId="1A6C7626" w:rsidR="00AA7DFA" w:rsidRPr="00AD57DB" w:rsidRDefault="00AA7DFA" w:rsidP="000641E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7F661F" w:rsidRPr="007F661F">
        <w:rPr>
          <w:rFonts w:ascii="GHEA Mariam" w:eastAsia="Times New Roman" w:hAnsi="GHEA Mariam" w:cs="Times New Roman"/>
          <w:sz w:val="24"/>
          <w:szCs w:val="24"/>
          <w:lang w:val="hy-AM"/>
        </w:rPr>
        <w:t>8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. Չափագրման ընթացքի վերաբերյալ չափագրողը պարտավոր է կազմել արձանագրություն</w:t>
      </w:r>
      <w:r w:rsidR="00E94735" w:rsidRPr="00D433F8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այդ թվում՝ արձանագրելով ծանուցված և չծանուցված անձանց (սուբյեկտների) մասին տվյալներ և չծանուցման պատճառներ: Եթե ծանուցված անձանցից որևէ մեկը չի ներկայացել, ապա արձանագրության մեջ չափագրողը ներառում է այդ անձանց տվյալները: Ծանուցված, սակայն չափագրմանը չներկայացած անձինք համարվում են համաձայնություն տված օրենքի ուժով: Արձանագրությունով փաստագրվում </w:t>
      </w:r>
      <w:r w:rsidR="00D433F8" w:rsidRPr="00D433F8">
        <w:rPr>
          <w:rFonts w:ascii="GHEA Mariam" w:eastAsia="Times New Roman" w:hAnsi="GHEA Mariam" w:cs="Times New Roman"/>
          <w:sz w:val="24"/>
          <w:szCs w:val="24"/>
          <w:lang w:val="hy-AM"/>
        </w:rPr>
        <w:t>ե</w:t>
      </w:r>
      <w:r w:rsidR="00D433F8" w:rsidRPr="00B92C96">
        <w:rPr>
          <w:rFonts w:ascii="GHEA Mariam" w:eastAsia="Times New Roman" w:hAnsi="GHEA Mariam" w:cs="Times New Roman"/>
          <w:sz w:val="24"/>
          <w:szCs w:val="24"/>
          <w:lang w:val="hy-AM"/>
        </w:rPr>
        <w:t>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նաև չափագրման գործընթացին առնչվող բոլոր հանգամանքները։ Չծանուցված անձանց մասով Կադաստրի կոմիտեն իրավունք ունի վարույթի ընթացքում </w:t>
      </w:r>
      <w:r w:rsidR="00D918B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օրենքով սահմանված հրապարակային եղանակով՝ Հայաստանի Հանրապետության հրապարակային ծանուցումների պաշտոնական կայքում</w:t>
      </w:r>
      <w:r w:rsidR="00A82E3B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կամ այլ միջոցներով իրականացնելու կրկնակի ծանուցում,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ընդ որում՝ ծանուցման մեջ ներառելով նաև իրադրության հատակագիծը</w:t>
      </w:r>
      <w:r w:rsidR="0054076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՝ </w:t>
      </w:r>
      <w:r w:rsidR="00540767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համադրված օրթոֆոտոլուսանկարների հետ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36FBC921" w14:textId="2AEFFBCC" w:rsidR="00AA7DFA" w:rsidRPr="00A00C15" w:rsidRDefault="00AA7DFA" w:rsidP="000641E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7F661F" w:rsidRPr="007F661F">
        <w:rPr>
          <w:rFonts w:ascii="GHEA Mariam" w:eastAsia="Times New Roman" w:hAnsi="GHEA Mariam" w:cs="Times New Roman"/>
          <w:sz w:val="24"/>
          <w:szCs w:val="24"/>
          <w:lang w:val="hy-AM"/>
        </w:rPr>
        <w:t>9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. Չափագրված անշարժ գույքի միավորի իրադրության հատակագիծը պետք է ստորագրվի սույն հոդվածում նշված բոլոր անձանց կողմից, իսկ անհամաձայնությունների դեպքում՝ գրավոր նշվ</w:t>
      </w:r>
      <w:r w:rsidR="00ED5F3E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են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անհամաձայնության պատճառները, հիմնավորումները: Վարույթին մասնակցող անձանց անհամաձայնություն</w:t>
      </w:r>
      <w:r w:rsidR="00B92C96" w:rsidRPr="00B92C96">
        <w:rPr>
          <w:rFonts w:ascii="GHEA Mariam" w:eastAsia="Times New Roman" w:hAnsi="GHEA Mariam" w:cs="Times New Roman"/>
          <w:sz w:val="24"/>
          <w:szCs w:val="24"/>
          <w:lang w:val="hy-AM"/>
        </w:rPr>
        <w:t>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ուղղում կատարելու համար խոչընդոտ չի հանդիսանում, եթե վարույթի նյութերում առկա են բավարար ապացույցներ՝ ուղղում կատարելու համար:</w:t>
      </w:r>
      <w:r w:rsidR="00F145F5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Եթե կադաստրային քարտեզի ուղղման համար կազմված հատակագծում ուղղվող սահմանը համընկնում է իրավունքների առաջին պետական գրանցման աշխատանքների շրջանակներում իրավունքի պետական գրանցում ստացած կամ գույքագրված շենքերի և շինությունների սահմանի հետ, ապա այդ հանգամանքը համարվում է բավարար ապացույց կադաստրային քարտեզում ուղղում կատարելու համար և կադաստրային քարտեզում այդ սահմանի ուղղումը կատարվում է առանց փոփոխվող սահմանակից հողամասի սեփականատերերի համաձայնության։ Սույն մասով նախատեսված դեպքերում</w:t>
      </w:r>
      <w:r w:rsidR="00183BCD" w:rsidRPr="00183BC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կադաստրային</w:t>
      </w:r>
      <w:r w:rsidR="00F145F5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քարտեզը ենթակա է ուղղման օրթոֆոտոհատակագծերի հետ համադրման և ակնադիտական ուսումնասիրության արդյունքում տվյալների (սահմանների) անհամապատասխանությունների բացակայության պարագայում։</w:t>
      </w:r>
    </w:p>
    <w:p w14:paraId="2CAD0826" w14:textId="18DB9F80" w:rsidR="00447785" w:rsidRPr="00A00C15" w:rsidRDefault="00AA7DFA" w:rsidP="00E16E8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1</w:t>
      </w:r>
      <w:r w:rsidR="007F661F" w:rsidRPr="007F661F">
        <w:rPr>
          <w:rFonts w:ascii="GHEA Mariam" w:eastAsia="Times New Roman" w:hAnsi="GHEA Mariam" w:cs="Times New Roman"/>
          <w:sz w:val="24"/>
          <w:szCs w:val="24"/>
          <w:lang w:val="hy-AM"/>
        </w:rPr>
        <w:t>0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. Կադաստրային քարտեզում չարտացոլված կամ սխալ տեղադիրքով արտացոլված անշարժ գույքի նույնականացման համ</w:t>
      </w:r>
      <w:r w:rsidR="00DA7680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 իրադրության հատակագիծը պետք է ստորագրվի հարևան հողամասերի սեփականատերերի կամ իրավատերերի կողմից՝ իրադրության հատակագծում արտացոլված հողամասի տեղադիրքի համապատասխանության նշումով։ Սույն </w:t>
      </w:r>
      <w:r w:rsidR="00252D16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մասով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նշված իրադրության հատակագիծը ոչ բոլոր գույքային միավորների սեփականատե</w:t>
      </w:r>
      <w:r w:rsidR="00AF275B">
        <w:rPr>
          <w:rFonts w:ascii="GHEA Mariam" w:eastAsia="Times New Roman" w:hAnsi="GHEA Mariam" w:cs="Times New Roman"/>
          <w:sz w:val="24"/>
          <w:szCs w:val="24"/>
          <w:lang w:val="hy-AM"/>
        </w:rPr>
        <w:t>րերի և իրավատերորի կողմից ստորագ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րված լինելը խոչընդոտ չի հանդիսանում անշարժ գույքի նույնականացման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համ</w:t>
      </w:r>
      <w:r w:rsidR="00AF275B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ր, եթե վարույթի նյութերում առկա են բավարար ապացույցներ՝ ուղղում կատարելու համար:</w:t>
      </w:r>
    </w:p>
    <w:p w14:paraId="6E82D417" w14:textId="11714B0E" w:rsidR="000A2205" w:rsidRPr="00AD57DB" w:rsidRDefault="007F661F" w:rsidP="000A220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2269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57295B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Pr="007F661F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="0057295B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. Անշարժ գույքի </w:t>
      </w:r>
      <w:r w:rsidR="0057295B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միավորի՝ </w:t>
      </w:r>
      <w:r w:rsidR="005B3C3A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>ս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ույն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հոդվածով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նախատեսված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վարչական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վարույթի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հարուցման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համար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չափագրողի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կողմից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ներկայացված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տվյալների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իսկության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համար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A2205" w:rsidRPr="00D937E0">
        <w:rPr>
          <w:rFonts w:ascii="GHEA Mariam" w:eastAsia="Times New Roman" w:hAnsi="GHEA Mariam" w:cs="GHEA Mariam"/>
          <w:sz w:val="24"/>
          <w:szCs w:val="24"/>
          <w:lang w:val="hy-AM"/>
        </w:rPr>
        <w:t>պատասխ</w:t>
      </w:r>
      <w:r w:rsidR="000A2205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>անատվությունը կրում են որակավորված անձինք:</w:t>
      </w:r>
    </w:p>
    <w:p w14:paraId="2C0F7117" w14:textId="4816B1B0" w:rsidR="000A2205" w:rsidRDefault="000A2205" w:rsidP="000A220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1</w:t>
      </w:r>
      <w:r w:rsidR="00D937E0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>2</w:t>
      </w:r>
      <w:r w:rsidRPr="00AD57D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Կադաստրի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կոմիտեի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կողմից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հարուցված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վարչական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վարույթի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արդյունքում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E1547" w:rsidRPr="00A00C15">
        <w:rPr>
          <w:rFonts w:ascii="GHEA Mariam" w:eastAsia="Times New Roman" w:hAnsi="GHEA Mariam" w:cs="GHEA Mariam"/>
          <w:sz w:val="24"/>
          <w:szCs w:val="24"/>
          <w:lang w:val="hy-AM"/>
        </w:rPr>
        <w:t>կայացված եզրափակիչ վարչական ակտը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հիմք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E1547" w:rsidRPr="00A00C15">
        <w:rPr>
          <w:rFonts w:ascii="GHEA Mariam" w:eastAsia="Times New Roman" w:hAnsi="GHEA Mariam" w:cs="GHEA Mariam"/>
          <w:sz w:val="24"/>
          <w:szCs w:val="24"/>
          <w:lang w:val="hy-AM"/>
        </w:rPr>
        <w:t>է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իրավունքի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D57DB">
        <w:rPr>
          <w:rFonts w:ascii="GHEA Mariam" w:eastAsia="Times New Roman" w:hAnsi="GHEA Mariam" w:cs="GHEA Mariam"/>
          <w:sz w:val="24"/>
          <w:szCs w:val="24"/>
          <w:lang w:val="hy-AM"/>
        </w:rPr>
        <w:t>պետ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ական գրանցման </w:t>
      </w:r>
      <w:r w:rsidRPr="00243E0E">
        <w:rPr>
          <w:rFonts w:ascii="GHEA Mariam" w:eastAsia="Times New Roman" w:hAnsi="GHEA Mariam" w:cs="Times New Roman"/>
          <w:sz w:val="24"/>
          <w:szCs w:val="24"/>
          <w:lang w:val="hy-AM"/>
        </w:rPr>
        <w:t>տվյալներում և/կամ կադաստրային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քարտեզում </w:t>
      </w:r>
      <w:r w:rsidR="00D17B46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համապատասխանաբար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ուղղումներ կատարելու կամ չկատարելու համար։</w:t>
      </w:r>
    </w:p>
    <w:p w14:paraId="64709181" w14:textId="154D0522" w:rsidR="0026691A" w:rsidRPr="00A00C15" w:rsidRDefault="00286BE2" w:rsidP="0026691A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0718C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230613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="00D937E0" w:rsidRPr="00D937E0">
        <w:rPr>
          <w:rFonts w:ascii="GHEA Mariam" w:eastAsia="Times New Roman" w:hAnsi="GHEA Mariam" w:cs="Times New Roman"/>
          <w:sz w:val="24"/>
          <w:szCs w:val="24"/>
          <w:lang w:val="hy-AM"/>
        </w:rPr>
        <w:t>3</w:t>
      </w:r>
      <w:r w:rsidR="00230613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. </w:t>
      </w:r>
      <w:r w:rsidR="00BE2742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Համապատասխան լիազորություն ունենալու դեպքում</w:t>
      </w:r>
      <w:r w:rsidR="000250AE" w:rsidRPr="000250A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C4AF2" w:rsidRPr="001C4AF2">
        <w:rPr>
          <w:rFonts w:ascii="GHEA Mariam" w:eastAsia="Times New Roman" w:hAnsi="GHEA Mariam" w:cs="Times New Roman"/>
          <w:sz w:val="24"/>
          <w:szCs w:val="24"/>
          <w:lang w:val="hy-AM"/>
        </w:rPr>
        <w:t>սույն հոդվածի</w:t>
      </w:r>
      <w:r w:rsidR="00FA62CB" w:rsidRPr="00FA62C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250AE" w:rsidRPr="000250AE">
        <w:rPr>
          <w:rFonts w:ascii="GHEA Mariam" w:eastAsia="Times New Roman" w:hAnsi="GHEA Mariam" w:cs="Times New Roman"/>
          <w:sz w:val="24"/>
          <w:szCs w:val="24"/>
          <w:lang w:val="hy-AM"/>
        </w:rPr>
        <w:t>4-ր</w:t>
      </w:r>
      <w:r w:rsidR="000250AE" w:rsidRPr="001C4AF2">
        <w:rPr>
          <w:rFonts w:ascii="GHEA Mariam" w:eastAsia="Times New Roman" w:hAnsi="GHEA Mariam" w:cs="Times New Roman"/>
          <w:sz w:val="24"/>
          <w:szCs w:val="24"/>
          <w:lang w:val="hy-AM"/>
        </w:rPr>
        <w:t>դ</w:t>
      </w:r>
      <w:r w:rsidR="000250AE" w:rsidRPr="000250A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82F00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մասով </w:t>
      </w:r>
      <w:r w:rsidR="00FA62CB" w:rsidRPr="00FA62CB">
        <w:rPr>
          <w:rFonts w:ascii="GHEA Mariam" w:eastAsia="Times New Roman" w:hAnsi="GHEA Mariam" w:cs="Times New Roman"/>
          <w:sz w:val="24"/>
          <w:szCs w:val="24"/>
          <w:lang w:val="hy-AM"/>
        </w:rPr>
        <w:t>սահմանված</w:t>
      </w:r>
      <w:r w:rsidR="00FA62CB" w:rsidRPr="0066383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082F00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վարչական վարույթ կարող է հարուցվել նաև միմյանց հետ փոխկապակցված գույքային միավորների՝ </w:t>
      </w:r>
      <w:r w:rsidR="00082F00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գծային չափերի, մակերեսի և երկրաչափական տեսքի</w:t>
      </w:r>
      <w:r w:rsidR="00082F00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</w:t>
      </w:r>
      <w:r w:rsidR="00082F00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կադաստրային քարտեզում սխալ տեղադիրքով </w:t>
      </w:r>
      <w:r w:rsidR="00082F00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տեղադրված</w:t>
      </w:r>
      <w:r w:rsidR="00082F00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լինել</w:t>
      </w:r>
      <w:r w:rsidR="00082F00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ու ս</w:t>
      </w:r>
      <w:r w:rsidR="0051499F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խալների ուղղում կատարելու համար, որի համար որպես ապացույց հանդիսանում են բարձր լուծաչափով (մինչև 10 սմ) օրթոֆոտոհատակագծերը</w:t>
      </w:r>
      <w:r w:rsidR="003E24F9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, որոնք պետք է կազմված լինեն դիմում ներկայացնելու օրվան նախորդող 30 աշխատանքային օրվա ընթացքում, որի վերաբերյալ տեղեկատվությունը տրամադրում է որակավորում ունեցող անձը։</w:t>
      </w:r>
      <w:r w:rsidR="0026691A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Նշված դեպքում</w:t>
      </w:r>
      <w:r w:rsidR="00A6662D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="0026691A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եթե կադաստրային քարտեզի ուղղումը չի առաջացնում այլ անշարժ գույքի միավորների գծային չափերի, երկրաչափական տեսքի կամ մակերեսի փոփոխություն, ապա այն կատարվում է առանց այդ հողամասերի</w:t>
      </w:r>
      <w:r w:rsidR="009D551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սեփականատերերի համաձայնության:</w:t>
      </w:r>
    </w:p>
    <w:p w14:paraId="289EEB09" w14:textId="5725D42C" w:rsidR="0000712C" w:rsidRPr="000E33D3" w:rsidRDefault="00AA7DFA" w:rsidP="0007544D">
      <w:pPr>
        <w:shd w:val="clear" w:color="auto" w:fill="FFFFFF"/>
        <w:spacing w:line="360" w:lineRule="auto"/>
        <w:jc w:val="both"/>
        <w:rPr>
          <w:rFonts w:ascii="GHEA Mariam" w:eastAsia="Times New Roman" w:hAnsi="GHEA Mariam" w:cs="GHEA Mariam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1</w:t>
      </w:r>
      <w:r w:rsidR="00D937E0" w:rsidRPr="00243E0E"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. </w:t>
      </w:r>
      <w:r w:rsidR="00C075C1" w:rsidRPr="00AD57DB">
        <w:rPr>
          <w:rFonts w:ascii="GHEA Mariam" w:eastAsia="Times New Roman" w:hAnsi="GHEA Mariam" w:cs="GHEA Mariam"/>
          <w:sz w:val="24"/>
          <w:szCs w:val="24"/>
          <w:lang w:val="hy-AM"/>
        </w:rPr>
        <w:t>Սույն</w:t>
      </w:r>
      <w:r w:rsidR="00C075C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57295B" w:rsidRPr="00A00C15">
        <w:rPr>
          <w:rFonts w:ascii="GHEA Mariam" w:eastAsia="Times New Roman" w:hAnsi="GHEA Mariam" w:cs="GHEA Mariam"/>
          <w:sz w:val="24"/>
          <w:szCs w:val="24"/>
          <w:lang w:val="hy-AM"/>
        </w:rPr>
        <w:t xml:space="preserve">հոդվածով </w:t>
      </w:r>
      <w:r w:rsidR="00C075C1" w:rsidRPr="00AD57DB">
        <w:rPr>
          <w:rFonts w:ascii="GHEA Mariam" w:eastAsia="Times New Roman" w:hAnsi="GHEA Mariam" w:cs="GHEA Mariam"/>
          <w:sz w:val="24"/>
          <w:szCs w:val="24"/>
          <w:lang w:val="hy-AM"/>
        </w:rPr>
        <w:t>սահմանված</w:t>
      </w:r>
      <w:r w:rsidR="00C075C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075C1" w:rsidRPr="00AD57DB">
        <w:rPr>
          <w:rFonts w:ascii="GHEA Mariam" w:eastAsia="Times New Roman" w:hAnsi="GHEA Mariam" w:cs="GHEA Mariam"/>
          <w:sz w:val="24"/>
          <w:szCs w:val="24"/>
          <w:lang w:val="hy-AM"/>
        </w:rPr>
        <w:t>անշարժ</w:t>
      </w:r>
      <w:r w:rsidR="00C075C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075C1" w:rsidRPr="00AD57DB">
        <w:rPr>
          <w:rFonts w:ascii="GHEA Mariam" w:eastAsia="Times New Roman" w:hAnsi="GHEA Mariam" w:cs="GHEA Mariam"/>
          <w:sz w:val="24"/>
          <w:szCs w:val="24"/>
          <w:lang w:val="hy-AM"/>
        </w:rPr>
        <w:t>գույքի</w:t>
      </w:r>
      <w:r w:rsidR="00C075C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075C1" w:rsidRPr="00AD57DB">
        <w:rPr>
          <w:rFonts w:ascii="GHEA Mariam" w:eastAsia="Times New Roman" w:hAnsi="GHEA Mariam" w:cs="GHEA Mariam"/>
          <w:sz w:val="24"/>
          <w:szCs w:val="24"/>
          <w:lang w:val="hy-AM"/>
        </w:rPr>
        <w:t>միավորների</w:t>
      </w:r>
      <w:r w:rsidR="0057295B" w:rsidRPr="00A00C15">
        <w:rPr>
          <w:rFonts w:ascii="GHEA Mariam" w:eastAsia="Times New Roman" w:hAnsi="GHEA Mariam" w:cs="GHEA Mariam"/>
          <w:sz w:val="24"/>
          <w:szCs w:val="24"/>
          <w:lang w:val="hy-AM"/>
        </w:rPr>
        <w:t xml:space="preserve"> սխալների ուղղման վարչական </w:t>
      </w:r>
      <w:r w:rsidR="00663832" w:rsidRPr="00A00C15">
        <w:rPr>
          <w:rFonts w:ascii="GHEA Mariam" w:eastAsia="Times New Roman" w:hAnsi="GHEA Mariam" w:cs="GHEA Mariam"/>
          <w:sz w:val="24"/>
          <w:szCs w:val="24"/>
          <w:lang w:val="hy-AM"/>
        </w:rPr>
        <w:t>վ</w:t>
      </w:r>
      <w:r w:rsidR="0057295B" w:rsidRPr="00A00C15">
        <w:rPr>
          <w:rFonts w:ascii="GHEA Mariam" w:eastAsia="Times New Roman" w:hAnsi="GHEA Mariam" w:cs="GHEA Mariam"/>
          <w:sz w:val="24"/>
          <w:szCs w:val="24"/>
          <w:lang w:val="hy-AM"/>
        </w:rPr>
        <w:t xml:space="preserve">արույթի ընթցաքում լիազորված մարմինն իրավասու է նաև անդրադարձ կատարելու անշարժ գույքի միավորի </w:t>
      </w:r>
      <w:r w:rsidR="00C075C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նպատակային և գործառնական նշանակությունների</w:t>
      </w:r>
      <w:r w:rsidR="00C075C1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ինչպես նաև </w:t>
      </w:r>
      <w:r w:rsidR="00C075C1">
        <w:rPr>
          <w:rFonts w:ascii="GHEA Mariam" w:eastAsia="Times New Roman" w:hAnsi="GHEA Mariam" w:cs="Times New Roman"/>
          <w:sz w:val="24"/>
          <w:szCs w:val="24"/>
          <w:lang w:val="hy-AM"/>
        </w:rPr>
        <w:t>սուբյեկտի վերաբերյալ</w:t>
      </w:r>
      <w:r w:rsidR="00C075C1" w:rsidRPr="00A00C1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075C1" w:rsidRPr="00AD57DB">
        <w:rPr>
          <w:rFonts w:ascii="GHEA Mariam" w:eastAsia="Times New Roman" w:hAnsi="GHEA Mariam" w:cs="GHEA Mariam"/>
          <w:sz w:val="24"/>
          <w:szCs w:val="24"/>
          <w:lang w:val="hy-AM"/>
        </w:rPr>
        <w:t>սխալների</w:t>
      </w:r>
      <w:r w:rsidR="00C075C1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075C1" w:rsidRPr="00AD57DB">
        <w:rPr>
          <w:rFonts w:ascii="GHEA Mariam" w:eastAsia="Times New Roman" w:hAnsi="GHEA Mariam" w:cs="GHEA Mariam"/>
          <w:sz w:val="24"/>
          <w:szCs w:val="24"/>
          <w:lang w:val="hy-AM"/>
        </w:rPr>
        <w:t>ուղղ</w:t>
      </w:r>
      <w:r w:rsidR="0057295B" w:rsidRPr="00A00C15">
        <w:rPr>
          <w:rFonts w:ascii="GHEA Mariam" w:eastAsia="Times New Roman" w:hAnsi="GHEA Mariam" w:cs="GHEA Mariam"/>
          <w:sz w:val="24"/>
          <w:szCs w:val="24"/>
          <w:lang w:val="hy-AM"/>
        </w:rPr>
        <w:t xml:space="preserve">ման </w:t>
      </w:r>
      <w:r w:rsidR="0057295B" w:rsidRPr="00A00C15">
        <w:rPr>
          <w:rFonts w:ascii="GHEA Mariam" w:eastAsia="Times New Roman" w:hAnsi="GHEA Mariam" w:cs="GHEA Mariam"/>
          <w:sz w:val="24"/>
          <w:szCs w:val="24"/>
          <w:lang w:val="hy-AM"/>
        </w:rPr>
        <w:lastRenderedPageBreak/>
        <w:t xml:space="preserve">հարցին: </w:t>
      </w:r>
      <w:r w:rsidR="0043160D" w:rsidRPr="00D41C9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Հողամասի նպատակային և/կամ գործառնական նշանակության ուղղումները կատարվում են </w:t>
      </w:r>
      <w:r w:rsidR="002477BA" w:rsidRPr="00D41C99">
        <w:rPr>
          <w:rFonts w:ascii="GHEA Mariam" w:eastAsia="Times New Roman" w:hAnsi="GHEA Mariam" w:cs="Times New Roman"/>
          <w:sz w:val="24"/>
          <w:szCs w:val="24"/>
          <w:lang w:val="hy-AM"/>
        </w:rPr>
        <w:t>Կառավարության որոշմամբ սահմանված կարգով:</w:t>
      </w:r>
      <w:r w:rsidR="000E33D3" w:rsidRPr="000E33D3">
        <w:rPr>
          <w:rFonts w:ascii="GHEA Mariam" w:eastAsia="Times New Roman" w:hAnsi="GHEA Mariam" w:cs="Times New Roman"/>
          <w:sz w:val="24"/>
          <w:szCs w:val="24"/>
          <w:lang w:val="hy-AM"/>
        </w:rPr>
        <w:t>»:</w:t>
      </w:r>
    </w:p>
    <w:p w14:paraId="07A1A095" w14:textId="77777777" w:rsidR="00456EA6" w:rsidRPr="002676E9" w:rsidRDefault="00456EA6" w:rsidP="00E915A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C9902E0" w14:textId="56CEBC9E" w:rsidR="00AF0F3C" w:rsidRPr="00AD57DB" w:rsidRDefault="00416573" w:rsidP="00E915A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="00D9160E" w:rsidRPr="00AD57DB">
        <w:rPr>
          <w:rFonts w:ascii="GHEA Mariam" w:eastAsia="Times New Roman" w:hAnsi="GHEA Mariam" w:cs="Times New Roman"/>
          <w:b/>
          <w:sz w:val="24"/>
          <w:szCs w:val="24"/>
          <w:lang w:val="ru-RU"/>
        </w:rPr>
        <w:t>2</w:t>
      </w:r>
      <w:r w:rsidR="00F72035" w:rsidRPr="00AD57DB">
        <w:rPr>
          <w:rFonts w:ascii="GHEA Mariam" w:eastAsia="Times New Roman" w:hAnsi="GHEA Mariam" w:cs="Times New Roman"/>
          <w:b/>
          <w:sz w:val="24"/>
          <w:szCs w:val="24"/>
          <w:lang w:val="hy-AM"/>
        </w:rPr>
        <w:t>.</w:t>
      </w:r>
    </w:p>
    <w:p w14:paraId="3F90DEA1" w14:textId="430D63C2" w:rsidR="00F72035" w:rsidRPr="00AD57DB" w:rsidRDefault="00F72035" w:rsidP="00E915A0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90" w:firstLine="5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Սույն օրենքն ուժի մեջ </w:t>
      </w:r>
      <w:r w:rsidR="00951956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է մտնում պաշտոնական հրապարակ</w:t>
      </w:r>
      <w:r w:rsidR="00C06293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ման օրվանից</w:t>
      </w:r>
      <w:r w:rsidR="00BA4914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6742E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երեք </w:t>
      </w:r>
      <w:r w:rsidR="00387428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ամիս հետո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33B9A07A" w14:textId="6BE181A0" w:rsidR="00F72035" w:rsidRPr="00AD57DB" w:rsidRDefault="00F72035" w:rsidP="00E915A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536D768" w14:textId="77777777" w:rsidR="00DA02ED" w:rsidRPr="00AD57DB" w:rsidRDefault="00DA02ED" w:rsidP="00E915A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8603B2F" w14:textId="0E47D75A" w:rsidR="0095725C" w:rsidRPr="00AD57DB" w:rsidRDefault="0095725C" w:rsidP="00E915A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Վ. Խաչատուրյան</w:t>
      </w:r>
    </w:p>
    <w:p w14:paraId="7DFC2828" w14:textId="2D4CAB80" w:rsidR="00F72035" w:rsidRPr="00AD57DB" w:rsidRDefault="00F72035" w:rsidP="00E915A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ab/>
        <w:t>ՀՕ-  -Ն</w:t>
      </w:r>
    </w:p>
    <w:p w14:paraId="6F830799" w14:textId="06C59EC3" w:rsidR="00780862" w:rsidRPr="00AD57DB" w:rsidRDefault="00F72035" w:rsidP="00D41C99">
      <w:pPr>
        <w:shd w:val="clear" w:color="auto" w:fill="FFFFFF"/>
        <w:spacing w:after="0" w:line="360" w:lineRule="auto"/>
        <w:ind w:left="720"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  <w:r w:rsidR="008C745A" w:rsidRPr="00AD57DB">
        <w:rPr>
          <w:rFonts w:ascii="GHEA Mariam" w:eastAsia="Times New Roman" w:hAnsi="GHEA Mariam" w:cs="Times New Roman"/>
          <w:sz w:val="24"/>
          <w:szCs w:val="24"/>
        </w:rPr>
        <w:t xml:space="preserve">, 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C01A03"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Pr="00AD57DB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Pr="00AD57D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sectPr w:rsidR="00780862" w:rsidRPr="00AD5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4EF"/>
    <w:multiLevelType w:val="hybridMultilevel"/>
    <w:tmpl w:val="199A8988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366C78DB"/>
    <w:multiLevelType w:val="hybridMultilevel"/>
    <w:tmpl w:val="5586502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1B0E"/>
    <w:multiLevelType w:val="hybridMultilevel"/>
    <w:tmpl w:val="2196E03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A8D41ED"/>
    <w:multiLevelType w:val="hybridMultilevel"/>
    <w:tmpl w:val="9A808B36"/>
    <w:lvl w:ilvl="0" w:tplc="109803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AE"/>
    <w:rsid w:val="00000624"/>
    <w:rsid w:val="0000712C"/>
    <w:rsid w:val="00011460"/>
    <w:rsid w:val="000250AE"/>
    <w:rsid w:val="00034CB8"/>
    <w:rsid w:val="000462BD"/>
    <w:rsid w:val="000463A2"/>
    <w:rsid w:val="00057188"/>
    <w:rsid w:val="000641E2"/>
    <w:rsid w:val="00066AC2"/>
    <w:rsid w:val="00067A29"/>
    <w:rsid w:val="000718CA"/>
    <w:rsid w:val="0007544D"/>
    <w:rsid w:val="00082F00"/>
    <w:rsid w:val="00093431"/>
    <w:rsid w:val="00096D20"/>
    <w:rsid w:val="00096FB8"/>
    <w:rsid w:val="000A04B6"/>
    <w:rsid w:val="000A2205"/>
    <w:rsid w:val="000A28D1"/>
    <w:rsid w:val="000A2FAE"/>
    <w:rsid w:val="000A5748"/>
    <w:rsid w:val="000B081E"/>
    <w:rsid w:val="000B3BA7"/>
    <w:rsid w:val="000B3D00"/>
    <w:rsid w:val="000D2F4D"/>
    <w:rsid w:val="000E33D3"/>
    <w:rsid w:val="00113C2D"/>
    <w:rsid w:val="00117E94"/>
    <w:rsid w:val="001511ED"/>
    <w:rsid w:val="00161737"/>
    <w:rsid w:val="00164B10"/>
    <w:rsid w:val="00175FB0"/>
    <w:rsid w:val="00181B16"/>
    <w:rsid w:val="00183BCD"/>
    <w:rsid w:val="00196D52"/>
    <w:rsid w:val="001A7034"/>
    <w:rsid w:val="001B4303"/>
    <w:rsid w:val="001C38D9"/>
    <w:rsid w:val="001C4AF2"/>
    <w:rsid w:val="001C6037"/>
    <w:rsid w:val="001E39EB"/>
    <w:rsid w:val="001E654B"/>
    <w:rsid w:val="001E7675"/>
    <w:rsid w:val="001F15A4"/>
    <w:rsid w:val="00221AC2"/>
    <w:rsid w:val="00230613"/>
    <w:rsid w:val="00236E92"/>
    <w:rsid w:val="00243E0E"/>
    <w:rsid w:val="00244DFE"/>
    <w:rsid w:val="002477BA"/>
    <w:rsid w:val="00247FB9"/>
    <w:rsid w:val="00252D16"/>
    <w:rsid w:val="0026691A"/>
    <w:rsid w:val="002669DC"/>
    <w:rsid w:val="002676E9"/>
    <w:rsid w:val="00270194"/>
    <w:rsid w:val="00286BE2"/>
    <w:rsid w:val="00290897"/>
    <w:rsid w:val="002A18F3"/>
    <w:rsid w:val="002A44D9"/>
    <w:rsid w:val="002B37FD"/>
    <w:rsid w:val="002C73ED"/>
    <w:rsid w:val="002D1F6F"/>
    <w:rsid w:val="002D3F11"/>
    <w:rsid w:val="002E1761"/>
    <w:rsid w:val="002E2244"/>
    <w:rsid w:val="002E472C"/>
    <w:rsid w:val="002F17A9"/>
    <w:rsid w:val="003027D4"/>
    <w:rsid w:val="003361AF"/>
    <w:rsid w:val="003516F2"/>
    <w:rsid w:val="00351B41"/>
    <w:rsid w:val="0035331C"/>
    <w:rsid w:val="00354522"/>
    <w:rsid w:val="003555F5"/>
    <w:rsid w:val="00364C8F"/>
    <w:rsid w:val="003708E1"/>
    <w:rsid w:val="00370D13"/>
    <w:rsid w:val="00376882"/>
    <w:rsid w:val="003847DC"/>
    <w:rsid w:val="00387428"/>
    <w:rsid w:val="003A6994"/>
    <w:rsid w:val="003A7852"/>
    <w:rsid w:val="003C1642"/>
    <w:rsid w:val="003C1B6B"/>
    <w:rsid w:val="003C5B76"/>
    <w:rsid w:val="003D5165"/>
    <w:rsid w:val="003D6094"/>
    <w:rsid w:val="003E24F9"/>
    <w:rsid w:val="003F5AE0"/>
    <w:rsid w:val="00407FC6"/>
    <w:rsid w:val="004101FE"/>
    <w:rsid w:val="00411247"/>
    <w:rsid w:val="00416573"/>
    <w:rsid w:val="00417157"/>
    <w:rsid w:val="0043160D"/>
    <w:rsid w:val="00437045"/>
    <w:rsid w:val="00447785"/>
    <w:rsid w:val="00450D94"/>
    <w:rsid w:val="00455AEB"/>
    <w:rsid w:val="00456EA6"/>
    <w:rsid w:val="00457242"/>
    <w:rsid w:val="00467FA2"/>
    <w:rsid w:val="00472DD1"/>
    <w:rsid w:val="00476E79"/>
    <w:rsid w:val="00482C61"/>
    <w:rsid w:val="00483840"/>
    <w:rsid w:val="00486971"/>
    <w:rsid w:val="004948B5"/>
    <w:rsid w:val="00495800"/>
    <w:rsid w:val="00495FAE"/>
    <w:rsid w:val="004A522C"/>
    <w:rsid w:val="004B16AA"/>
    <w:rsid w:val="004C5098"/>
    <w:rsid w:val="004D543A"/>
    <w:rsid w:val="004E400A"/>
    <w:rsid w:val="004E639F"/>
    <w:rsid w:val="004F00E0"/>
    <w:rsid w:val="004F213C"/>
    <w:rsid w:val="004F6FD3"/>
    <w:rsid w:val="004F7241"/>
    <w:rsid w:val="0050095C"/>
    <w:rsid w:val="00500F87"/>
    <w:rsid w:val="0051499F"/>
    <w:rsid w:val="005369F8"/>
    <w:rsid w:val="00540767"/>
    <w:rsid w:val="0055153E"/>
    <w:rsid w:val="00552E2B"/>
    <w:rsid w:val="00557461"/>
    <w:rsid w:val="005575F0"/>
    <w:rsid w:val="00565074"/>
    <w:rsid w:val="005668BD"/>
    <w:rsid w:val="0057295B"/>
    <w:rsid w:val="005877A1"/>
    <w:rsid w:val="00597316"/>
    <w:rsid w:val="005A16B7"/>
    <w:rsid w:val="005A2D29"/>
    <w:rsid w:val="005B0931"/>
    <w:rsid w:val="005B3C3A"/>
    <w:rsid w:val="005D0024"/>
    <w:rsid w:val="005E549C"/>
    <w:rsid w:val="005F32B6"/>
    <w:rsid w:val="005F4EC2"/>
    <w:rsid w:val="005F7241"/>
    <w:rsid w:val="00603609"/>
    <w:rsid w:val="00606308"/>
    <w:rsid w:val="0061286B"/>
    <w:rsid w:val="00614E67"/>
    <w:rsid w:val="00620B58"/>
    <w:rsid w:val="00621D3F"/>
    <w:rsid w:val="00631933"/>
    <w:rsid w:val="00635E13"/>
    <w:rsid w:val="00641715"/>
    <w:rsid w:val="00663832"/>
    <w:rsid w:val="006731E1"/>
    <w:rsid w:val="006741D1"/>
    <w:rsid w:val="00677BEC"/>
    <w:rsid w:val="00685AC4"/>
    <w:rsid w:val="006911BF"/>
    <w:rsid w:val="0069480C"/>
    <w:rsid w:val="006A4EEB"/>
    <w:rsid w:val="006B4D9E"/>
    <w:rsid w:val="006C67B1"/>
    <w:rsid w:val="006C728F"/>
    <w:rsid w:val="006D1B1B"/>
    <w:rsid w:val="006E3DFF"/>
    <w:rsid w:val="006E3EEA"/>
    <w:rsid w:val="006E7BA3"/>
    <w:rsid w:val="0071067C"/>
    <w:rsid w:val="00723DAE"/>
    <w:rsid w:val="00727E55"/>
    <w:rsid w:val="007336AF"/>
    <w:rsid w:val="00747D4B"/>
    <w:rsid w:val="007504DD"/>
    <w:rsid w:val="00750867"/>
    <w:rsid w:val="00755EAD"/>
    <w:rsid w:val="00764396"/>
    <w:rsid w:val="00764D3D"/>
    <w:rsid w:val="00777539"/>
    <w:rsid w:val="00780862"/>
    <w:rsid w:val="00795734"/>
    <w:rsid w:val="007A157B"/>
    <w:rsid w:val="007B07F0"/>
    <w:rsid w:val="007B36E5"/>
    <w:rsid w:val="007B39B3"/>
    <w:rsid w:val="007B6CF8"/>
    <w:rsid w:val="007C267A"/>
    <w:rsid w:val="007C34BF"/>
    <w:rsid w:val="007D6606"/>
    <w:rsid w:val="007E3C2A"/>
    <w:rsid w:val="007E4BD9"/>
    <w:rsid w:val="007E719D"/>
    <w:rsid w:val="007F661F"/>
    <w:rsid w:val="008030C4"/>
    <w:rsid w:val="0081411E"/>
    <w:rsid w:val="00814286"/>
    <w:rsid w:val="00823C6F"/>
    <w:rsid w:val="00831DC2"/>
    <w:rsid w:val="00833E8F"/>
    <w:rsid w:val="008404CE"/>
    <w:rsid w:val="0084187A"/>
    <w:rsid w:val="008431F0"/>
    <w:rsid w:val="00853042"/>
    <w:rsid w:val="008530D4"/>
    <w:rsid w:val="00854EA7"/>
    <w:rsid w:val="0086304C"/>
    <w:rsid w:val="00863198"/>
    <w:rsid w:val="00882337"/>
    <w:rsid w:val="008A78E2"/>
    <w:rsid w:val="008B1E27"/>
    <w:rsid w:val="008B268A"/>
    <w:rsid w:val="008C220E"/>
    <w:rsid w:val="008C58C5"/>
    <w:rsid w:val="008C5E23"/>
    <w:rsid w:val="008C745A"/>
    <w:rsid w:val="008D0B59"/>
    <w:rsid w:val="008D100A"/>
    <w:rsid w:val="008E3F14"/>
    <w:rsid w:val="008E52B7"/>
    <w:rsid w:val="008F649C"/>
    <w:rsid w:val="0092368D"/>
    <w:rsid w:val="009304D9"/>
    <w:rsid w:val="009331B9"/>
    <w:rsid w:val="009334F1"/>
    <w:rsid w:val="0093638F"/>
    <w:rsid w:val="009412D8"/>
    <w:rsid w:val="00944592"/>
    <w:rsid w:val="00951956"/>
    <w:rsid w:val="0095725C"/>
    <w:rsid w:val="00971FE8"/>
    <w:rsid w:val="00976FA8"/>
    <w:rsid w:val="00992D9E"/>
    <w:rsid w:val="00997523"/>
    <w:rsid w:val="009A006D"/>
    <w:rsid w:val="009A581C"/>
    <w:rsid w:val="009C0AF2"/>
    <w:rsid w:val="009C1613"/>
    <w:rsid w:val="009D551E"/>
    <w:rsid w:val="009E2B83"/>
    <w:rsid w:val="009F5959"/>
    <w:rsid w:val="00A00C15"/>
    <w:rsid w:val="00A01116"/>
    <w:rsid w:val="00A025BD"/>
    <w:rsid w:val="00A22691"/>
    <w:rsid w:val="00A24D7A"/>
    <w:rsid w:val="00A324C1"/>
    <w:rsid w:val="00A434BA"/>
    <w:rsid w:val="00A5032A"/>
    <w:rsid w:val="00A51044"/>
    <w:rsid w:val="00A56E74"/>
    <w:rsid w:val="00A603DB"/>
    <w:rsid w:val="00A64542"/>
    <w:rsid w:val="00A6662D"/>
    <w:rsid w:val="00A74470"/>
    <w:rsid w:val="00A75C46"/>
    <w:rsid w:val="00A82E3B"/>
    <w:rsid w:val="00A8387B"/>
    <w:rsid w:val="00A95EEC"/>
    <w:rsid w:val="00AA7DFA"/>
    <w:rsid w:val="00AC4275"/>
    <w:rsid w:val="00AD425E"/>
    <w:rsid w:val="00AD485C"/>
    <w:rsid w:val="00AD57DB"/>
    <w:rsid w:val="00AE388A"/>
    <w:rsid w:val="00AF0F3C"/>
    <w:rsid w:val="00AF275B"/>
    <w:rsid w:val="00AF3853"/>
    <w:rsid w:val="00AF4DAA"/>
    <w:rsid w:val="00B021BF"/>
    <w:rsid w:val="00B02C82"/>
    <w:rsid w:val="00B276E6"/>
    <w:rsid w:val="00B37C17"/>
    <w:rsid w:val="00B648F4"/>
    <w:rsid w:val="00B6742E"/>
    <w:rsid w:val="00B67724"/>
    <w:rsid w:val="00B7386F"/>
    <w:rsid w:val="00B76428"/>
    <w:rsid w:val="00B81A55"/>
    <w:rsid w:val="00B825AD"/>
    <w:rsid w:val="00B865E0"/>
    <w:rsid w:val="00B90FA8"/>
    <w:rsid w:val="00B92C96"/>
    <w:rsid w:val="00B93373"/>
    <w:rsid w:val="00BA1763"/>
    <w:rsid w:val="00BA4914"/>
    <w:rsid w:val="00BA5FD6"/>
    <w:rsid w:val="00BC1CB8"/>
    <w:rsid w:val="00BC472D"/>
    <w:rsid w:val="00BD2F18"/>
    <w:rsid w:val="00BE1547"/>
    <w:rsid w:val="00BE1D73"/>
    <w:rsid w:val="00BE2742"/>
    <w:rsid w:val="00BF0FF2"/>
    <w:rsid w:val="00C01A03"/>
    <w:rsid w:val="00C06293"/>
    <w:rsid w:val="00C075C1"/>
    <w:rsid w:val="00C1458E"/>
    <w:rsid w:val="00C16E2E"/>
    <w:rsid w:val="00C400F9"/>
    <w:rsid w:val="00C43654"/>
    <w:rsid w:val="00C51793"/>
    <w:rsid w:val="00C62374"/>
    <w:rsid w:val="00C87896"/>
    <w:rsid w:val="00C91551"/>
    <w:rsid w:val="00C949D9"/>
    <w:rsid w:val="00CC6309"/>
    <w:rsid w:val="00CC652C"/>
    <w:rsid w:val="00CE4397"/>
    <w:rsid w:val="00CE5FD5"/>
    <w:rsid w:val="00CF651D"/>
    <w:rsid w:val="00D03114"/>
    <w:rsid w:val="00D16606"/>
    <w:rsid w:val="00D17B46"/>
    <w:rsid w:val="00D25F11"/>
    <w:rsid w:val="00D265A4"/>
    <w:rsid w:val="00D32BB5"/>
    <w:rsid w:val="00D41C99"/>
    <w:rsid w:val="00D433F8"/>
    <w:rsid w:val="00D60CB8"/>
    <w:rsid w:val="00D64D96"/>
    <w:rsid w:val="00D7245A"/>
    <w:rsid w:val="00D73C53"/>
    <w:rsid w:val="00D746FA"/>
    <w:rsid w:val="00D75F7C"/>
    <w:rsid w:val="00D835D3"/>
    <w:rsid w:val="00D90352"/>
    <w:rsid w:val="00D908AE"/>
    <w:rsid w:val="00D9160E"/>
    <w:rsid w:val="00D918B4"/>
    <w:rsid w:val="00D937E0"/>
    <w:rsid w:val="00D93CDA"/>
    <w:rsid w:val="00D94687"/>
    <w:rsid w:val="00D97C2B"/>
    <w:rsid w:val="00DA02ED"/>
    <w:rsid w:val="00DA7680"/>
    <w:rsid w:val="00DB0B80"/>
    <w:rsid w:val="00DB372A"/>
    <w:rsid w:val="00DC209D"/>
    <w:rsid w:val="00DC6F67"/>
    <w:rsid w:val="00DD35DB"/>
    <w:rsid w:val="00E0473C"/>
    <w:rsid w:val="00E13FC4"/>
    <w:rsid w:val="00E16E80"/>
    <w:rsid w:val="00E17497"/>
    <w:rsid w:val="00E226E3"/>
    <w:rsid w:val="00E336C5"/>
    <w:rsid w:val="00E51342"/>
    <w:rsid w:val="00E70230"/>
    <w:rsid w:val="00E710E2"/>
    <w:rsid w:val="00E73391"/>
    <w:rsid w:val="00E853F4"/>
    <w:rsid w:val="00E915A0"/>
    <w:rsid w:val="00E94735"/>
    <w:rsid w:val="00EA3125"/>
    <w:rsid w:val="00EA53A2"/>
    <w:rsid w:val="00EA5C86"/>
    <w:rsid w:val="00EC7B1E"/>
    <w:rsid w:val="00ED5C93"/>
    <w:rsid w:val="00ED5F3E"/>
    <w:rsid w:val="00EE7334"/>
    <w:rsid w:val="00EF6748"/>
    <w:rsid w:val="00F0135F"/>
    <w:rsid w:val="00F0521C"/>
    <w:rsid w:val="00F06A21"/>
    <w:rsid w:val="00F1267A"/>
    <w:rsid w:val="00F145F5"/>
    <w:rsid w:val="00F25C15"/>
    <w:rsid w:val="00F31D98"/>
    <w:rsid w:val="00F324D7"/>
    <w:rsid w:val="00F34B26"/>
    <w:rsid w:val="00F402B4"/>
    <w:rsid w:val="00F417D1"/>
    <w:rsid w:val="00F43407"/>
    <w:rsid w:val="00F54AA1"/>
    <w:rsid w:val="00F60EE5"/>
    <w:rsid w:val="00F60FA8"/>
    <w:rsid w:val="00F641E5"/>
    <w:rsid w:val="00F64585"/>
    <w:rsid w:val="00F67745"/>
    <w:rsid w:val="00F72035"/>
    <w:rsid w:val="00F73373"/>
    <w:rsid w:val="00F83A4F"/>
    <w:rsid w:val="00F92B55"/>
    <w:rsid w:val="00FA1C42"/>
    <w:rsid w:val="00FA62CB"/>
    <w:rsid w:val="00FB50D2"/>
    <w:rsid w:val="00FB7F67"/>
    <w:rsid w:val="00FC26BA"/>
    <w:rsid w:val="00FE50A3"/>
    <w:rsid w:val="00FF33DF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CC7B"/>
  <w15:chartTrackingRefBased/>
  <w15:docId w15:val="{BE4B2949-DC90-4752-9BE2-9925ED9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B41"/>
    <w:rPr>
      <w:b/>
      <w:bCs/>
    </w:rPr>
  </w:style>
  <w:style w:type="character" w:styleId="Emphasis">
    <w:name w:val="Emphasis"/>
    <w:basedOn w:val="DefaultParagraphFont"/>
    <w:uiPriority w:val="20"/>
    <w:qFormat/>
    <w:rsid w:val="00351B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04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3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0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F3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574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46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D419-4122-439A-8A61-3904CA45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Վալերի Կարապետյան</cp:lastModifiedBy>
  <cp:revision>73</cp:revision>
  <cp:lastPrinted>2025-11-03T08:07:00Z</cp:lastPrinted>
  <dcterms:created xsi:type="dcterms:W3CDTF">2025-11-03T04:37:00Z</dcterms:created>
  <dcterms:modified xsi:type="dcterms:W3CDTF">2025-11-03T08:39:00Z</dcterms:modified>
</cp:coreProperties>
</file>