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21" w:rsidRPr="00EE63C9" w:rsidRDefault="008C6C21" w:rsidP="00EE63C9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E63C9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812F1" w:rsidRPr="006812F1" w:rsidRDefault="006812F1" w:rsidP="006812F1">
      <w:pPr>
        <w:tabs>
          <w:tab w:val="left" w:pos="851"/>
        </w:tabs>
        <w:spacing w:after="0" w:line="360" w:lineRule="auto"/>
        <w:ind w:firstLine="567"/>
        <w:jc w:val="center"/>
        <w:rPr>
          <w:rFonts w:ascii="GHEA Grapalat" w:eastAsiaTheme="minorHAnsi" w:hAnsi="GHEA Grapalat"/>
          <w:b/>
          <w:sz w:val="24"/>
          <w:szCs w:val="24"/>
          <w:lang w:val="hy-AM"/>
        </w:rPr>
      </w:pPr>
      <w:r w:rsidRPr="006812F1">
        <w:rPr>
          <w:rFonts w:ascii="GHEA Grapalat" w:eastAsia="Times New Roman" w:hAnsi="GHEA Grapalat" w:cs="Sylfaen"/>
          <w:b/>
          <w:sz w:val="24"/>
          <w:szCs w:val="24"/>
          <w:lang w:val="hy-AM"/>
        </w:rPr>
        <w:t>«</w:t>
      </w:r>
      <w:r w:rsidR="006A7366">
        <w:rPr>
          <w:rFonts w:ascii="GHEA Grapalat" w:hAnsi="GHEA Grapalat"/>
          <w:b/>
          <w:sz w:val="24"/>
          <w:szCs w:val="24"/>
          <w:lang w:val="hy-AM"/>
        </w:rPr>
        <w:t>ԱՐԱՐԱՏՅԱՆ</w:t>
      </w:r>
      <w:r w:rsidRPr="006812F1">
        <w:rPr>
          <w:rFonts w:ascii="GHEA Grapalat" w:hAnsi="GHEA Grapalat"/>
          <w:b/>
          <w:sz w:val="24"/>
          <w:szCs w:val="24"/>
          <w:lang w:val="hy-AM"/>
        </w:rPr>
        <w:t xml:space="preserve"> ՋՐԱՎԱԶԱՆԱՅԻՆ ԿԱՌԱՎԱՐՄԱՆ ՏԱՐԱԾՔԻ 2025-2030 ԹՎԱԿԱՆՆԵՐԻ ԿԱՌԱՎԱՐՄԱՆ ՊԼԱՆԸ ՀԱՍՏԱՏԵԼՈՒ ՄԱՍԻՆ</w:t>
      </w:r>
      <w:r w:rsidR="00822FBA">
        <w:rPr>
          <w:rFonts w:ascii="GHEA Grapalat" w:eastAsia="Times New Roman" w:hAnsi="GHEA Grapalat" w:cs="Sylfaen"/>
          <w:b/>
          <w:sz w:val="24"/>
          <w:szCs w:val="24"/>
          <w:lang w:val="hy-AM"/>
        </w:rPr>
        <w:t>»</w:t>
      </w:r>
    </w:p>
    <w:p w:rsidR="008C6C21" w:rsidRDefault="008C6C21" w:rsidP="00EE63C9">
      <w:pPr>
        <w:tabs>
          <w:tab w:val="left" w:pos="851"/>
        </w:tabs>
        <w:spacing w:after="0" w:line="360" w:lineRule="auto"/>
        <w:ind w:firstLine="567"/>
        <w:jc w:val="center"/>
        <w:rPr>
          <w:rFonts w:ascii="GHEA Grapalat" w:hAnsi="GHEA Grapalat" w:cs="AK Courier"/>
          <w:b/>
          <w:sz w:val="24"/>
          <w:szCs w:val="24"/>
          <w:lang w:val="hy-AM"/>
        </w:rPr>
      </w:pPr>
      <w:r w:rsidRPr="006812F1">
        <w:rPr>
          <w:rFonts w:ascii="GHEA Grapalat" w:hAnsi="GHEA Grapalat" w:cs="AK Courier"/>
          <w:b/>
          <w:sz w:val="24"/>
          <w:szCs w:val="24"/>
          <w:lang w:val="hy-AM"/>
        </w:rPr>
        <w:t xml:space="preserve">ՀԱՅԱՍՏԱՆԻ ՀԱՆՐԱՊԵՏՈՒԹՅԱՆ ԿԱՌԱՎԱՐՈՒԹՅԱՆ </w:t>
      </w:r>
      <w:r w:rsidR="006812F1" w:rsidRPr="006812F1">
        <w:rPr>
          <w:rFonts w:ascii="GHEA Grapalat" w:hAnsi="GHEA Grapalat" w:cs="AK Courier"/>
          <w:b/>
          <w:sz w:val="24"/>
          <w:szCs w:val="24"/>
          <w:lang w:val="hy-AM"/>
        </w:rPr>
        <w:t xml:space="preserve">ՈՐՈՇՄԱՆ </w:t>
      </w:r>
      <w:r w:rsidRPr="006812F1">
        <w:rPr>
          <w:rFonts w:ascii="GHEA Grapalat" w:hAnsi="GHEA Grapalat" w:cs="AK Courier"/>
          <w:b/>
          <w:sz w:val="24"/>
          <w:szCs w:val="24"/>
          <w:lang w:val="hy-AM"/>
        </w:rPr>
        <w:t>ԸՆԴՈՒՆՄԱՆ ՎԵՐԱԲԵՐՅԱԼ</w:t>
      </w:r>
    </w:p>
    <w:p w:rsidR="00AC6A46" w:rsidRPr="006812F1" w:rsidRDefault="00AC6A46" w:rsidP="00EE63C9">
      <w:pPr>
        <w:tabs>
          <w:tab w:val="left" w:pos="851"/>
        </w:tabs>
        <w:spacing w:after="0" w:line="360" w:lineRule="auto"/>
        <w:ind w:firstLine="567"/>
        <w:jc w:val="center"/>
        <w:rPr>
          <w:rFonts w:ascii="GHEA Grapalat" w:hAnsi="GHEA Grapalat" w:cs="AK Courier"/>
          <w:b/>
          <w:sz w:val="24"/>
          <w:szCs w:val="24"/>
          <w:lang w:val="hy-AM"/>
        </w:rPr>
      </w:pPr>
    </w:p>
    <w:p w:rsidR="008C6C21" w:rsidRPr="00EE63C9" w:rsidRDefault="008C6C21" w:rsidP="00EE63C9">
      <w:pPr>
        <w:pStyle w:val="ListParagraph"/>
        <w:numPr>
          <w:ilvl w:val="0"/>
          <w:numId w:val="4"/>
        </w:numPr>
        <w:spacing w:after="0" w:line="360" w:lineRule="auto"/>
        <w:rPr>
          <w:rFonts w:ascii="GHEA Grapalat" w:hAnsi="GHEA Grapalat" w:cs="Calibri"/>
          <w:b/>
          <w:sz w:val="24"/>
        </w:rPr>
      </w:pPr>
      <w:r w:rsidRPr="00EE63C9">
        <w:rPr>
          <w:rFonts w:ascii="GHEA Grapalat" w:hAnsi="GHEA Grapalat" w:cs="Sylfaen"/>
          <w:b/>
          <w:sz w:val="24"/>
        </w:rPr>
        <w:t>Իրավական</w:t>
      </w:r>
      <w:r w:rsidRPr="00EE63C9">
        <w:rPr>
          <w:rFonts w:ascii="GHEA Grapalat" w:hAnsi="GHEA Grapalat" w:cs="Calibri"/>
          <w:b/>
          <w:sz w:val="24"/>
        </w:rPr>
        <w:t xml:space="preserve"> </w:t>
      </w:r>
      <w:r w:rsidRPr="00EE63C9">
        <w:rPr>
          <w:rFonts w:ascii="GHEA Grapalat" w:hAnsi="GHEA Grapalat" w:cs="Sylfaen"/>
          <w:b/>
          <w:sz w:val="24"/>
        </w:rPr>
        <w:t>ակտի</w:t>
      </w:r>
      <w:r w:rsidRPr="00EE63C9">
        <w:rPr>
          <w:rFonts w:ascii="GHEA Grapalat" w:hAnsi="GHEA Grapalat" w:cs="Calibri"/>
          <w:b/>
          <w:sz w:val="24"/>
        </w:rPr>
        <w:t xml:space="preserve"> ընդունման անհրաժեշտությունը </w:t>
      </w:r>
    </w:p>
    <w:p w:rsidR="006D3E30" w:rsidRDefault="000B54FE" w:rsidP="000B54FE">
      <w:pPr>
        <w:tabs>
          <w:tab w:val="left" w:pos="851"/>
        </w:tabs>
        <w:spacing w:after="0" w:line="360" w:lineRule="auto"/>
        <w:jc w:val="both"/>
        <w:rPr>
          <w:rFonts w:ascii="GHEA Grapalat" w:hAnsi="GHEA Grapalat"/>
          <w:sz w:val="24"/>
          <w:szCs w:val="26"/>
          <w:lang w:val="af-ZA"/>
        </w:rPr>
      </w:pPr>
      <w:r>
        <w:rPr>
          <w:rFonts w:ascii="GHEA Grapalat" w:hAnsi="GHEA Grapalat"/>
          <w:sz w:val="24"/>
          <w:szCs w:val="26"/>
          <w:lang w:val="hy-AM"/>
        </w:rPr>
        <w:tab/>
      </w:r>
      <w:r w:rsidR="00D77FA6"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6812F1">
        <w:rPr>
          <w:rFonts w:ascii="GHEA Grapalat" w:eastAsia="Times New Roman" w:hAnsi="GHEA Grapalat" w:cs="Sylfaen"/>
          <w:b/>
          <w:sz w:val="24"/>
          <w:szCs w:val="24"/>
          <w:lang w:val="hy-AM"/>
        </w:rPr>
        <w:t>«</w:t>
      </w:r>
      <w:r w:rsidR="006A7366">
        <w:rPr>
          <w:rFonts w:ascii="GHEA Grapalat" w:hAnsi="GHEA Grapalat"/>
          <w:sz w:val="24"/>
          <w:szCs w:val="24"/>
          <w:lang w:val="hy-AM"/>
        </w:rPr>
        <w:t>Արարատյան</w:t>
      </w:r>
      <w:r w:rsidRPr="000B54FE">
        <w:rPr>
          <w:rFonts w:ascii="GHEA Grapalat" w:hAnsi="GHEA Grapalat"/>
          <w:sz w:val="24"/>
          <w:szCs w:val="24"/>
          <w:lang w:val="hy-AM"/>
        </w:rPr>
        <w:t xml:space="preserve"> ջրավազանային կառավարման տարածքի 2025-2030 թվականների կառավարման պլանը հաստատելու մասին</w:t>
      </w:r>
      <w:r w:rsidRPr="000B54FE">
        <w:rPr>
          <w:rFonts w:ascii="GHEA Grapalat" w:eastAsia="Times New Roman" w:hAnsi="GHEA Grapalat" w:cs="Sylfaen"/>
          <w:sz w:val="24"/>
          <w:szCs w:val="24"/>
          <w:lang w:val="hy-AM"/>
        </w:rPr>
        <w:t>»</w:t>
      </w:r>
      <w:r w:rsidRPr="000B54FE">
        <w:rPr>
          <w:rFonts w:ascii="GHEA Grapalat" w:eastAsiaTheme="minorHAnsi" w:hAnsi="GHEA Grapalat"/>
          <w:sz w:val="24"/>
          <w:szCs w:val="24"/>
          <w:lang w:val="hy-AM"/>
        </w:rPr>
        <w:t xml:space="preserve"> </w:t>
      </w:r>
      <w:r w:rsidRPr="000B54FE">
        <w:rPr>
          <w:rFonts w:ascii="GHEA Grapalat" w:hAnsi="GHEA Grapalat" w:cs="AK Courier"/>
          <w:sz w:val="24"/>
          <w:szCs w:val="24"/>
          <w:lang w:val="hy-AM"/>
        </w:rPr>
        <w:t xml:space="preserve">Հայաստանի </w:t>
      </w:r>
      <w:r>
        <w:rPr>
          <w:rFonts w:ascii="GHEA Grapalat" w:hAnsi="GHEA Grapalat" w:cs="AK Courier"/>
          <w:sz w:val="24"/>
          <w:szCs w:val="24"/>
          <w:lang w:val="hy-AM"/>
        </w:rPr>
        <w:t>Հ</w:t>
      </w:r>
      <w:r w:rsidRPr="000B54FE">
        <w:rPr>
          <w:rFonts w:ascii="GHEA Grapalat" w:hAnsi="GHEA Grapalat" w:cs="AK Courier"/>
          <w:sz w:val="24"/>
          <w:szCs w:val="24"/>
          <w:lang w:val="hy-AM"/>
        </w:rPr>
        <w:t>անրապետության կառավարության որոշման</w:t>
      </w:r>
      <w:r w:rsidRPr="006812F1">
        <w:rPr>
          <w:rFonts w:ascii="GHEA Grapalat" w:hAnsi="GHEA Grapalat" w:cs="AK Courier"/>
          <w:b/>
          <w:sz w:val="24"/>
          <w:szCs w:val="24"/>
          <w:lang w:val="hy-AM"/>
        </w:rPr>
        <w:t xml:space="preserve"> </w:t>
      </w:r>
      <w:r w:rsidR="00D77FA6" w:rsidRPr="00EE63C9">
        <w:rPr>
          <w:rFonts w:ascii="GHEA Grapalat" w:eastAsia="Times New Roman" w:hAnsi="GHEA Grapalat" w:cs="Sylfaen"/>
          <w:sz w:val="24"/>
          <w:szCs w:val="24"/>
          <w:lang w:val="hy-AM"/>
        </w:rPr>
        <w:t>նախագ</w:t>
      </w:r>
      <w:r w:rsidR="00CF4001" w:rsidRPr="00EE63C9">
        <w:rPr>
          <w:rFonts w:ascii="GHEA Grapalat" w:eastAsia="Times New Roman" w:hAnsi="GHEA Grapalat" w:cs="Sylfaen"/>
          <w:sz w:val="24"/>
          <w:szCs w:val="24"/>
          <w:lang w:val="hy-AM"/>
        </w:rPr>
        <w:t>իծ</w:t>
      </w:r>
      <w:r w:rsidR="00CF4001" w:rsidRPr="000B54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ը </w:t>
      </w:r>
      <w:r w:rsidRPr="000B54FE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այսուհետ՝ Նախագիծ</w:t>
      </w:r>
      <w:r w:rsidRPr="000B54FE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CF4001" w:rsidRPr="000B54FE">
        <w:rPr>
          <w:rFonts w:ascii="GHEA Grapalat" w:eastAsia="Times New Roman" w:hAnsi="GHEA Grapalat" w:cs="Sylfaen"/>
          <w:sz w:val="24"/>
          <w:szCs w:val="24"/>
          <w:lang w:val="hy-AM"/>
        </w:rPr>
        <w:t>մշակվել է</w:t>
      </w:r>
      <w:r w:rsidR="00D77FA6" w:rsidRPr="00EE63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52B62" w:rsidRPr="000B54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հիմք ընդունելով </w:t>
      </w:r>
      <w:r w:rsidR="00CF4001" w:rsidRPr="00EE63C9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 ջ</w:t>
      </w:r>
      <w:r w:rsidR="003256F9">
        <w:rPr>
          <w:rFonts w:ascii="GHEA Grapalat" w:eastAsia="Times New Roman" w:hAnsi="GHEA Grapalat" w:cs="Sylfaen"/>
          <w:sz w:val="24"/>
          <w:szCs w:val="24"/>
          <w:lang w:val="hy-AM"/>
        </w:rPr>
        <w:t>րային օրենսգրքի 17-րդ հոդվածը,</w:t>
      </w:r>
      <w:r w:rsidR="00CF4001" w:rsidRPr="00EE63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«Ջրի ազգային քաղաքականության հիմնադրույթն</w:t>
      </w:r>
      <w:r w:rsidR="003256F9">
        <w:rPr>
          <w:rFonts w:ascii="GHEA Grapalat" w:eastAsia="Times New Roman" w:hAnsi="GHEA Grapalat" w:cs="Sylfaen"/>
          <w:sz w:val="24"/>
          <w:szCs w:val="24"/>
          <w:lang w:val="hy-AM"/>
        </w:rPr>
        <w:t>երի մասին» օրենքի 15-րդ հոդվածը</w:t>
      </w:r>
      <w:r w:rsidR="00712143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ԵՄ Ջրի շրջանակային դիրեկտիվը</w:t>
      </w:r>
      <w:r w:rsidRPr="000B54FE">
        <w:rPr>
          <w:rFonts w:ascii="GHEA Grapalat" w:eastAsia="Times New Roman" w:hAnsi="GHEA Grapalat" w:cs="Sylfaen"/>
          <w:sz w:val="24"/>
          <w:szCs w:val="24"/>
          <w:lang w:val="hy-AM"/>
        </w:rPr>
        <w:t xml:space="preserve"> (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2000 թվականի հոկտեմբերի 23-ի 2000/60/EC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հրահանգ</w:t>
      </w:r>
      <w:r w:rsidRPr="000B54FE">
        <w:rPr>
          <w:rFonts w:ascii="GHEA Grapalat" w:eastAsia="Times New Roman" w:hAnsi="GHEA Grapalat" w:cs="Calibri"/>
          <w:sz w:val="24"/>
          <w:szCs w:val="24"/>
          <w:lang w:val="hy-AM" w:eastAsia="ru-RU"/>
        </w:rPr>
        <w:t>)</w:t>
      </w:r>
      <w:r w:rsidR="00D77FA6" w:rsidRPr="00EE63C9">
        <w:rPr>
          <w:rFonts w:ascii="GHEA Grapalat" w:hAnsi="GHEA Grapalat"/>
          <w:sz w:val="24"/>
          <w:szCs w:val="26"/>
          <w:lang w:val="hy-AM"/>
        </w:rPr>
        <w:t>:</w:t>
      </w:r>
      <w:r w:rsidR="00D77FA6" w:rsidRPr="00EE63C9">
        <w:rPr>
          <w:rFonts w:ascii="GHEA Grapalat" w:hAnsi="GHEA Grapalat"/>
          <w:sz w:val="24"/>
          <w:szCs w:val="26"/>
          <w:lang w:val="af-ZA"/>
        </w:rPr>
        <w:t xml:space="preserve"> </w:t>
      </w:r>
    </w:p>
    <w:p w:rsidR="007C24A1" w:rsidRDefault="007C24A1" w:rsidP="007C24A1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756D39">
        <w:rPr>
          <w:rFonts w:ascii="GHEA Grapalat" w:hAnsi="GHEA Grapalat"/>
          <w:sz w:val="24"/>
          <w:szCs w:val="24"/>
          <w:lang w:val="hy-AM"/>
        </w:rPr>
        <w:t>Հայաստանի Հանրապետության` մի կողմից և Եվրոպական միության և ատոմային էներգիայի եվ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րոպական համայնքի և դրանց անդամ պետությունների` մյուս կողմից միջև 2017 թ. նո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յեմ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բե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րի 24-ին ստորագրվել է Համապարփակ և ընդլայնված գործընկերության համաձայնագիր (</w:t>
      </w:r>
      <w:r>
        <w:rPr>
          <w:rFonts w:ascii="GHEA Grapalat" w:hAnsi="GHEA Grapalat"/>
          <w:sz w:val="24"/>
          <w:szCs w:val="24"/>
          <w:lang w:val="hy-AM"/>
        </w:rPr>
        <w:t xml:space="preserve">այսուհետ՝ </w:t>
      </w:r>
      <w:r w:rsidRPr="00756D39">
        <w:rPr>
          <w:rFonts w:ascii="GHEA Grapalat" w:hAnsi="GHEA Grapalat"/>
          <w:sz w:val="24"/>
          <w:szCs w:val="24"/>
          <w:lang w:val="hy-AM"/>
        </w:rPr>
        <w:t>ՀԸԳՀ), ո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րում Հայաստանը հստակ պարտավորություններ է ստանձնել «Ջրի որակի և պա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շար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նե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րի կա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ռա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 xml:space="preserve">վարում» ոլորտում իրականացնել մոտարկում, ներառյալ` օրենսդրական: </w:t>
      </w:r>
    </w:p>
    <w:p w:rsidR="007C24A1" w:rsidRDefault="007C24A1" w:rsidP="007C24A1">
      <w:pPr>
        <w:spacing w:after="0" w:line="360" w:lineRule="auto"/>
        <w:ind w:firstLine="375"/>
        <w:jc w:val="both"/>
        <w:rPr>
          <w:rFonts w:ascii="GHEA Grapalat" w:eastAsia="Times New Roman" w:hAnsi="GHEA Grapalat" w:cs="Calibri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Ն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ախագծի ընդունումը բխում է ՀՀ վարչապետի 2019 թվականի  հունիսի 1-ի «Եվրոպական միության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և Ա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տոմային էներգիայի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Ե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վրոպական համայնքի ու դրանց անդամ պետությունների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միջև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կնքված համապարփակ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և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ընդլայնված գործընկերության համաձայնագրի կիրարկման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ճ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>անապարհային քարտեզ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ը հաստատելու մասին» 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>N666-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Լ որոշման հավելված 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>N1-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ի 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>99.5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-րդ</w:t>
      </w:r>
      <w:r w:rsidRPr="006B4D09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«Գետերի ավազանների կառավարման պլանների կազմում, խորհրդակցություններ հանրության հետ և այդ պլանների հրապարակում (13-րդ և 14-րդ հոդվածներ)» կետից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։ </w:t>
      </w:r>
    </w:p>
    <w:p w:rsidR="00D77FA6" w:rsidRDefault="00D77FA6" w:rsidP="00EE63C9">
      <w:pPr>
        <w:spacing w:after="0" w:line="360" w:lineRule="auto"/>
        <w:ind w:firstLine="706"/>
        <w:jc w:val="both"/>
        <w:rPr>
          <w:rFonts w:ascii="GHEA Grapalat" w:hAnsi="GHEA Grapalat"/>
          <w:sz w:val="24"/>
          <w:szCs w:val="26"/>
          <w:lang w:val="hy-AM"/>
        </w:rPr>
      </w:pPr>
      <w:r w:rsidRPr="00EE63C9">
        <w:rPr>
          <w:rFonts w:ascii="GHEA Grapalat" w:hAnsi="GHEA Grapalat" w:cs="Sylfaen"/>
          <w:sz w:val="24"/>
          <w:szCs w:val="26"/>
          <w:lang w:val="hy-AM"/>
        </w:rPr>
        <w:lastRenderedPageBreak/>
        <w:t>Ջրավազանային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կառավարման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պլանի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հիմնական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նպատակն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է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հավասարակշռել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ջրօգտագործողների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ներառյալ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գյուղատնտեսության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ձկնաբուծության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արդյունաբերության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էներգետիկայի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և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շրջակա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միջավայրի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փոխկապակցված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հարաբերությունները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ինչպես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նաև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աջակցելու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ջրային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ռեսուրսների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կառավարման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համար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պատասխանատու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մարմիններին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վարչական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մարմիններին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և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հանրությանը՝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ջրային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ռեսուրսների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ոլորտում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որոշումների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կայացմանը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, </w:t>
      </w:r>
      <w:r w:rsidRPr="00EE63C9">
        <w:rPr>
          <w:rFonts w:ascii="GHEA Grapalat" w:hAnsi="GHEA Grapalat" w:cs="Sylfaen"/>
          <w:sz w:val="24"/>
          <w:szCs w:val="26"/>
          <w:lang w:val="hy-AM"/>
        </w:rPr>
        <w:t>և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վերջին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հաշվով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դրանց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արդյունավետ</w:t>
      </w:r>
      <w:r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Pr="00EE63C9">
        <w:rPr>
          <w:rFonts w:ascii="GHEA Grapalat" w:hAnsi="GHEA Grapalat" w:cs="Sylfaen"/>
          <w:sz w:val="24"/>
          <w:szCs w:val="26"/>
          <w:lang w:val="hy-AM"/>
        </w:rPr>
        <w:t>օգտագործմանը</w:t>
      </w:r>
      <w:r w:rsidRPr="00EE63C9">
        <w:rPr>
          <w:rFonts w:ascii="GHEA Grapalat" w:hAnsi="GHEA Grapalat"/>
          <w:sz w:val="24"/>
          <w:szCs w:val="26"/>
          <w:lang w:val="hy-AM"/>
        </w:rPr>
        <w:t>:</w:t>
      </w:r>
    </w:p>
    <w:p w:rsidR="008C6C21" w:rsidRPr="00263F57" w:rsidRDefault="008C6C21" w:rsidP="00263F57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2"/>
          <w:lang w:val="hy-AM"/>
        </w:rPr>
      </w:pPr>
      <w:r w:rsidRPr="00263F57">
        <w:rPr>
          <w:rFonts w:ascii="GHEA Grapalat" w:hAnsi="GHEA Grapalat" w:cs="AK Courier"/>
          <w:b/>
          <w:sz w:val="24"/>
          <w:lang w:val="hy-AM"/>
        </w:rPr>
        <w:t>Ընթացիկ իրավիճակը և խնդիրները</w:t>
      </w:r>
    </w:p>
    <w:p w:rsidR="00BC02C7" w:rsidRDefault="00BC02C7" w:rsidP="00BC02C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Calibri"/>
          <w:sz w:val="24"/>
          <w:szCs w:val="24"/>
          <w:lang w:val="hy-AM" w:eastAsia="ru-RU"/>
        </w:rPr>
      </w:pP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Համաձայն ՀԸԳՀ-ի` ջրի որակի և պաշարների կառավարման ոլորտում Հայաստանը պար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>տա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>վո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 xml:space="preserve">րություններ է ստանձնել մշակել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ջ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t>րային քաղաքականության ոլորտում Համայնքի գործողությունների շրջանակը սահ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>մա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 xml:space="preserve">նող` Եվրոպական խորհրդարանի և Խորհրդի 2000 թվականի հոկտեմբերի 23-ի 2000/60/EC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հրահանգի </w:t>
      </w:r>
      <w:r w:rsidRPr="000B54FE">
        <w:rPr>
          <w:rFonts w:ascii="GHEA Grapalat" w:eastAsia="Times New Roman" w:hAnsi="GHEA Grapalat" w:cs="Calibri"/>
          <w:sz w:val="24"/>
          <w:szCs w:val="24"/>
          <w:lang w:val="hy-AM" w:eastAsia="ru-RU"/>
        </w:rPr>
        <w:t>(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t>դի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>րեկտիվ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ի</w:t>
      </w:r>
      <w:r w:rsidRPr="000B54FE">
        <w:rPr>
          <w:rFonts w:ascii="GHEA Grapalat" w:eastAsia="Times New Roman" w:hAnsi="GHEA Grapalat" w:cs="Calibri"/>
          <w:sz w:val="24"/>
          <w:szCs w:val="24"/>
          <w:lang w:val="hy-AM" w:eastAsia="ru-RU"/>
        </w:rPr>
        <w:t>)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՝ </w:t>
      </w:r>
      <w:r w:rsidRPr="00263F57">
        <w:rPr>
          <w:rFonts w:ascii="GHEA Grapalat" w:eastAsia="Times New Roman" w:hAnsi="GHEA Grapalat" w:cs="Calibri"/>
          <w:sz w:val="24"/>
          <w:szCs w:val="24"/>
          <w:lang w:val="hy-AM" w:eastAsia="ru-RU"/>
        </w:rPr>
        <w:t>ԵՄ Ջրի շրջանակային դիրեկտիվ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ի 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(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այսուհետ՝ 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ՋՇԴ) սկզբունքներին հա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>մահունչ գետավազանային կառավարման պլաններ, իրականացնել խորհրդակցություններ հան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softHyphen/>
        <w:t>րության հետ և հրապարակել այդ պլանները` հիմնվելով ՋՇԴ 13-րդ և 14-րդ հոդվածն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եր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ի վրա: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ՋՇԴ 13-րդ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հոդվածի համաձայն՝  ա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նդամ պետություններն ապահովում են, որ գետավազանային կառավարման պլան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կազմվի ամբողջությամբ իրենց պետության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տարածքում գտնվող յուրաքանչյուր գետավազանային տարածքի համար։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Գետավազանային կառավարման պլանն ընդգրկում է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ՋՇԴ VII հավելվածում նշված տեղեկությունները, ինչը համապատասխանում է սույն Նախագծում ընդգրկված տեղեկատվությանը։  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ՋՇԴ 1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>4</w:t>
      </w:r>
      <w:r w:rsidRPr="00756D39">
        <w:rPr>
          <w:rFonts w:ascii="GHEA Grapalat" w:eastAsia="Times New Roman" w:hAnsi="GHEA Grapalat" w:cs="Calibri"/>
          <w:sz w:val="24"/>
          <w:szCs w:val="24"/>
          <w:lang w:val="hy-AM" w:eastAsia="ru-RU"/>
        </w:rPr>
        <w:t>-րդ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հոդվածի համաձայն՝ ա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նդամ պետությունները խրախուսում ե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ն բոլոր շահագրգիռ կողմերի ակտիվ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մասնակցությունը գետավազանային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կառավարման պլանների ստեղծմանը,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վերանայմանը և թարմացմանը։ Անդամ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պետություններն ապահովում են, որ յուրաքանչյուր գետավազանային տարածքի համար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պլանները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հրապարակեն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և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մատչելի դարձվեն մեկնաբանությունների և առաջարկությունների համար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(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հանրային 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lastRenderedPageBreak/>
        <w:t>լսումերի և Նախագծի հրապարակայնության վերաբերյալ տեղեկատվությունը ներկայացված է սույն հիմնավորման 4-րդ մասում և Նախագծի</w:t>
      </w:r>
      <w:r w:rsidRPr="00A262A4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գլուխ 16-ում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>)</w:t>
      </w: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։ </w:t>
      </w:r>
      <w:r w:rsidRPr="00A262A4"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 </w:t>
      </w:r>
    </w:p>
    <w:p w:rsidR="00363C73" w:rsidRDefault="00BC02C7" w:rsidP="007F228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Calibri"/>
          <w:sz w:val="24"/>
          <w:szCs w:val="24"/>
          <w:lang w:val="hy-AM" w:eastAsia="ru-RU"/>
        </w:rPr>
        <w:t xml:space="preserve">ԵՄ ՋՇԴ </w:t>
      </w:r>
      <w:r w:rsidRPr="00367D93">
        <w:rPr>
          <w:rFonts w:ascii="GHEA Grapalat" w:hAnsi="GHEA Grapalat"/>
          <w:sz w:val="24"/>
          <w:szCs w:val="24"/>
          <w:lang w:val="hy-AM"/>
        </w:rPr>
        <w:t xml:space="preserve">2000/60/EC Հրահանգի մոտարկմանն </w:t>
      </w:r>
      <w:r>
        <w:rPr>
          <w:rFonts w:ascii="GHEA Grapalat" w:hAnsi="GHEA Grapalat"/>
          <w:sz w:val="24"/>
          <w:szCs w:val="24"/>
          <w:lang w:val="hy-AM"/>
        </w:rPr>
        <w:t xml:space="preserve">ուղղությամբ </w:t>
      </w:r>
      <w:r w:rsidR="00EE1618">
        <w:rPr>
          <w:rFonts w:ascii="GHEA Grapalat" w:hAnsi="GHEA Grapalat"/>
          <w:sz w:val="24"/>
          <w:szCs w:val="24"/>
          <w:lang w:val="hy-AM"/>
        </w:rPr>
        <w:t>իրականացվել են փոփոխություններ և լրացումներ</w:t>
      </w:r>
      <w:r w:rsidRPr="00367D93">
        <w:rPr>
          <w:rFonts w:ascii="GHEA Grapalat" w:hAnsi="GHEA Grapalat"/>
          <w:sz w:val="24"/>
          <w:szCs w:val="24"/>
          <w:lang w:val="hy-AM"/>
        </w:rPr>
        <w:t xml:space="preserve"> </w:t>
      </w:r>
      <w:r w:rsidR="007F228E" w:rsidRPr="00363C73">
        <w:rPr>
          <w:rFonts w:ascii="GHEA Grapalat" w:hAnsi="GHEA Grapalat"/>
          <w:sz w:val="24"/>
          <w:szCs w:val="24"/>
          <w:lang w:val="hy-AM"/>
        </w:rPr>
        <w:t>ՀՀ ջրային օրենսգրքում</w:t>
      </w:r>
      <w:r w:rsidR="00363C73">
        <w:rPr>
          <w:rFonts w:ascii="GHEA Grapalat" w:hAnsi="GHEA Grapalat"/>
          <w:sz w:val="24"/>
          <w:szCs w:val="24"/>
          <w:lang w:val="hy-AM"/>
        </w:rPr>
        <w:t xml:space="preserve"> (</w:t>
      </w:r>
      <w:r w:rsidR="00363C73" w:rsidRPr="00363C73">
        <w:rPr>
          <w:rFonts w:ascii="GHEA Grapalat" w:hAnsi="GHEA Grapalat"/>
          <w:sz w:val="24"/>
          <w:szCs w:val="24"/>
          <w:lang w:val="hy-AM"/>
        </w:rPr>
        <w:t>07.07.2022, ՀՕ-316-Ն)</w:t>
      </w:r>
      <w:r w:rsidR="007F228E" w:rsidRPr="00363C73">
        <w:rPr>
          <w:rFonts w:ascii="GHEA Grapalat" w:hAnsi="GHEA Grapalat"/>
          <w:sz w:val="24"/>
          <w:szCs w:val="24"/>
          <w:lang w:val="hy-AM"/>
        </w:rPr>
        <w:t xml:space="preserve">, «Ջրի ազգային ծրագրի մասին» </w:t>
      </w:r>
      <w:r w:rsidR="00363C73" w:rsidRPr="00363C73">
        <w:rPr>
          <w:rFonts w:ascii="GHEA Grapalat" w:hAnsi="GHEA Grapalat"/>
          <w:sz w:val="24"/>
          <w:szCs w:val="24"/>
          <w:lang w:val="hy-AM"/>
        </w:rPr>
        <w:t xml:space="preserve">(07.07.2022, ՀՕ-317-Ն) </w:t>
      </w:r>
      <w:r w:rsidR="007F228E" w:rsidRPr="00363C73">
        <w:rPr>
          <w:rFonts w:ascii="GHEA Grapalat" w:hAnsi="GHEA Grapalat"/>
          <w:sz w:val="24"/>
          <w:szCs w:val="24"/>
          <w:lang w:val="hy-AM"/>
        </w:rPr>
        <w:t>և «Ջրի ազգային քաղաքականության հիմնադրույթների մասին»</w:t>
      </w:r>
      <w:r w:rsidR="00363C73" w:rsidRPr="00363C73">
        <w:rPr>
          <w:rFonts w:ascii="GHEA Grapalat" w:hAnsi="GHEA Grapalat"/>
          <w:sz w:val="24"/>
          <w:szCs w:val="24"/>
          <w:lang w:val="hy-AM"/>
        </w:rPr>
        <w:t xml:space="preserve"> (07.07.2022, ՀՕ-318-Ն)</w:t>
      </w:r>
      <w:r w:rsidR="007F228E" w:rsidRPr="00363C73">
        <w:rPr>
          <w:rFonts w:ascii="GHEA Grapalat" w:hAnsi="GHEA Grapalat"/>
          <w:sz w:val="24"/>
          <w:szCs w:val="24"/>
          <w:lang w:val="hy-AM"/>
        </w:rPr>
        <w:t xml:space="preserve"> ՀՀ օրենքներում</w:t>
      </w:r>
      <w:r w:rsidR="00363C73">
        <w:rPr>
          <w:rFonts w:ascii="GHEA Grapalat" w:hAnsi="GHEA Grapalat"/>
          <w:sz w:val="24"/>
          <w:szCs w:val="24"/>
          <w:lang w:val="hy-AM"/>
        </w:rPr>
        <w:t>՝</w:t>
      </w:r>
    </w:p>
    <w:p w:rsidR="00BC02C7" w:rsidRDefault="00BC02C7" w:rsidP="00363C7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Calibri" w:hAnsi="GHEA Grapalat"/>
          <w:sz w:val="24"/>
          <w:lang w:val="hy-AM"/>
        </w:rPr>
      </w:pPr>
      <w:r w:rsidRPr="00363C73">
        <w:rPr>
          <w:rFonts w:ascii="GHEA Grapalat" w:eastAsia="Calibri" w:hAnsi="GHEA Grapalat"/>
          <w:sz w:val="24"/>
          <w:lang w:val="hy-AM"/>
        </w:rPr>
        <w:t xml:space="preserve">սահմանվել են </w:t>
      </w:r>
      <w:r w:rsidR="00363C73" w:rsidRPr="00363C73">
        <w:rPr>
          <w:rFonts w:ascii="GHEA Grapalat" w:eastAsia="Calibri" w:hAnsi="GHEA Grapalat"/>
          <w:sz w:val="24"/>
          <w:lang w:val="hy-AM"/>
        </w:rPr>
        <w:t>նոր հասկացություններ</w:t>
      </w:r>
      <w:r w:rsidRPr="00363C73">
        <w:rPr>
          <w:rFonts w:ascii="GHEA Grapalat" w:eastAsia="Calibri" w:hAnsi="GHEA Grapalat"/>
          <w:sz w:val="24"/>
          <w:lang w:val="hy-AM"/>
        </w:rPr>
        <w:t xml:space="preserve"> մակերևութային ջրային մարմին, ստորերկրյա ջրային մարմին, խիստ փոփոխված ջրային մարմին, ջրային ռեսուրսի ինքնամաքրում, կլիմայի փոփոխության նկատմամբ ջրային ռեսուրսների խոցելիություն և հարմարվողականություն և այլ հասկացություններ.</w:t>
      </w:r>
    </w:p>
    <w:p w:rsidR="00BC02C7" w:rsidRPr="00363C73" w:rsidRDefault="00BC02C7" w:rsidP="00363C7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Calibri" w:hAnsi="GHEA Grapalat"/>
          <w:sz w:val="24"/>
          <w:lang w:val="hy-AM"/>
        </w:rPr>
      </w:pPr>
      <w:r w:rsidRPr="00363C73">
        <w:rPr>
          <w:rFonts w:ascii="GHEA Grapalat" w:hAnsi="GHEA Grapalat" w:cs="Calibri"/>
          <w:sz w:val="24"/>
          <w:lang w:val="hy-AM" w:eastAsia="ru-RU"/>
        </w:rPr>
        <w:t>ամրագրվել է մակերևութային ջրերի որակի հինգ կարգավիճակներ` «ջրային մարմնի գերազանց կարգավիճակ», «ջրային մարմնի լավ կարգավիճակ», «ջրային մարմնի միջակ կարգավիճակ», «ջրային մարմնի անբավարար կարգավիճակ», «ջրային մարմնի վատ կարգավիճակ»` կախված ջրային մարմնի ֆիզիկաքիմիական, հիդրոմորֆոլոգիական և կենսաբանական բնութագրիչներից.</w:t>
      </w:r>
    </w:p>
    <w:p w:rsidR="00BC02C7" w:rsidRPr="00363C73" w:rsidRDefault="00BC02C7" w:rsidP="00363C7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Calibri" w:hAnsi="GHEA Grapalat"/>
          <w:sz w:val="24"/>
          <w:lang w:val="hy-AM"/>
        </w:rPr>
      </w:pPr>
      <w:r w:rsidRPr="00363C73">
        <w:rPr>
          <w:rFonts w:ascii="GHEA Grapalat" w:hAnsi="GHEA Grapalat" w:cs="Calibri"/>
          <w:sz w:val="24"/>
          <w:lang w:val="hy-AM" w:eastAsia="ru-RU"/>
        </w:rPr>
        <w:t>տարանջատվել են ստորերկրյա ջրային մարմինների լավ և վատ  կարգավիճակ.</w:t>
      </w:r>
    </w:p>
    <w:p w:rsidR="00BC02C7" w:rsidRPr="00363C73" w:rsidRDefault="00BC02C7" w:rsidP="00363C7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Calibri" w:hAnsi="GHEA Grapalat"/>
          <w:sz w:val="24"/>
          <w:lang w:val="hy-AM"/>
        </w:rPr>
      </w:pPr>
      <w:r w:rsidRPr="00363C73">
        <w:rPr>
          <w:rFonts w:ascii="GHEA Grapalat" w:hAnsi="GHEA Grapalat" w:cs="Calibri"/>
          <w:sz w:val="24"/>
          <w:lang w:val="hy-AM" w:eastAsia="ru-RU"/>
        </w:rPr>
        <w:t xml:space="preserve">նախատեսվել է ունենալ հեղեղումների վտանգների և հեղեղումների առաջացման ռիսկերի քարտեզներ. </w:t>
      </w:r>
    </w:p>
    <w:p w:rsidR="00BC02C7" w:rsidRPr="00363C73" w:rsidRDefault="00BC02C7" w:rsidP="00363C7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GHEA Grapalat" w:eastAsia="Calibri" w:hAnsi="GHEA Grapalat"/>
          <w:sz w:val="24"/>
          <w:lang w:val="hy-AM"/>
        </w:rPr>
      </w:pPr>
      <w:r w:rsidRPr="00363C73">
        <w:rPr>
          <w:rFonts w:ascii="GHEA Grapalat" w:hAnsi="GHEA Grapalat" w:cs="Calibri"/>
          <w:sz w:val="24"/>
          <w:lang w:val="hy-AM" w:eastAsia="ru-RU"/>
        </w:rPr>
        <w:t>ամրագրվել է ջրամատակարարման և ջրահեռացման հավասար հասանելիություն ապահովելու սկզբունքը, որը կապահովի հավասար հասանելիություն անձանց, այդ թվում այդ ծառայությունների հավասար հասանելիության ապահովման տեսանկյունից խոցելի և մեկուսացված խմբերում ներառված անձանց համար:</w:t>
      </w:r>
    </w:p>
    <w:p w:rsidR="00BC02C7" w:rsidRDefault="00BC02C7" w:rsidP="00BC02C7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Calibri"/>
          <w:sz w:val="24"/>
          <w:szCs w:val="24"/>
          <w:lang w:val="hy-AM" w:eastAsia="ru-RU"/>
        </w:rPr>
      </w:pPr>
    </w:p>
    <w:p w:rsidR="006A7366" w:rsidRDefault="006A7366" w:rsidP="006A7366">
      <w:pPr>
        <w:pStyle w:val="mechtex"/>
        <w:spacing w:line="360" w:lineRule="auto"/>
        <w:ind w:firstLine="360"/>
        <w:jc w:val="both"/>
        <w:rPr>
          <w:rFonts w:ascii="GHEA Grapalat" w:hAnsi="GHEA Grapalat"/>
          <w:szCs w:val="24"/>
          <w:lang w:val="hy-AM"/>
        </w:rPr>
      </w:pPr>
      <w:r w:rsidRPr="006A7366">
        <w:rPr>
          <w:rFonts w:ascii="GHEA Grapalat" w:hAnsi="GHEA Grapalat" w:cs="Calibri"/>
          <w:szCs w:val="24"/>
          <w:lang w:val="hy-AM"/>
        </w:rPr>
        <w:lastRenderedPageBreak/>
        <w:t xml:space="preserve">Կառավարության 2016 թվականի մարտի 31-ի N338–Ն որոշմամբ հաստատվել է «Արարատյան  ջրավազանային  տարածքի  2016-2021 թվականների կառավարման պլանը և արդյունավետ կառավարմանն ուղղված առաջնահերթ միջոցառումները հաստատելու մասին» որոշումը, իսկ Կառավարության 2016 թվականի մարտի 31-ի նիստի N12 արձանագրության 32-րդ կետով հավանության է արժանացել  </w:t>
      </w:r>
      <w:r w:rsidR="00134A95">
        <w:rPr>
          <w:rFonts w:ascii="GHEA Grapalat" w:hAnsi="GHEA Grapalat" w:cs="Calibri"/>
          <w:szCs w:val="24"/>
          <w:lang w:val="hy-AM"/>
        </w:rPr>
        <w:t xml:space="preserve">Արարատյան </w:t>
      </w:r>
      <w:r w:rsidRPr="006A7366">
        <w:rPr>
          <w:rFonts w:ascii="GHEA Grapalat" w:hAnsi="GHEA Grapalat" w:cs="Calibri"/>
          <w:szCs w:val="24"/>
          <w:lang w:val="hy-AM"/>
        </w:rPr>
        <w:t>ջրավազանային տարածքի կառավարման պլանի 2016-2021</w:t>
      </w:r>
      <w:bookmarkStart w:id="0" w:name="_GoBack"/>
      <w:bookmarkEnd w:id="0"/>
      <w:r w:rsidRPr="006A7366">
        <w:rPr>
          <w:rFonts w:ascii="GHEA Grapalat" w:hAnsi="GHEA Grapalat" w:cs="Calibri"/>
          <w:szCs w:val="24"/>
          <w:lang w:val="hy-AM"/>
        </w:rPr>
        <w:t xml:space="preserve"> թվականների միջոցառումների ծրագիրը։ Կառավարության 2016 թվականի մարտի 31-ի N338–Ն որոշմամբ</w:t>
      </w:r>
      <w:r w:rsidRPr="00B44B1A">
        <w:rPr>
          <w:rFonts w:ascii="GHEA Grapalat" w:hAnsi="GHEA Grapalat"/>
          <w:szCs w:val="24"/>
          <w:lang w:val="hy-AM"/>
        </w:rPr>
        <w:t xml:space="preserve"> գործողության ժամկետը 2021 թվականին ավարտվել է, իսկ արձանագրային որոշումը ուժը կորցրած է ճանաչվել (Կառավարության 2021 թվականի հոկտեմբերի 21-ի N 1728-Ն որոշում)։</w:t>
      </w:r>
    </w:p>
    <w:p w:rsidR="001669D4" w:rsidRPr="00B514C1" w:rsidRDefault="003B3DC6" w:rsidP="00B514C1">
      <w:pPr>
        <w:pStyle w:val="mechtex"/>
        <w:spacing w:line="360" w:lineRule="auto"/>
        <w:ind w:firstLine="720"/>
        <w:jc w:val="both"/>
        <w:rPr>
          <w:rFonts w:ascii="GHEA Grapalat" w:eastAsia="Calibri" w:hAnsi="GHEA Grapalat" w:cs="Sylfaen"/>
          <w:szCs w:val="26"/>
          <w:lang w:val="hy-AM" w:eastAsia="en-US"/>
        </w:rPr>
      </w:pPr>
      <w:r>
        <w:rPr>
          <w:rFonts w:ascii="GHEA Grapalat" w:eastAsia="Calibri" w:hAnsi="GHEA Grapalat" w:cs="Arial"/>
          <w:bCs/>
          <w:szCs w:val="26"/>
          <w:lang w:val="hy-AM" w:eastAsia="en-US"/>
        </w:rPr>
        <w:t>Նախագիծը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հանդիսանում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է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ջրավազանային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կառավարման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2-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րդ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վեցամյա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856D92" w:rsidRPr="00B514C1">
        <w:rPr>
          <w:rFonts w:ascii="GHEA Grapalat" w:eastAsia="Calibri" w:hAnsi="GHEA Grapalat" w:cs="Arial"/>
          <w:bCs/>
          <w:szCs w:val="26"/>
          <w:lang w:val="hy-AM" w:eastAsia="en-US"/>
        </w:rPr>
        <w:t>գործողության</w:t>
      </w:r>
      <w:r w:rsidR="00856D92" w:rsidRP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 </w:t>
      </w:r>
      <w:r w:rsidR="00B514C1">
        <w:rPr>
          <w:rFonts w:ascii="GHEA Grapalat" w:eastAsia="Calibri" w:hAnsi="GHEA Grapalat" w:cs="Arial"/>
          <w:bCs/>
          <w:szCs w:val="26"/>
          <w:lang w:val="hy-AM" w:eastAsia="en-US"/>
        </w:rPr>
        <w:t>փաստաթուղթ</w:t>
      </w:r>
      <w:r w:rsidR="00B514C1">
        <w:rPr>
          <w:rFonts w:ascii="GHEA Grapalat" w:eastAsia="Calibri" w:hAnsi="GHEA Grapalat" w:cs="Sylfaen"/>
          <w:bCs/>
          <w:szCs w:val="26"/>
          <w:lang w:val="hy-AM" w:eastAsia="en-US"/>
        </w:rPr>
        <w:t xml:space="preserve">։ </w:t>
      </w:r>
      <w:r w:rsidR="00552B62" w:rsidRPr="00EE63C9">
        <w:rPr>
          <w:rFonts w:ascii="GHEA Grapalat" w:hAnsi="GHEA Grapalat"/>
          <w:szCs w:val="26"/>
          <w:lang w:val="af-ZA"/>
        </w:rPr>
        <w:t xml:space="preserve"> </w:t>
      </w:r>
      <w:r w:rsidR="00552B62" w:rsidRPr="00EE63C9">
        <w:rPr>
          <w:rFonts w:ascii="GHEA Grapalat" w:hAnsi="GHEA Grapalat"/>
          <w:szCs w:val="26"/>
          <w:lang w:val="af-ZA"/>
        </w:rPr>
        <w:tab/>
      </w:r>
      <w:r w:rsidR="00552B62" w:rsidRPr="00EE63C9">
        <w:rPr>
          <w:rFonts w:ascii="GHEA Grapalat" w:hAnsi="GHEA Grapalat"/>
          <w:szCs w:val="26"/>
          <w:lang w:val="hy-AM"/>
        </w:rPr>
        <w:t xml:space="preserve"> </w:t>
      </w:r>
    </w:p>
    <w:p w:rsidR="00552B62" w:rsidRPr="00EE63C9" w:rsidRDefault="003B3DC6" w:rsidP="00EE63C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6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="00B42FC8" w:rsidRPr="00EE63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ախագծում ներառված են՝ 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>ջրավազանային կառավարման տարածքի և ջրային ռեսուրսների   ընդհանուր նկարագիր</w:t>
      </w:r>
      <w:r w:rsidR="00B42FC8" w:rsidRPr="00EE63C9">
        <w:rPr>
          <w:rFonts w:ascii="GHEA Grapalat" w:hAnsi="GHEA Grapalat"/>
          <w:sz w:val="24"/>
          <w:szCs w:val="26"/>
          <w:lang w:val="hy-AM"/>
        </w:rPr>
        <w:t>ը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>,</w:t>
      </w:r>
      <w:r w:rsidR="00552B62" w:rsidRPr="00EE63C9">
        <w:rPr>
          <w:rFonts w:ascii="GHEA Grapalat" w:hAnsi="GHEA Grapalat"/>
          <w:b/>
          <w:sz w:val="24"/>
          <w:szCs w:val="26"/>
          <w:lang w:val="hy-AM"/>
        </w:rPr>
        <w:t xml:space="preserve"> 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>օգտագործելի ջրային ռեսուրսների, ռազմավարական և ազգային ջրային պաշարների հաշվարկ</w:t>
      </w:r>
      <w:r w:rsidR="00B42FC8" w:rsidRPr="00EE63C9">
        <w:rPr>
          <w:rFonts w:ascii="GHEA Grapalat" w:hAnsi="GHEA Grapalat"/>
          <w:sz w:val="24"/>
          <w:szCs w:val="26"/>
          <w:lang w:val="hy-AM"/>
        </w:rPr>
        <w:t>ը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 xml:space="preserve">, գետերի էկոլոգիական թողքերի </w:t>
      </w:r>
      <w:r w:rsidR="00B42FC8" w:rsidRPr="00EE63C9">
        <w:rPr>
          <w:rFonts w:ascii="GHEA Grapalat" w:hAnsi="GHEA Grapalat"/>
          <w:sz w:val="24"/>
          <w:szCs w:val="26"/>
          <w:lang w:val="hy-AM"/>
        </w:rPr>
        <w:t>հաշվարկները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>,</w:t>
      </w:r>
      <w:r w:rsidR="008A2044" w:rsidRPr="00EE63C9">
        <w:rPr>
          <w:rFonts w:ascii="GHEA Grapalat" w:hAnsi="GHEA Grapalat"/>
          <w:sz w:val="24"/>
          <w:szCs w:val="26"/>
          <w:lang w:val="hy-AM"/>
        </w:rPr>
        <w:t xml:space="preserve"> ջրավազանում ճնշումների և ազդեցությունների վերլուծությունը,</w:t>
      </w:r>
      <w:r w:rsidR="00B42FC8" w:rsidRPr="00EE63C9">
        <w:rPr>
          <w:rFonts w:ascii="GHEA Grapalat" w:hAnsi="GHEA Grapalat"/>
          <w:sz w:val="24"/>
          <w:szCs w:val="26"/>
          <w:lang w:val="hy-AM"/>
        </w:rPr>
        <w:t xml:space="preserve"> </w:t>
      </w:r>
      <w:r w:rsidR="00B514C1">
        <w:rPr>
          <w:rFonts w:ascii="GHEA Grapalat" w:eastAsia="Times New Roman" w:hAnsi="GHEA Grapalat" w:cs="Sylfaen"/>
          <w:sz w:val="24"/>
          <w:szCs w:val="24"/>
          <w:lang w:val="hy-AM"/>
        </w:rPr>
        <w:t>2025</w:t>
      </w:r>
      <w:r w:rsidR="00B514C1" w:rsidRPr="00EE63C9">
        <w:rPr>
          <w:rFonts w:ascii="GHEA Grapalat" w:eastAsia="Times New Roman" w:hAnsi="GHEA Grapalat" w:cs="Sylfaen"/>
          <w:sz w:val="24"/>
          <w:szCs w:val="24"/>
          <w:lang w:val="hy-AM"/>
        </w:rPr>
        <w:t>-20</w:t>
      </w:r>
      <w:r w:rsidR="00B514C1">
        <w:rPr>
          <w:rFonts w:ascii="GHEA Grapalat" w:eastAsia="Times New Roman" w:hAnsi="GHEA Grapalat" w:cs="Sylfaen"/>
          <w:sz w:val="24"/>
          <w:szCs w:val="24"/>
          <w:lang w:val="hy-AM"/>
        </w:rPr>
        <w:t>30</w:t>
      </w:r>
      <w:r w:rsidR="00B514C1" w:rsidRPr="00EE63C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 xml:space="preserve"> համար ջրի առաջարկի կանխատեսման և ջրի պահանջարկի հետ համադրման միջոցով ջրային ռեսուրսի </w:t>
      </w:r>
      <w:r w:rsidR="008A2044" w:rsidRPr="00EE63C9">
        <w:rPr>
          <w:rFonts w:ascii="GHEA Grapalat" w:hAnsi="GHEA Grapalat"/>
          <w:sz w:val="24"/>
          <w:szCs w:val="26"/>
          <w:lang w:val="hy-AM"/>
        </w:rPr>
        <w:t xml:space="preserve">ավելցուկի 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 xml:space="preserve">և </w:t>
      </w:r>
      <w:r w:rsidR="008A2044" w:rsidRPr="00EE63C9">
        <w:rPr>
          <w:rFonts w:ascii="GHEA Grapalat" w:hAnsi="GHEA Grapalat"/>
          <w:sz w:val="24"/>
          <w:szCs w:val="26"/>
          <w:lang w:val="hy-AM"/>
        </w:rPr>
        <w:t>պակասուրդի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 xml:space="preserve"> գնահատումը</w:t>
      </w:r>
      <w:r w:rsidR="00B42FC8" w:rsidRPr="00EE63C9">
        <w:rPr>
          <w:rFonts w:ascii="GHEA Grapalat" w:hAnsi="GHEA Grapalat"/>
          <w:sz w:val="24"/>
          <w:szCs w:val="26"/>
          <w:lang w:val="hy-AM"/>
        </w:rPr>
        <w:t>, ինչ</w:t>
      </w:r>
      <w:r w:rsidR="008A2044" w:rsidRPr="00EE63C9">
        <w:rPr>
          <w:rFonts w:ascii="GHEA Grapalat" w:hAnsi="GHEA Grapalat"/>
          <w:sz w:val="24"/>
          <w:szCs w:val="26"/>
          <w:lang w:val="hy-AM"/>
        </w:rPr>
        <w:t>պես նաև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 xml:space="preserve"> միջոցառումների ծրագիրը</w:t>
      </w:r>
      <w:r w:rsidR="008A2044" w:rsidRPr="00EE63C9">
        <w:rPr>
          <w:rFonts w:ascii="GHEA Grapalat" w:hAnsi="GHEA Grapalat"/>
          <w:sz w:val="24"/>
          <w:szCs w:val="26"/>
          <w:lang w:val="hy-AM"/>
        </w:rPr>
        <w:t>։</w:t>
      </w:r>
      <w:r w:rsidR="00552B62" w:rsidRPr="00EE63C9">
        <w:rPr>
          <w:rFonts w:ascii="GHEA Grapalat" w:hAnsi="GHEA Grapalat"/>
          <w:sz w:val="24"/>
          <w:szCs w:val="26"/>
          <w:lang w:val="hy-AM"/>
        </w:rPr>
        <w:t xml:space="preserve"> </w:t>
      </w:r>
    </w:p>
    <w:p w:rsidR="00EE63C9" w:rsidRPr="00EE63C9" w:rsidRDefault="003B3DC6" w:rsidP="00EE63C9">
      <w:pPr>
        <w:spacing w:after="0" w:line="360" w:lineRule="auto"/>
        <w:ind w:firstLine="284"/>
        <w:jc w:val="both"/>
        <w:rPr>
          <w:rFonts w:ascii="GHEA Grapalat" w:hAnsi="GHEA Grapalat"/>
          <w:sz w:val="24"/>
          <w:szCs w:val="26"/>
          <w:lang w:val="hy-AM"/>
        </w:rPr>
      </w:pPr>
      <w:r>
        <w:rPr>
          <w:rFonts w:ascii="GHEA Grapalat" w:hAnsi="GHEA Grapalat"/>
          <w:sz w:val="24"/>
          <w:szCs w:val="26"/>
          <w:lang w:val="hy-AM"/>
        </w:rPr>
        <w:t>Նախագծի</w:t>
      </w:r>
      <w:r w:rsidR="00EE63C9" w:rsidRPr="00EE63C9">
        <w:rPr>
          <w:rFonts w:ascii="GHEA Grapalat" w:hAnsi="GHEA Grapalat"/>
          <w:sz w:val="24"/>
          <w:szCs w:val="26"/>
          <w:lang w:val="hy-AM"/>
        </w:rPr>
        <w:t xml:space="preserve"> առանցքը միջոցառումների ծրագիրն է, որի նպատակն է հասնել մակերևութային ու ստորերկրյա ջրային ռեսուրսների և դրանց հարակից էկոհամակարգերի համար սահմանված էկոլոգիական «լավ» կարգավիճակի: </w:t>
      </w:r>
      <w:r w:rsidR="00EE63C9">
        <w:rPr>
          <w:rFonts w:ascii="GHEA Grapalat" w:hAnsi="GHEA Grapalat"/>
          <w:sz w:val="24"/>
          <w:szCs w:val="26"/>
          <w:lang w:val="hy-AM"/>
        </w:rPr>
        <w:t>Միջոցառումների ծրագիրը</w:t>
      </w:r>
      <w:r w:rsidR="00EE63C9" w:rsidRPr="00EE63C9">
        <w:rPr>
          <w:rFonts w:ascii="GHEA Grapalat" w:hAnsi="GHEA Grapalat"/>
          <w:sz w:val="24"/>
          <w:szCs w:val="26"/>
          <w:lang w:val="hy-AM"/>
        </w:rPr>
        <w:t xml:space="preserve"> հիմնվում է ջրավազանի ելակետային պայմանների, ինչպես նաև էական մարդածին ճնշումների ու ջրային ռեսուրսների ազդեցության վերլուծության վրա: Շարժիչ ուժեր-ճնշումներ-ազդեցություններ վերլուծության արդյունքում բացահայտվում են խնդրահարույց տեղանքներն ու ռիսկային ջրային մարմինները: Յուրաքանչյուր ռիսկային ջրային մարմնի համար մշակվել է </w:t>
      </w:r>
      <w:r w:rsidR="00EE63C9" w:rsidRPr="00EE63C9">
        <w:rPr>
          <w:rFonts w:ascii="GHEA Grapalat" w:hAnsi="GHEA Grapalat"/>
          <w:sz w:val="24"/>
          <w:szCs w:val="26"/>
          <w:lang w:val="hy-AM"/>
        </w:rPr>
        <w:lastRenderedPageBreak/>
        <w:t xml:space="preserve">միջոցառումների ծրագիր, ինչը նշանակում է, որ միջոցառումների ծրագիրը հատուկ է տեղանքին ու ճնշմանը: </w:t>
      </w:r>
    </w:p>
    <w:p w:rsidR="00EE63C9" w:rsidRPr="00EE63C9" w:rsidRDefault="00EE63C9" w:rsidP="00EE63C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6"/>
          <w:lang w:val="hy-AM"/>
        </w:rPr>
      </w:pPr>
      <w:r w:rsidRPr="00EE63C9">
        <w:rPr>
          <w:rFonts w:ascii="GHEA Grapalat" w:hAnsi="GHEA Grapalat"/>
          <w:sz w:val="24"/>
          <w:szCs w:val="26"/>
          <w:lang w:val="hy-AM"/>
        </w:rPr>
        <w:t>Ջրավազանային կառավարման պլանի հիմնական խնդիրներն են.</w:t>
      </w:r>
    </w:p>
    <w:p w:rsidR="00EE63C9" w:rsidRDefault="006172D9" w:rsidP="00EE63C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/>
          <w:sz w:val="24"/>
          <w:szCs w:val="26"/>
          <w:lang w:val="hy-AM"/>
        </w:rPr>
      </w:pPr>
      <w:r>
        <w:rPr>
          <w:rFonts w:ascii="GHEA Grapalat" w:hAnsi="GHEA Grapalat"/>
          <w:sz w:val="24"/>
          <w:szCs w:val="26"/>
          <w:lang w:val="hy-AM"/>
        </w:rPr>
        <w:t xml:space="preserve">ջրային ռեսուրսների արդյունավետ բաշխման միջոցով՝ </w:t>
      </w:r>
      <w:r w:rsidR="00EE63C9" w:rsidRPr="00EE63C9">
        <w:rPr>
          <w:rFonts w:ascii="GHEA Grapalat" w:hAnsi="GHEA Grapalat"/>
          <w:sz w:val="24"/>
          <w:szCs w:val="26"/>
          <w:lang w:val="hy-AM"/>
        </w:rPr>
        <w:t xml:space="preserve">մակերևութային և ստորերկրյա ջրային ռեսուրսների պահպանությունը, </w:t>
      </w:r>
    </w:p>
    <w:p w:rsidR="00EE63C9" w:rsidRDefault="00EE63C9" w:rsidP="006172D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/>
          <w:sz w:val="24"/>
          <w:szCs w:val="26"/>
          <w:lang w:val="hy-AM"/>
        </w:rPr>
      </w:pPr>
      <w:r w:rsidRPr="006172D9">
        <w:rPr>
          <w:rFonts w:ascii="GHEA Grapalat" w:hAnsi="GHEA Grapalat"/>
          <w:sz w:val="24"/>
          <w:szCs w:val="26"/>
          <w:lang w:val="hy-AM"/>
        </w:rPr>
        <w:t xml:space="preserve">բարելավել վատթարացված ջրային մարմինների կարգավիճակը (որակական և քանակական), </w:t>
      </w:r>
    </w:p>
    <w:p w:rsidR="00EE63C9" w:rsidRDefault="00EE63C9" w:rsidP="006172D9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/>
          <w:sz w:val="24"/>
          <w:szCs w:val="26"/>
          <w:lang w:val="hy-AM"/>
        </w:rPr>
      </w:pPr>
      <w:r w:rsidRPr="006172D9">
        <w:rPr>
          <w:rFonts w:ascii="GHEA Grapalat" w:hAnsi="GHEA Grapalat"/>
          <w:sz w:val="24"/>
          <w:szCs w:val="26"/>
          <w:lang w:val="hy-AM"/>
        </w:rPr>
        <w:t xml:space="preserve">կանխել բոլոր ջրային մարմինների հետագա վատթարացումը, </w:t>
      </w:r>
    </w:p>
    <w:p w:rsidR="00EE63C9" w:rsidRPr="006172D9" w:rsidRDefault="00EE63C9" w:rsidP="00A262A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HEA Grapalat" w:hAnsi="GHEA Grapalat"/>
          <w:sz w:val="24"/>
          <w:szCs w:val="26"/>
          <w:lang w:val="hy-AM"/>
        </w:rPr>
      </w:pPr>
      <w:r w:rsidRPr="006172D9">
        <w:rPr>
          <w:rFonts w:ascii="GHEA Grapalat" w:hAnsi="GHEA Grapalat"/>
          <w:sz w:val="24"/>
          <w:szCs w:val="26"/>
          <w:lang w:val="hy-AM"/>
        </w:rPr>
        <w:t>խթանել կայուն ջրօգտագործումը:</w:t>
      </w:r>
    </w:p>
    <w:p w:rsidR="00BD15CF" w:rsidRPr="00EE63C9" w:rsidRDefault="00552B62" w:rsidP="006172D9">
      <w:pPr>
        <w:shd w:val="clear" w:color="auto" w:fill="FFFFFF"/>
        <w:spacing w:after="0" w:line="360" w:lineRule="auto"/>
        <w:ind w:firstLine="284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EE63C9">
        <w:rPr>
          <w:rFonts w:ascii="GHEA Grapalat" w:hAnsi="GHEA Grapalat" w:cs="Sylfaen"/>
          <w:sz w:val="24"/>
          <w:szCs w:val="24"/>
          <w:lang w:val="hy-AM"/>
        </w:rPr>
        <w:tab/>
      </w:r>
    </w:p>
    <w:p w:rsidR="008C6C21" w:rsidRPr="00EE63C9" w:rsidRDefault="008C6C21" w:rsidP="007C24A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HEA Grapalat" w:hAnsi="GHEA Grapalat" w:cs="AK Courier"/>
          <w:sz w:val="24"/>
          <w:lang w:val="hy-AM"/>
        </w:rPr>
      </w:pPr>
      <w:r w:rsidRPr="00EE63C9">
        <w:rPr>
          <w:rFonts w:ascii="GHEA Grapalat" w:hAnsi="GHEA Grapalat" w:cs="Sylfaen"/>
          <w:b/>
          <w:sz w:val="24"/>
          <w:lang w:val="hy-AM"/>
        </w:rPr>
        <w:t>Կարգավորման նպատակը և բնույթը</w:t>
      </w:r>
    </w:p>
    <w:p w:rsidR="00121ED5" w:rsidRPr="00EE63C9" w:rsidRDefault="00371A28" w:rsidP="00EE63C9">
      <w:pPr>
        <w:tabs>
          <w:tab w:val="left" w:pos="426"/>
        </w:tabs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EE63C9">
        <w:rPr>
          <w:rFonts w:ascii="GHEA Grapalat" w:hAnsi="GHEA Grapalat"/>
          <w:sz w:val="24"/>
          <w:szCs w:val="24"/>
          <w:lang w:val="hy-AM"/>
        </w:rPr>
        <w:tab/>
      </w:r>
      <w:r w:rsidR="00121ED5" w:rsidRPr="009B7C45">
        <w:rPr>
          <w:rFonts w:ascii="GHEA Grapalat" w:hAnsi="GHEA Grapalat"/>
          <w:sz w:val="24"/>
          <w:szCs w:val="24"/>
          <w:lang w:val="hy-AM"/>
        </w:rPr>
        <w:tab/>
      </w:r>
      <w:r w:rsidR="003B3DC6">
        <w:rPr>
          <w:rFonts w:ascii="GHEA Grapalat" w:eastAsia="Times New Roman" w:hAnsi="GHEA Grapalat" w:cs="Sylfaen"/>
          <w:sz w:val="24"/>
          <w:szCs w:val="24"/>
          <w:lang w:val="hy-AM"/>
        </w:rPr>
        <w:t>Նախագծի</w:t>
      </w:r>
      <w:r w:rsidR="00121ED5" w:rsidRPr="00EE63C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ընդունմամբ</w:t>
      </w:r>
      <w:r w:rsidR="00121ED5" w:rsidRPr="00EE63C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կհստակեցվեն</w:t>
      </w:r>
      <w:r w:rsidR="00121ED5" w:rsidRPr="00EE63C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6A7366">
        <w:rPr>
          <w:rFonts w:ascii="GHEA Grapalat" w:hAnsi="GHEA Grapalat" w:cs="Sylfaen"/>
          <w:sz w:val="24"/>
          <w:szCs w:val="24"/>
          <w:lang w:val="hy-AM"/>
        </w:rPr>
        <w:t>Արարատյան</w:t>
      </w:r>
      <w:r w:rsidR="00121ED5" w:rsidRPr="009B7C4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ջրավազանային</w:t>
      </w:r>
      <w:r w:rsidR="00121ED5" w:rsidRPr="00EE63C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="00121ED5" w:rsidRPr="00EE63C9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տարածքի</w:t>
      </w:r>
      <w:r w:rsidR="00B514C1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ջրօգտագործուղների</w:t>
      </w:r>
      <w:r w:rsidR="00121ED5" w:rsidRPr="00EE63C9">
        <w:rPr>
          <w:rFonts w:ascii="GHEA Grapalat" w:hAnsi="GHEA Grapalat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ներառյալ՝</w:t>
      </w:r>
      <w:r w:rsidR="00121ED5" w:rsidRPr="00EE63C9">
        <w:rPr>
          <w:rFonts w:ascii="GHEA Grapalat" w:hAnsi="GHEA Grapalat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համայնքների</w:t>
      </w:r>
      <w:r w:rsidR="00121ED5" w:rsidRPr="00EE63C9">
        <w:rPr>
          <w:rFonts w:ascii="GHEA Grapalat" w:hAnsi="GHEA Grapalat"/>
          <w:sz w:val="24"/>
          <w:szCs w:val="24"/>
          <w:lang w:val="fr-FR"/>
        </w:rPr>
        <w:t xml:space="preserve">, </w:t>
      </w:r>
      <w:r w:rsidR="00121ED5" w:rsidRPr="00EE63C9">
        <w:rPr>
          <w:rFonts w:ascii="GHEA Grapalat" w:hAnsi="GHEA Grapalat" w:cs="Sylfaen"/>
          <w:sz w:val="24"/>
          <w:szCs w:val="24"/>
          <w:lang w:val="hy-AM"/>
        </w:rPr>
        <w:t>էներգետիկայի</w:t>
      </w:r>
      <w:r w:rsidR="00121ED5" w:rsidRPr="00EE63C9">
        <w:rPr>
          <w:rFonts w:ascii="GHEA Grapalat" w:hAnsi="GHEA Grapalat"/>
          <w:sz w:val="24"/>
          <w:szCs w:val="24"/>
          <w:lang w:val="fr-FR"/>
        </w:rPr>
        <w:t xml:space="preserve">,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արդյունաբերության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,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գյուղատնտեսության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շրջակա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միջավայրի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փոխկապակցված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color w:val="000000"/>
          <w:sz w:val="24"/>
          <w:szCs w:val="24"/>
          <w:lang w:val="hy-AM"/>
        </w:rPr>
        <w:t>հարաբերությունները</w:t>
      </w:r>
      <w:r w:rsidR="00121ED5" w:rsidRPr="00EE63C9">
        <w:rPr>
          <w:rFonts w:ascii="GHEA Grapalat" w:hAnsi="GHEA Grapalat" w:cs="Sylfaen"/>
          <w:bCs/>
          <w:sz w:val="24"/>
          <w:szCs w:val="24"/>
          <w:lang w:val="fr-FR"/>
        </w:rPr>
        <w:t xml:space="preserve">: </w:t>
      </w:r>
    </w:p>
    <w:p w:rsidR="00121ED5" w:rsidRPr="000E09F9" w:rsidRDefault="003B3DC6" w:rsidP="00EE63C9">
      <w:pPr>
        <w:pStyle w:val="norm"/>
        <w:spacing w:line="360" w:lineRule="auto"/>
        <w:ind w:firstLine="720"/>
        <w:rPr>
          <w:rFonts w:ascii="GHEA Grapalat" w:hAnsi="GHEA Grapalat" w:cs="Sylfaen"/>
          <w:bCs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4"/>
          <w:szCs w:val="24"/>
          <w:lang w:val="hy-AM"/>
        </w:rPr>
        <w:t>Նախագծի</w:t>
      </w:r>
      <w:r w:rsidR="00121ED5" w:rsidRPr="00EE63C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bCs/>
          <w:sz w:val="24"/>
          <w:szCs w:val="24"/>
          <w:lang w:val="hy-AM"/>
        </w:rPr>
        <w:t>ընդունումը</w:t>
      </w:r>
      <w:r w:rsidR="00121ED5" w:rsidRPr="00EE63C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bCs/>
          <w:sz w:val="24"/>
          <w:szCs w:val="24"/>
          <w:lang w:val="hy-AM"/>
        </w:rPr>
        <w:t>հնարավորություն</w:t>
      </w:r>
      <w:r w:rsidR="00121ED5" w:rsidRPr="00EE63C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121ED5" w:rsidRPr="00EE63C9">
        <w:rPr>
          <w:rFonts w:ascii="GHEA Grapalat" w:hAnsi="GHEA Grapalat" w:cs="Sylfaen"/>
          <w:bCs/>
          <w:sz w:val="24"/>
          <w:szCs w:val="24"/>
          <w:lang w:val="hy-AM"/>
        </w:rPr>
        <w:t>կտա</w:t>
      </w:r>
      <w:r w:rsidR="00121ED5" w:rsidRPr="00EE63C9">
        <w:rPr>
          <w:rFonts w:ascii="GHEA Grapalat" w:hAnsi="GHEA Grapalat" w:cs="Sylfaen"/>
          <w:bCs/>
          <w:sz w:val="24"/>
          <w:szCs w:val="24"/>
          <w:lang w:val="fr-FR"/>
        </w:rPr>
        <w:t xml:space="preserve"> </w:t>
      </w:r>
      <w:r w:rsidR="006A7366">
        <w:rPr>
          <w:rFonts w:ascii="GHEA Grapalat" w:hAnsi="GHEA Grapalat" w:cs="Sylfaen"/>
          <w:color w:val="000000"/>
          <w:sz w:val="24"/>
          <w:szCs w:val="24"/>
          <w:lang w:val="hy-AM"/>
        </w:rPr>
        <w:t>Արարատյան</w:t>
      </w:r>
      <w:r w:rsidR="00DD12F0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121ED5" w:rsidRPr="000E09F9">
        <w:rPr>
          <w:rFonts w:ascii="GHEA Grapalat" w:hAnsi="GHEA Grapalat" w:cs="Sylfaen"/>
          <w:bCs/>
          <w:sz w:val="24"/>
          <w:szCs w:val="24"/>
          <w:lang w:val="hy-AM"/>
        </w:rPr>
        <w:t>ջրավազանային կառավարման տարածքում հավասարակշռել ջրային ռեսուրսների առաջարկը և պահանջարկը</w:t>
      </w:r>
      <w:r w:rsidR="000E09F9" w:rsidRPr="000E09F9">
        <w:rPr>
          <w:rFonts w:ascii="GHEA Grapalat" w:hAnsi="GHEA Grapalat" w:cs="Sylfaen"/>
          <w:bCs/>
          <w:sz w:val="24"/>
          <w:szCs w:val="24"/>
          <w:lang w:val="hy-AM"/>
        </w:rPr>
        <w:t>, միջոցառումների ծրագրի իրականցման արդյունքում բարելավել ջրային մարմինների կարգավիճակը</w:t>
      </w:r>
      <w:r w:rsidR="00121ED5" w:rsidRPr="000E09F9">
        <w:rPr>
          <w:rFonts w:ascii="GHEA Grapalat" w:hAnsi="GHEA Grapalat" w:cs="Sylfaen"/>
          <w:bCs/>
          <w:sz w:val="24"/>
          <w:szCs w:val="24"/>
          <w:lang w:val="hy-AM"/>
        </w:rPr>
        <w:t>:</w:t>
      </w:r>
    </w:p>
    <w:p w:rsidR="008C6C21" w:rsidRPr="00EE63C9" w:rsidRDefault="008C6C21" w:rsidP="007C24A1">
      <w:pPr>
        <w:pStyle w:val="ListParagraph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GHEA Grapalat" w:hAnsi="GHEA Grapalat" w:cs="Calibri"/>
          <w:b/>
          <w:sz w:val="24"/>
          <w:lang w:val="hy-AM"/>
        </w:rPr>
      </w:pPr>
      <w:r w:rsidRPr="00EE63C9">
        <w:rPr>
          <w:rFonts w:ascii="GHEA Grapalat" w:hAnsi="GHEA Grapalat" w:cs="Sylfaen"/>
          <w:b/>
          <w:sz w:val="24"/>
          <w:lang w:val="hy-AM"/>
        </w:rPr>
        <w:t>Նախագծի</w:t>
      </w:r>
      <w:r w:rsidRPr="00EE63C9">
        <w:rPr>
          <w:rFonts w:ascii="GHEA Grapalat" w:hAnsi="GHEA Grapalat" w:cs="Calibri"/>
          <w:b/>
          <w:sz w:val="24"/>
          <w:lang w:val="hy-AM"/>
        </w:rPr>
        <w:t xml:space="preserve"> </w:t>
      </w:r>
      <w:r w:rsidRPr="00EE63C9">
        <w:rPr>
          <w:rFonts w:ascii="GHEA Grapalat" w:hAnsi="GHEA Grapalat" w:cs="Sylfaen"/>
          <w:b/>
          <w:sz w:val="24"/>
          <w:lang w:val="hy-AM"/>
        </w:rPr>
        <w:t>մշակման</w:t>
      </w:r>
      <w:r w:rsidRPr="00EE63C9">
        <w:rPr>
          <w:rFonts w:ascii="GHEA Grapalat" w:hAnsi="GHEA Grapalat" w:cs="Calibri"/>
          <w:b/>
          <w:sz w:val="24"/>
          <w:lang w:val="hy-AM"/>
        </w:rPr>
        <w:t xml:space="preserve"> </w:t>
      </w:r>
      <w:r w:rsidRPr="00EE63C9">
        <w:rPr>
          <w:rFonts w:ascii="GHEA Grapalat" w:hAnsi="GHEA Grapalat" w:cs="Sylfaen"/>
          <w:b/>
          <w:sz w:val="24"/>
          <w:lang w:val="hy-AM"/>
        </w:rPr>
        <w:t>գործընթացում</w:t>
      </w:r>
      <w:r w:rsidRPr="00EE63C9">
        <w:rPr>
          <w:rFonts w:ascii="GHEA Grapalat" w:hAnsi="GHEA Grapalat" w:cs="Calibri"/>
          <w:b/>
          <w:sz w:val="24"/>
          <w:lang w:val="hy-AM"/>
        </w:rPr>
        <w:t xml:space="preserve"> </w:t>
      </w:r>
      <w:r w:rsidRPr="00EE63C9">
        <w:rPr>
          <w:rFonts w:ascii="GHEA Grapalat" w:hAnsi="GHEA Grapalat" w:cs="Sylfaen"/>
          <w:b/>
          <w:sz w:val="24"/>
          <w:lang w:val="hy-AM"/>
        </w:rPr>
        <w:t>ներգրավված</w:t>
      </w:r>
      <w:r w:rsidRPr="00EE63C9">
        <w:rPr>
          <w:rFonts w:ascii="GHEA Grapalat" w:hAnsi="GHEA Grapalat" w:cs="Calibri"/>
          <w:b/>
          <w:sz w:val="24"/>
          <w:lang w:val="hy-AM"/>
        </w:rPr>
        <w:t xml:space="preserve"> </w:t>
      </w:r>
      <w:r w:rsidRPr="00EE63C9">
        <w:rPr>
          <w:rFonts w:ascii="GHEA Grapalat" w:hAnsi="GHEA Grapalat" w:cs="Sylfaen"/>
          <w:b/>
          <w:sz w:val="24"/>
          <w:lang w:val="hy-AM"/>
        </w:rPr>
        <w:t>ինստիտուտները</w:t>
      </w:r>
      <w:r w:rsidRPr="00EE63C9">
        <w:rPr>
          <w:rFonts w:ascii="GHEA Grapalat" w:hAnsi="GHEA Grapalat" w:cs="Calibri"/>
          <w:b/>
          <w:sz w:val="24"/>
          <w:lang w:val="hy-AM"/>
        </w:rPr>
        <w:t xml:space="preserve"> </w:t>
      </w:r>
      <w:r w:rsidRPr="00EE63C9">
        <w:rPr>
          <w:rFonts w:ascii="GHEA Grapalat" w:hAnsi="GHEA Grapalat" w:cs="Sylfaen"/>
          <w:b/>
          <w:sz w:val="24"/>
          <w:lang w:val="hy-AM"/>
        </w:rPr>
        <w:t>և</w:t>
      </w:r>
      <w:r w:rsidRPr="00EE63C9">
        <w:rPr>
          <w:rFonts w:ascii="GHEA Grapalat" w:hAnsi="GHEA Grapalat" w:cs="Calibri"/>
          <w:b/>
          <w:sz w:val="24"/>
          <w:lang w:val="hy-AM"/>
        </w:rPr>
        <w:t xml:space="preserve"> </w:t>
      </w:r>
      <w:r w:rsidRPr="00EE63C9">
        <w:rPr>
          <w:rFonts w:ascii="GHEA Grapalat" w:hAnsi="GHEA Grapalat" w:cs="Sylfaen"/>
          <w:b/>
          <w:sz w:val="24"/>
          <w:lang w:val="hy-AM"/>
        </w:rPr>
        <w:t>անձինք</w:t>
      </w:r>
    </w:p>
    <w:p w:rsidR="00121ED5" w:rsidRDefault="00121ED5" w:rsidP="00EE63C9">
      <w:pPr>
        <w:pStyle w:val="ListParagraph"/>
        <w:numPr>
          <w:ilvl w:val="0"/>
          <w:numId w:val="0"/>
        </w:numPr>
        <w:spacing w:after="0" w:line="360" w:lineRule="auto"/>
        <w:jc w:val="both"/>
        <w:rPr>
          <w:rFonts w:ascii="GHEA Grapalat" w:hAnsi="GHEA Grapalat" w:cs="Sylfaen"/>
          <w:sz w:val="24"/>
          <w:lang w:val="hy-AM"/>
        </w:rPr>
      </w:pPr>
      <w:r w:rsidRPr="00EE63C9">
        <w:rPr>
          <w:rFonts w:ascii="GHEA Grapalat" w:eastAsiaTheme="minorHAnsi" w:hAnsi="GHEA Grapalat" w:cs="Sylfaen"/>
          <w:color w:val="000000"/>
          <w:sz w:val="24"/>
          <w:lang w:val="fr-FR" w:eastAsia="ru-RU"/>
        </w:rPr>
        <w:tab/>
      </w:r>
      <w:r w:rsidR="003B3DC6">
        <w:rPr>
          <w:rFonts w:ascii="GHEA Grapalat" w:hAnsi="GHEA Grapalat" w:cs="Sylfaen"/>
          <w:sz w:val="24"/>
          <w:lang w:val="hy-AM"/>
        </w:rPr>
        <w:t>Ն</w:t>
      </w:r>
      <w:r w:rsidRPr="00DD12F0">
        <w:rPr>
          <w:rFonts w:ascii="GHEA Grapalat" w:hAnsi="GHEA Grapalat" w:cs="Sylfaen"/>
          <w:sz w:val="24"/>
          <w:lang w:val="hy-AM"/>
        </w:rPr>
        <w:t>ախագիծը մշակվել</w:t>
      </w:r>
      <w:r w:rsidR="00DD12F0">
        <w:rPr>
          <w:rFonts w:ascii="GHEA Grapalat" w:hAnsi="GHEA Grapalat" w:cs="Sylfaen"/>
          <w:sz w:val="24"/>
          <w:lang w:val="hy-AM"/>
        </w:rPr>
        <w:t xml:space="preserve"> է</w:t>
      </w:r>
      <w:r w:rsidRPr="00DD12F0">
        <w:rPr>
          <w:rFonts w:ascii="GHEA Grapalat" w:hAnsi="GHEA Grapalat" w:cs="Sylfaen"/>
          <w:sz w:val="24"/>
          <w:lang w:val="hy-AM"/>
        </w:rPr>
        <w:t xml:space="preserve"> շրջակա միջակա միջավայրի նախարարության</w:t>
      </w:r>
      <w:r w:rsidR="00DD12F0">
        <w:rPr>
          <w:rFonts w:ascii="GHEA Grapalat" w:hAnsi="GHEA Grapalat" w:cs="Sylfaen"/>
          <w:sz w:val="24"/>
          <w:lang w:val="hy-AM"/>
        </w:rPr>
        <w:t xml:space="preserve"> և</w:t>
      </w:r>
      <w:r w:rsidRPr="00DD12F0">
        <w:rPr>
          <w:rFonts w:ascii="GHEA Grapalat" w:hAnsi="GHEA Grapalat" w:cs="Sylfaen"/>
          <w:sz w:val="24"/>
          <w:lang w:val="hy-AM"/>
        </w:rPr>
        <w:t xml:space="preserve"> </w:t>
      </w:r>
      <w:r w:rsidR="006A7366">
        <w:rPr>
          <w:rFonts w:ascii="GHEA Grapalat" w:hAnsi="GHEA Grapalat" w:cs="Sylfaen"/>
          <w:sz w:val="24"/>
          <w:lang w:val="hy-AM"/>
        </w:rPr>
        <w:t>Ասիական Զարգացման Բանկի հետ</w:t>
      </w:r>
      <w:r w:rsidR="00DD12F0" w:rsidRPr="00DD12F0">
        <w:rPr>
          <w:rFonts w:ascii="GHEA Grapalat" w:hAnsi="GHEA Grapalat" w:cs="Sylfaen"/>
          <w:sz w:val="24"/>
          <w:lang w:val="hy-AM"/>
        </w:rPr>
        <w:t xml:space="preserve"> համատեղ</w:t>
      </w:r>
      <w:r w:rsidR="00432520" w:rsidRPr="00DD12F0">
        <w:rPr>
          <w:rFonts w:ascii="GHEA Grapalat" w:hAnsi="GHEA Grapalat" w:cs="Sylfaen"/>
          <w:sz w:val="24"/>
          <w:lang w:val="hy-AM"/>
        </w:rPr>
        <w:t>։</w:t>
      </w:r>
    </w:p>
    <w:p w:rsidR="00A521F5" w:rsidRDefault="006F0E7C" w:rsidP="00F55A85">
      <w:pPr>
        <w:pStyle w:val="ListParagraph"/>
        <w:numPr>
          <w:ilvl w:val="0"/>
          <w:numId w:val="0"/>
        </w:numPr>
        <w:spacing w:after="0" w:line="360" w:lineRule="auto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ab/>
        <w:t xml:space="preserve">ՋՇԴ 14-րդ հոդվածի համաձայն՝ </w:t>
      </w:r>
      <w:r w:rsidR="00A521F5" w:rsidRPr="00C944AC">
        <w:rPr>
          <w:rFonts w:ascii="GHEA Grapalat" w:hAnsi="GHEA Grapalat" w:cs="Sylfaen"/>
          <w:sz w:val="24"/>
          <w:lang w:val="hy-AM"/>
        </w:rPr>
        <w:t xml:space="preserve">ջրավազանային կառավարման պլանի մշակումը ենթադրում է մասնակցային մոտեցման կիրառում, որը միավորում է տարբեր տեսակետներ ունեցող շահառու կողմերին` որոշելու, թե ինչպես պետք է իրականացվի ջրային ռեսուրսների արդյունավետ կառավարումն ու օգտագործումը: </w:t>
      </w:r>
      <w:r w:rsidR="006A7366">
        <w:rPr>
          <w:rFonts w:ascii="GHEA Grapalat" w:hAnsi="GHEA Grapalat" w:cs="Sylfaen"/>
          <w:sz w:val="24"/>
          <w:lang w:val="hy-AM"/>
        </w:rPr>
        <w:t xml:space="preserve">Արարատյան </w:t>
      </w:r>
      <w:r w:rsidR="00A521F5" w:rsidRPr="00C944AC">
        <w:rPr>
          <w:rFonts w:ascii="GHEA Grapalat" w:hAnsi="GHEA Grapalat" w:cs="Sylfaen"/>
          <w:sz w:val="24"/>
          <w:lang w:val="hy-AM"/>
        </w:rPr>
        <w:t xml:space="preserve">ՋԿՏ-ի պլանի լրամշակման ընթացքում </w:t>
      </w:r>
      <w:r w:rsidR="006A7366">
        <w:rPr>
          <w:rFonts w:ascii="GHEA Grapalat" w:hAnsi="GHEA Grapalat" w:cs="Sylfaen"/>
          <w:sz w:val="24"/>
          <w:lang w:val="hy-AM"/>
        </w:rPr>
        <w:t xml:space="preserve">Արարատի և Վայոց ձորի </w:t>
      </w:r>
      <w:r w:rsidR="00A521F5" w:rsidRPr="00C944AC">
        <w:rPr>
          <w:rFonts w:ascii="GHEA Grapalat" w:hAnsi="GHEA Grapalat" w:cs="Sylfaen"/>
          <w:sz w:val="24"/>
          <w:lang w:val="hy-AM"/>
        </w:rPr>
        <w:t xml:space="preserve">մարզում </w:t>
      </w:r>
      <w:r w:rsidR="00A521F5" w:rsidRPr="00C944AC">
        <w:rPr>
          <w:rFonts w:ascii="GHEA Grapalat" w:hAnsi="GHEA Grapalat" w:cs="Sylfaen"/>
          <w:sz w:val="24"/>
          <w:lang w:val="hy-AM"/>
        </w:rPr>
        <w:lastRenderedPageBreak/>
        <w:t>կազմակերպվել է երկու հանրային լսում</w:t>
      </w:r>
      <w:r w:rsidR="00C944AC">
        <w:rPr>
          <w:rFonts w:ascii="GHEA Grapalat" w:hAnsi="GHEA Grapalat" w:cs="Sylfaen"/>
          <w:sz w:val="24"/>
          <w:lang w:val="hy-AM"/>
        </w:rPr>
        <w:t xml:space="preserve">՝ </w:t>
      </w:r>
      <w:r w:rsidR="006A7366">
        <w:rPr>
          <w:rFonts w:ascii="GHEA Grapalat" w:hAnsi="GHEA Grapalat" w:cs="Sylfaen"/>
          <w:sz w:val="24"/>
          <w:lang w:val="hy-AM"/>
        </w:rPr>
        <w:t xml:space="preserve">Արտաշատ համայնքում և  Արենի համայնքի Արփի բնակավայրում </w:t>
      </w:r>
      <w:r w:rsidR="00A521F5" w:rsidRPr="00C944AC">
        <w:rPr>
          <w:rFonts w:ascii="GHEA Grapalat" w:hAnsi="GHEA Grapalat" w:cs="Sylfaen"/>
          <w:sz w:val="24"/>
          <w:lang w:val="hy-AM"/>
        </w:rPr>
        <w:t xml:space="preserve">: Հանրային լսումների և խորհրդատվական գործընթացների ընթացքում կիրառվել են հարցաթերթիկներ, որոնց միջոցով հանրային ներկայացուցիչներից հավաքվել են ջրային ռեսուրսներին առնչվող հարցերի պատասխանները, առաջարկները և խորհուրդները: </w:t>
      </w:r>
      <w:bookmarkStart w:id="1" w:name="_Toc171361434"/>
      <w:bookmarkStart w:id="2" w:name="_Toc171361558"/>
      <w:bookmarkStart w:id="3" w:name="_Toc171676145"/>
      <w:bookmarkStart w:id="4" w:name="_Toc174136019"/>
      <w:bookmarkStart w:id="5" w:name="_Toc174371083"/>
      <w:bookmarkStart w:id="6" w:name="_Toc174371468"/>
      <w:bookmarkStart w:id="7" w:name="_Toc174371599"/>
      <w:bookmarkStart w:id="8" w:name="_Toc174384757"/>
      <w:bookmarkStart w:id="9" w:name="_Toc174384895"/>
      <w:bookmarkStart w:id="10" w:name="_Toc174618093"/>
      <w:bookmarkStart w:id="11" w:name="_Toc174622127"/>
      <w:bookmarkStart w:id="12" w:name="_Toc174622269"/>
      <w:bookmarkStart w:id="13" w:name="_Toc171361435"/>
      <w:bookmarkStart w:id="14" w:name="_Toc171361559"/>
      <w:bookmarkStart w:id="15" w:name="_Toc171676146"/>
      <w:bookmarkStart w:id="16" w:name="_Toc174136020"/>
      <w:bookmarkStart w:id="17" w:name="_Toc174371084"/>
      <w:bookmarkStart w:id="18" w:name="_Toc174371469"/>
      <w:bookmarkStart w:id="19" w:name="_Toc174371600"/>
      <w:bookmarkStart w:id="20" w:name="_Toc174384758"/>
      <w:bookmarkStart w:id="21" w:name="_Toc174384896"/>
      <w:bookmarkStart w:id="22" w:name="_Toc174618094"/>
      <w:bookmarkStart w:id="23" w:name="_Toc174622128"/>
      <w:bookmarkStart w:id="24" w:name="_Toc174622270"/>
      <w:bookmarkStart w:id="25" w:name="_Toc171676147"/>
      <w:bookmarkStart w:id="26" w:name="_Toc174136021"/>
      <w:bookmarkStart w:id="27" w:name="_Toc174371085"/>
      <w:bookmarkStart w:id="28" w:name="_Toc174371470"/>
      <w:bookmarkStart w:id="29" w:name="_Toc174371601"/>
      <w:bookmarkStart w:id="30" w:name="_Toc174384759"/>
      <w:bookmarkStart w:id="31" w:name="_Toc174384897"/>
      <w:bookmarkStart w:id="32" w:name="_Toc174618095"/>
      <w:bookmarkStart w:id="33" w:name="_Toc174622129"/>
      <w:bookmarkStart w:id="34" w:name="_Toc174622271"/>
      <w:bookmarkStart w:id="35" w:name="_Toc171676148"/>
      <w:bookmarkStart w:id="36" w:name="_Toc174136022"/>
      <w:bookmarkStart w:id="37" w:name="_Toc174371086"/>
      <w:bookmarkStart w:id="38" w:name="_Toc174371471"/>
      <w:bookmarkStart w:id="39" w:name="_Toc174371602"/>
      <w:bookmarkStart w:id="40" w:name="_Toc174384760"/>
      <w:bookmarkStart w:id="41" w:name="_Toc174384898"/>
      <w:bookmarkStart w:id="42" w:name="_Toc174618096"/>
      <w:bookmarkStart w:id="43" w:name="_Toc174622130"/>
      <w:bookmarkStart w:id="44" w:name="_Toc174622272"/>
      <w:bookmarkStart w:id="45" w:name="_Toc174371087"/>
      <w:bookmarkStart w:id="46" w:name="_Toc174371472"/>
      <w:bookmarkStart w:id="47" w:name="_Toc174371603"/>
      <w:bookmarkStart w:id="48" w:name="_Toc174384761"/>
      <w:bookmarkStart w:id="49" w:name="_Toc174384899"/>
      <w:bookmarkStart w:id="50" w:name="_Toc174618097"/>
      <w:bookmarkStart w:id="51" w:name="_Toc174622131"/>
      <w:bookmarkStart w:id="52" w:name="_Toc174622273"/>
      <w:bookmarkStart w:id="53" w:name="_Toc174371088"/>
      <w:bookmarkStart w:id="54" w:name="_Toc174371473"/>
      <w:bookmarkStart w:id="55" w:name="_Toc174371604"/>
      <w:bookmarkStart w:id="56" w:name="_Toc174384762"/>
      <w:bookmarkStart w:id="57" w:name="_Toc174384900"/>
      <w:bookmarkStart w:id="58" w:name="_Toc174618098"/>
      <w:bookmarkStart w:id="59" w:name="_Toc174622132"/>
      <w:bookmarkStart w:id="60" w:name="_Toc17462227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A521F5" w:rsidRPr="00C944AC">
        <w:rPr>
          <w:rFonts w:ascii="GHEA Grapalat" w:hAnsi="GHEA Grapalat" w:cs="Sylfaen"/>
          <w:sz w:val="24"/>
          <w:lang w:val="hy-AM"/>
        </w:rPr>
        <w:t xml:space="preserve">Հանրային լսումների ընթացքում մասնակիցների կողմից ի հայտ եկած բոլոր խնդիրների ու առաջարկությունների հիման վրա լրամշակվել են՝ </w:t>
      </w:r>
      <w:r w:rsidR="006A7366">
        <w:rPr>
          <w:rFonts w:ascii="GHEA Grapalat" w:hAnsi="GHEA Grapalat" w:cs="Sylfaen"/>
          <w:sz w:val="24"/>
          <w:lang w:val="hy-AM"/>
        </w:rPr>
        <w:t xml:space="preserve">Արարատյան </w:t>
      </w:r>
      <w:r w:rsidR="00A521F5" w:rsidRPr="00C944AC">
        <w:rPr>
          <w:rFonts w:ascii="GHEA Grapalat" w:hAnsi="GHEA Grapalat" w:cs="Sylfaen"/>
          <w:sz w:val="24"/>
          <w:lang w:val="hy-AM"/>
        </w:rPr>
        <w:t>ՋԿՏ-ի կառավարման պլանի համապատասխան գլուխները:</w:t>
      </w:r>
      <w:r w:rsidR="00C944AC" w:rsidRPr="00C944AC">
        <w:rPr>
          <w:rFonts w:ascii="GHEA Grapalat" w:hAnsi="GHEA Grapalat" w:cs="Sylfaen"/>
          <w:sz w:val="24"/>
          <w:lang w:val="hy-AM"/>
        </w:rPr>
        <w:t xml:space="preserve"> </w:t>
      </w:r>
      <w:r w:rsidR="00C944AC">
        <w:rPr>
          <w:rFonts w:ascii="GHEA Grapalat" w:hAnsi="GHEA Grapalat" w:cs="Sylfaen"/>
          <w:sz w:val="24"/>
          <w:lang w:val="hy-AM"/>
        </w:rPr>
        <w:t xml:space="preserve">Հանրային լսումների վերաբերյալ մասնրամասն տեղեկատվությունը ներկայացված է Նախագծի </w:t>
      </w:r>
      <w:r w:rsidR="002405FA">
        <w:rPr>
          <w:rFonts w:ascii="GHEA Grapalat" w:hAnsi="GHEA Grapalat" w:cs="Sylfaen"/>
          <w:sz w:val="24"/>
          <w:lang w:val="hy-AM"/>
        </w:rPr>
        <w:t>գլուխ 16-ում։</w:t>
      </w:r>
    </w:p>
    <w:p w:rsidR="00F55A85" w:rsidRDefault="00F55A85" w:rsidP="00F55A85">
      <w:pPr>
        <w:autoSpaceDE w:val="0"/>
        <w:autoSpaceDN w:val="0"/>
        <w:adjustRightInd w:val="0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Համաձայն «Շրջակա միջավայրի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վրա ազդեցության գնահատման և փո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րձաքննության մասին» Օրենքի 4-րդ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հոդվածի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 Նախագիծը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 հանդիսանում է հիմնադրութային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 փաստաթուղթ։ Նույն օրենքի 14-րդ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հոդվածի 1-ին մասի համաձայն, այն են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թակա է ռազմավարական գնահատման և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փորձաքննության: 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Շրջակա միջավայրի վրա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ազդեցության գնահատման և փորձաք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ննության ընթացքում անցկացվել է հանրային խորհրդակացություն, որին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մասնակցել են ազդակիր համայնքներ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>ը, շահագրգիռ մարմինները</w:t>
      </w:r>
      <w:r w:rsidR="00A83AAD"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 և գիտական հաստատությունները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։ Շրջակա </w:t>
      </w:r>
      <w:r w:rsidRPr="00F55A85">
        <w:rPr>
          <w:rFonts w:ascii="GHEA Grapalat" w:eastAsia="Times New Roman" w:hAnsi="GHEA Grapalat" w:cs="Sylfaen"/>
          <w:sz w:val="24"/>
          <w:szCs w:val="24"/>
          <w:lang w:val="hy-AM" w:eastAsia="de-DE"/>
        </w:rPr>
        <w:t>միջավայրի վրա ազդեցության գնահատմ</w:t>
      </w:r>
      <w:r>
        <w:rPr>
          <w:rFonts w:ascii="GHEA Grapalat" w:eastAsia="Times New Roman" w:hAnsi="GHEA Grapalat" w:cs="Sylfaen"/>
          <w:sz w:val="24"/>
          <w:szCs w:val="24"/>
          <w:lang w:val="hy-AM" w:eastAsia="de-DE"/>
        </w:rPr>
        <w:t xml:space="preserve">ան և փորձաքննության արդյունքում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Նախագիծը</w:t>
      </w:r>
      <w:r w:rsidRPr="00F55A85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ստացել է դրական եզրակացություն</w:t>
      </w:r>
      <w:r w:rsidR="0091624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1624B" w:rsidRPr="0091624B">
        <w:rPr>
          <w:rFonts w:ascii="GHEA Grapalat" w:eastAsia="Times New Roman" w:hAnsi="GHEA Grapalat" w:cs="Sylfaen"/>
          <w:sz w:val="24"/>
          <w:szCs w:val="24"/>
          <w:lang w:val="hy-AM"/>
        </w:rPr>
        <w:t>(</w:t>
      </w:r>
      <w:r w:rsidR="0091624B">
        <w:rPr>
          <w:rFonts w:ascii="GHEA Grapalat" w:eastAsia="Times New Roman" w:hAnsi="GHEA Grapalat" w:cs="Sylfaen"/>
          <w:sz w:val="24"/>
          <w:szCs w:val="24"/>
          <w:lang w:val="hy-AM"/>
        </w:rPr>
        <w:t>կցվում է՝ ԲՓ-</w:t>
      </w:r>
      <w:r w:rsidR="0091624B" w:rsidRPr="0091624B">
        <w:rPr>
          <w:rFonts w:ascii="GHEA Grapalat" w:eastAsia="Times New Roman" w:hAnsi="GHEA Grapalat" w:cs="Sylfaen"/>
          <w:sz w:val="24"/>
          <w:szCs w:val="24"/>
          <w:lang w:val="hy-AM"/>
        </w:rPr>
        <w:t>234-2</w:t>
      </w:r>
      <w:r w:rsidR="0091624B" w:rsidRPr="00134A95">
        <w:rPr>
          <w:rFonts w:ascii="GHEA Grapalat" w:eastAsia="Times New Roman" w:hAnsi="GHEA Grapalat" w:cs="Sylfaen"/>
          <w:sz w:val="24"/>
          <w:szCs w:val="24"/>
          <w:lang w:val="hy-AM"/>
        </w:rPr>
        <w:t>5</w:t>
      </w:r>
      <w:r w:rsidR="0091624B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91624B" w:rsidRPr="0091624B">
        <w:rPr>
          <w:rFonts w:ascii="GHEA Grapalat" w:eastAsia="Times New Roman" w:hAnsi="GHEA Grapalat" w:cs="Sylfaen"/>
          <w:sz w:val="24"/>
          <w:szCs w:val="24"/>
          <w:lang w:val="hy-AM"/>
        </w:rPr>
        <w:t>)</w:t>
      </w:r>
      <w:r w:rsidRPr="00F55A85">
        <w:rPr>
          <w:rFonts w:ascii="GHEA Grapalat" w:eastAsia="Times New Roman" w:hAnsi="GHEA Grapalat" w:cs="Sylfaen"/>
          <w:sz w:val="24"/>
          <w:szCs w:val="24"/>
          <w:lang w:val="hy-AM"/>
        </w:rPr>
        <w:t>։</w:t>
      </w:r>
    </w:p>
    <w:p w:rsidR="001D7FE0" w:rsidRPr="000B7379" w:rsidRDefault="00495EA7" w:rsidP="00F55A85">
      <w:pPr>
        <w:autoSpaceDE w:val="0"/>
        <w:autoSpaceDN w:val="0"/>
        <w:adjustRightInd w:val="0"/>
        <w:spacing w:after="0" w:line="360" w:lineRule="auto"/>
        <w:ind w:firstLine="375"/>
        <w:jc w:val="both"/>
        <w:rPr>
          <w:rFonts w:ascii="GHEA Grapalat" w:eastAsia="Times New Roman" w:hAnsi="GHEA Grapalat" w:cs="Sylfaen"/>
          <w:sz w:val="24"/>
          <w:szCs w:val="24"/>
          <w:lang w:val="hy-AM" w:eastAsia="de-DE"/>
        </w:rPr>
      </w:pPr>
      <w:r>
        <w:rPr>
          <w:rFonts w:ascii="GHEA Grapalat" w:eastAsia="Times New Roman" w:hAnsi="GHEA Grapalat" w:cs="Sylfaen"/>
          <w:sz w:val="24"/>
          <w:szCs w:val="24"/>
          <w:lang w:val="hy-AM"/>
        </w:rPr>
        <w:t>«Նորմատիվ իրավական ակտերի մ</w:t>
      </w:r>
      <w:r w:rsidR="00A83AAD">
        <w:rPr>
          <w:rFonts w:ascii="GHEA Grapalat" w:eastAsia="Times New Roman" w:hAnsi="GHEA Grapalat" w:cs="Sylfaen"/>
          <w:sz w:val="24"/>
          <w:szCs w:val="24"/>
          <w:lang w:val="hy-AM"/>
        </w:rPr>
        <w:t>ասին» ՀՀ օրենքի 25-րդ հոդվածի,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B7379">
        <w:rPr>
          <w:rFonts w:ascii="GHEA Grapalat" w:eastAsia="Times New Roman" w:hAnsi="GHEA Grapalat" w:cs="Sylfaen"/>
          <w:sz w:val="24"/>
          <w:szCs w:val="24"/>
          <w:lang w:val="hy-AM"/>
        </w:rPr>
        <w:t>Ջրային օրե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նգրքի 20-րդ հոդվածի</w:t>
      </w:r>
      <w:r w:rsidR="00A83AAD"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 </w:t>
      </w:r>
      <w:r w:rsidR="00A83AAD" w:rsidRPr="00363C73">
        <w:rPr>
          <w:rFonts w:ascii="GHEA Grapalat" w:hAnsi="GHEA Grapalat"/>
          <w:sz w:val="24"/>
          <w:szCs w:val="24"/>
          <w:lang w:val="hy-AM"/>
        </w:rPr>
        <w:t>«Ջրի ազգային քաղաքականության հիմնադրույթների մասին»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83AAD">
        <w:rPr>
          <w:rFonts w:ascii="GHEA Grapalat" w:eastAsia="Times New Roman" w:hAnsi="GHEA Grapalat" w:cs="Sylfaen"/>
          <w:sz w:val="24"/>
          <w:szCs w:val="24"/>
          <w:lang w:val="hy-AM"/>
        </w:rPr>
        <w:t xml:space="preserve">Օրենքի 15-րդ հոդվածի </w:t>
      </w:r>
      <w:r w:rsidR="000B737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համաձայն՝ </w:t>
      </w:r>
      <w:r w:rsidR="001D7FE0">
        <w:rPr>
          <w:rFonts w:ascii="GHEA Grapalat" w:eastAsia="Times New Roman" w:hAnsi="GHEA Grapalat" w:cs="Sylfaen"/>
          <w:sz w:val="24"/>
          <w:szCs w:val="24"/>
          <w:lang w:val="hy-AM"/>
        </w:rPr>
        <w:t>Նախագիծը նաև հրապարակված է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hyperlink r:id="rId8" w:history="1">
        <w:r w:rsidRPr="008049F0">
          <w:rPr>
            <w:rStyle w:val="Hyperlink"/>
            <w:rFonts w:ascii="GHEA Grapalat" w:eastAsia="Times New Roman" w:hAnsi="GHEA Grapalat" w:cs="Sylfaen"/>
            <w:sz w:val="24"/>
            <w:szCs w:val="24"/>
            <w:lang w:val="hy-AM"/>
          </w:rPr>
          <w:t>www.e-draft.am</w:t>
        </w:r>
      </w:hyperlink>
      <w:r>
        <w:rPr>
          <w:rFonts w:ascii="GHEA Grapalat" w:eastAsia="Times New Roman" w:hAnsi="GHEA Grapalat" w:cs="Sylfaen"/>
          <w:sz w:val="24"/>
          <w:szCs w:val="24"/>
          <w:lang w:val="hy-AM"/>
        </w:rPr>
        <w:t xml:space="preserve"> և</w:t>
      </w:r>
      <w:r w:rsidR="001D7FE0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hyperlink r:id="rId9" w:history="1">
        <w:r w:rsidR="000B7379" w:rsidRPr="008049F0">
          <w:rPr>
            <w:rStyle w:val="Hyperlink"/>
            <w:rFonts w:ascii="GHEA Grapalat" w:eastAsia="Times New Roman" w:hAnsi="GHEA Grapalat" w:cs="Sylfaen"/>
            <w:sz w:val="24"/>
            <w:szCs w:val="24"/>
            <w:lang w:val="hy-AM"/>
          </w:rPr>
          <w:t>www.azdarar.am</w:t>
        </w:r>
      </w:hyperlink>
      <w:r w:rsidR="000B7379" w:rsidRPr="000B7379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0B7379">
        <w:rPr>
          <w:rFonts w:ascii="GHEA Grapalat" w:eastAsia="Times New Roman" w:hAnsi="GHEA Grapalat" w:cs="Sylfaen"/>
          <w:sz w:val="24"/>
          <w:szCs w:val="24"/>
          <w:lang w:val="hy-AM"/>
        </w:rPr>
        <w:t>կայք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եր</w:t>
      </w:r>
      <w:r w:rsidR="000B7379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ում։ </w:t>
      </w:r>
    </w:p>
    <w:p w:rsidR="006F0E7C" w:rsidRPr="00DD12F0" w:rsidRDefault="00C944AC" w:rsidP="00EE63C9">
      <w:pPr>
        <w:pStyle w:val="ListParagraph"/>
        <w:numPr>
          <w:ilvl w:val="0"/>
          <w:numId w:val="0"/>
        </w:numPr>
        <w:spacing w:after="0" w:line="360" w:lineRule="auto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ab/>
      </w:r>
    </w:p>
    <w:p w:rsidR="008C6C21" w:rsidRPr="0090681F" w:rsidRDefault="008C6C21" w:rsidP="0090681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GHEA Grapalat" w:hAnsi="GHEA Grapalat" w:cs="Sylfaen"/>
          <w:b/>
          <w:sz w:val="24"/>
          <w:lang w:val="hy-AM"/>
        </w:rPr>
      </w:pPr>
      <w:r w:rsidRPr="0090681F">
        <w:rPr>
          <w:rFonts w:ascii="GHEA Grapalat" w:hAnsi="GHEA Grapalat" w:cs="Sylfaen"/>
          <w:b/>
          <w:sz w:val="24"/>
          <w:lang w:val="hy-AM"/>
        </w:rPr>
        <w:t>Իրավական ակտի կիրառման դեպքում ակնկալվող արդյունքը</w:t>
      </w:r>
    </w:p>
    <w:p w:rsidR="00121ED5" w:rsidRPr="00EE63C9" w:rsidRDefault="00C9600F" w:rsidP="000E09F9">
      <w:pPr>
        <w:spacing w:after="0" w:line="360" w:lineRule="auto"/>
        <w:jc w:val="both"/>
        <w:rPr>
          <w:rFonts w:ascii="GHEA Grapalat" w:eastAsiaTheme="minorHAnsi" w:hAnsi="GHEA Grapalat" w:cs="Sylfaen"/>
          <w:color w:val="000000"/>
          <w:sz w:val="24"/>
          <w:lang w:val="hy-AM" w:eastAsia="ru-RU"/>
        </w:rPr>
      </w:pPr>
      <w:r w:rsidRPr="00EE63C9">
        <w:rPr>
          <w:rFonts w:ascii="GHEA Grapalat" w:hAnsi="GHEA Grapalat"/>
          <w:sz w:val="24"/>
          <w:szCs w:val="24"/>
          <w:lang w:val="hy-AM"/>
        </w:rPr>
        <w:tab/>
      </w:r>
      <w:r w:rsidR="003B3DC6">
        <w:rPr>
          <w:rFonts w:ascii="GHEA Grapalat" w:hAnsi="GHEA Grapalat" w:cs="Sylfaen"/>
          <w:sz w:val="24"/>
          <w:lang w:val="hy-AM"/>
        </w:rPr>
        <w:t>Նախագծի</w:t>
      </w:r>
      <w:r w:rsidR="00121ED5" w:rsidRPr="00EE63C9">
        <w:rPr>
          <w:rFonts w:ascii="GHEA Grapalat" w:hAnsi="GHEA Grapalat" w:cs="Sylfaen"/>
          <w:sz w:val="24"/>
          <w:lang w:val="hy-AM"/>
        </w:rPr>
        <w:t xml:space="preserve"> 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t xml:space="preserve">ընդունմամբ հնարավոր կլինի </w:t>
      </w:r>
      <w:r w:rsidR="00A81FE8">
        <w:rPr>
          <w:rFonts w:ascii="GHEA Grapalat" w:eastAsiaTheme="minorHAnsi" w:hAnsi="GHEA Grapalat" w:cs="Sylfaen"/>
          <w:color w:val="000000"/>
          <w:sz w:val="24"/>
          <w:lang w:val="hy-AM" w:eastAsia="ru-RU"/>
        </w:rPr>
        <w:t xml:space="preserve">Արարատյան 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t>ջրավազանային տարածքում հասնել ջրային ռեսուրսների լավ է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կո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լո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գիական կար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գավիճակի, ինչ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 xml:space="preserve">պես 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lastRenderedPageBreak/>
        <w:t>նաև աջակցել ջրա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յին ռե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սուրսների կառավարման հա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մար պա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տասխանատու մարմիններին</w:t>
      </w:r>
      <w:r w:rsidR="007250B6">
        <w:rPr>
          <w:rFonts w:ascii="GHEA Grapalat" w:eastAsiaTheme="minorHAnsi" w:hAnsi="GHEA Grapalat" w:cs="Sylfaen"/>
          <w:color w:val="000000"/>
          <w:sz w:val="24"/>
          <w:lang w:val="hy-AM" w:eastAsia="ru-RU"/>
        </w:rPr>
        <w:t xml:space="preserve"> 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t>ջրային ռեսուրսների ոլորտում ո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րո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շումներ կա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յաց</w:t>
      </w:r>
      <w:r w:rsidR="00121ED5" w:rsidRPr="00EE63C9">
        <w:rPr>
          <w:rFonts w:ascii="GHEA Grapalat" w:eastAsiaTheme="minorHAnsi" w:hAnsi="GHEA Grapalat" w:cs="Sylfaen"/>
          <w:color w:val="000000"/>
          <w:sz w:val="24"/>
          <w:lang w:val="hy-AM" w:eastAsia="ru-RU"/>
        </w:rPr>
        <w:softHyphen/>
        <w:t>նելիս:</w:t>
      </w:r>
    </w:p>
    <w:p w:rsidR="00F31E30" w:rsidRPr="00EE63C9" w:rsidRDefault="00F31E30" w:rsidP="0090681F">
      <w:pPr>
        <w:pStyle w:val="ListParagraph"/>
        <w:numPr>
          <w:ilvl w:val="0"/>
          <w:numId w:val="13"/>
        </w:numPr>
        <w:tabs>
          <w:tab w:val="left" w:pos="426"/>
        </w:tabs>
        <w:spacing w:line="360" w:lineRule="auto"/>
        <w:ind w:left="0" w:firstLine="426"/>
        <w:jc w:val="both"/>
        <w:rPr>
          <w:rFonts w:ascii="GHEA Grapalat" w:hAnsi="GHEA Grapalat" w:cs="Sylfaen"/>
          <w:b/>
          <w:sz w:val="24"/>
          <w:lang w:val="hy-AM"/>
        </w:rPr>
      </w:pPr>
      <w:r w:rsidRPr="00EE63C9">
        <w:rPr>
          <w:rFonts w:ascii="GHEA Grapalat" w:hAnsi="GHEA Grapalat" w:cs="Sylfaen"/>
          <w:b/>
          <w:sz w:val="24"/>
          <w:lang w:val="hy-AM"/>
        </w:rPr>
        <w:t>Տեղեկատվություն լրացուցիչ ֆինանսական միջոցների անհրաժեշտության և պետական բյուջեի եկամուտներում և ծախսերում սպասվելիք փոփոխությունների մասին</w:t>
      </w:r>
    </w:p>
    <w:p w:rsidR="00F31E30" w:rsidRPr="00787DB2" w:rsidRDefault="006812F1" w:rsidP="00EE63C9">
      <w:pPr>
        <w:pStyle w:val="ListParagraph"/>
        <w:numPr>
          <w:ilvl w:val="0"/>
          <w:numId w:val="0"/>
        </w:numPr>
        <w:tabs>
          <w:tab w:val="left" w:pos="426"/>
        </w:tabs>
        <w:spacing w:line="360" w:lineRule="auto"/>
        <w:ind w:firstLine="851"/>
        <w:jc w:val="both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Կ</w:t>
      </w:r>
      <w:r w:rsidR="00121ED5" w:rsidRPr="00EE63C9">
        <w:rPr>
          <w:rFonts w:ascii="GHEA Grapalat" w:hAnsi="GHEA Grapalat" w:cs="Sylfaen"/>
          <w:sz w:val="24"/>
          <w:lang w:val="hy-AM"/>
        </w:rPr>
        <w:t xml:space="preserve">առավարության որոշման </w:t>
      </w:r>
      <w:r w:rsidR="00856EF2">
        <w:rPr>
          <w:rFonts w:ascii="GHEA Grapalat" w:hAnsi="GHEA Grapalat" w:cs="Sylfaen"/>
          <w:sz w:val="24"/>
          <w:lang w:val="hy-AM"/>
        </w:rPr>
        <w:t xml:space="preserve">նախագծի </w:t>
      </w:r>
      <w:r w:rsidR="00F31E30" w:rsidRPr="00EE63C9">
        <w:rPr>
          <w:rFonts w:ascii="GHEA Grapalat" w:hAnsi="GHEA Grapalat"/>
          <w:iCs/>
          <w:sz w:val="24"/>
          <w:lang w:val="hy-AM" w:eastAsia="ru-RU"/>
        </w:rPr>
        <w:t xml:space="preserve">ընդունման կապակցությամբ </w:t>
      </w:r>
      <w:r w:rsidR="0017729E" w:rsidRPr="00EE63C9">
        <w:rPr>
          <w:rFonts w:ascii="GHEA Grapalat" w:hAnsi="GHEA Grapalat"/>
          <w:iCs/>
          <w:sz w:val="24"/>
          <w:lang w:val="hy-AM" w:eastAsia="ru-RU"/>
        </w:rPr>
        <w:t xml:space="preserve">առաջանում է անհրաժեշտություն </w:t>
      </w:r>
      <w:r w:rsidR="00F31E30" w:rsidRPr="00EE63C9">
        <w:rPr>
          <w:rFonts w:ascii="GHEA Grapalat" w:hAnsi="GHEA Grapalat"/>
          <w:iCs/>
          <w:sz w:val="24"/>
          <w:lang w:val="hy-AM" w:eastAsia="ru-RU"/>
        </w:rPr>
        <w:t>լրացուցիչ ֆինանսական միջոցների</w:t>
      </w:r>
      <w:r w:rsidR="009B7C45">
        <w:rPr>
          <w:rFonts w:ascii="GHEA Grapalat" w:hAnsi="GHEA Grapalat"/>
          <w:iCs/>
          <w:sz w:val="24"/>
          <w:lang w:val="hy-AM" w:eastAsia="ru-RU"/>
        </w:rPr>
        <w:t xml:space="preserve"> (տես` Հավելվածի</w:t>
      </w:r>
      <w:r w:rsidR="0017729E" w:rsidRPr="00EE63C9">
        <w:rPr>
          <w:rFonts w:ascii="GHEA Grapalat" w:hAnsi="GHEA Grapalat"/>
          <w:iCs/>
          <w:sz w:val="24"/>
          <w:lang w:val="hy-AM" w:eastAsia="ru-RU"/>
        </w:rPr>
        <w:t xml:space="preserve"> Գ</w:t>
      </w:r>
      <w:r w:rsidR="0017729E" w:rsidRPr="00787DB2">
        <w:rPr>
          <w:rFonts w:ascii="GHEA Grapalat" w:hAnsi="GHEA Grapalat" w:cs="Sylfaen"/>
          <w:sz w:val="24"/>
          <w:lang w:val="hy-AM"/>
        </w:rPr>
        <w:t xml:space="preserve">լուխ </w:t>
      </w:r>
      <w:r w:rsidR="00787DB2" w:rsidRPr="00787DB2">
        <w:rPr>
          <w:rFonts w:ascii="GHEA Grapalat" w:hAnsi="GHEA Grapalat" w:cs="Sylfaen"/>
          <w:sz w:val="24"/>
          <w:lang w:val="hy-AM"/>
        </w:rPr>
        <w:t>14</w:t>
      </w:r>
      <w:r w:rsidR="002F2F72" w:rsidRPr="00787DB2">
        <w:rPr>
          <w:rFonts w:ascii="GHEA Grapalat" w:hAnsi="GHEA Grapalat" w:cs="Sylfaen"/>
          <w:sz w:val="24"/>
          <w:lang w:val="hy-AM"/>
        </w:rPr>
        <w:t xml:space="preserve"> </w:t>
      </w:r>
      <w:r w:rsidR="00787DB2" w:rsidRPr="00787DB2">
        <w:rPr>
          <w:rFonts w:ascii="GHEA Grapalat" w:hAnsi="GHEA Grapalat" w:cs="Sylfaen"/>
          <w:sz w:val="24"/>
          <w:lang w:val="hy-AM"/>
        </w:rPr>
        <w:t xml:space="preserve">աղյուսակ </w:t>
      </w:r>
      <w:r w:rsidR="00A81FE8">
        <w:rPr>
          <w:rFonts w:ascii="GHEA Grapalat" w:hAnsi="GHEA Grapalat" w:cs="Sylfaen"/>
          <w:sz w:val="24"/>
          <w:lang w:val="hy-AM"/>
        </w:rPr>
        <w:t>47</w:t>
      </w:r>
      <w:r w:rsidR="0017729E" w:rsidRPr="00787DB2">
        <w:rPr>
          <w:rFonts w:ascii="GHEA Grapalat" w:hAnsi="GHEA Grapalat" w:cs="Sylfaen"/>
          <w:sz w:val="24"/>
          <w:lang w:val="hy-AM"/>
        </w:rPr>
        <w:t>):</w:t>
      </w:r>
      <w:r w:rsidR="00F31E30" w:rsidRPr="00787DB2">
        <w:rPr>
          <w:rFonts w:ascii="GHEA Grapalat" w:hAnsi="GHEA Grapalat" w:cs="Sylfaen"/>
          <w:sz w:val="24"/>
          <w:lang w:val="hy-AM"/>
        </w:rPr>
        <w:t xml:space="preserve"> </w:t>
      </w:r>
    </w:p>
    <w:p w:rsidR="00B90677" w:rsidRPr="00EE63C9" w:rsidRDefault="00B90677" w:rsidP="0090681F">
      <w:pPr>
        <w:pStyle w:val="ListParagraph"/>
        <w:numPr>
          <w:ilvl w:val="0"/>
          <w:numId w:val="13"/>
        </w:numPr>
        <w:spacing w:line="360" w:lineRule="auto"/>
        <w:ind w:left="0" w:firstLine="810"/>
        <w:jc w:val="both"/>
        <w:rPr>
          <w:rFonts w:ascii="GHEA Grapalat" w:eastAsia="Calibri" w:hAnsi="GHEA Grapalat" w:cs="Arial Armenian"/>
          <w:b/>
          <w:sz w:val="24"/>
          <w:lang w:val="hy-AM"/>
        </w:rPr>
      </w:pPr>
      <w:r w:rsidRPr="00EE63C9">
        <w:rPr>
          <w:rFonts w:ascii="GHEA Grapalat" w:hAnsi="GHEA Grapalat" w:cs="Arial Armenian"/>
          <w:b/>
          <w:sz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</w:t>
      </w:r>
      <w:r w:rsidRPr="00EE63C9">
        <w:rPr>
          <w:rFonts w:ascii="GHEA Grapalat" w:hAnsi="GHEA Grapalat" w:cs="Arial Armenian"/>
          <w:bCs/>
          <w:sz w:val="24"/>
          <w:lang w:val="hy-AM"/>
        </w:rPr>
        <w:t>.</w:t>
      </w:r>
    </w:p>
    <w:p w:rsidR="0061603C" w:rsidRDefault="006812F1" w:rsidP="005F3972">
      <w:pPr>
        <w:pStyle w:val="mechtex"/>
        <w:spacing w:line="360" w:lineRule="auto"/>
        <w:ind w:firstLine="72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Կ</w:t>
      </w:r>
      <w:r w:rsidR="00856EF2" w:rsidRPr="00EE63C9">
        <w:rPr>
          <w:rFonts w:ascii="GHEA Grapalat" w:hAnsi="GHEA Grapalat" w:cs="Sylfaen"/>
          <w:lang w:val="hy-AM"/>
        </w:rPr>
        <w:t xml:space="preserve">առավարության որոշման </w:t>
      </w:r>
      <w:r w:rsidR="00856EF2">
        <w:rPr>
          <w:rFonts w:ascii="GHEA Grapalat" w:hAnsi="GHEA Grapalat" w:cs="Sylfaen"/>
          <w:lang w:val="hy-AM"/>
        </w:rPr>
        <w:t xml:space="preserve">նախագծի մշակումը </w:t>
      </w:r>
      <w:r w:rsidR="00787DB2">
        <w:rPr>
          <w:rFonts w:ascii="GHEA Grapalat" w:hAnsi="GHEA Grapalat" w:cs="Sylfaen"/>
          <w:lang w:val="hy-AM"/>
        </w:rPr>
        <w:t>չի բխում մինչև</w:t>
      </w:r>
      <w:r w:rsidR="00787DB2" w:rsidRPr="00787DB2">
        <w:rPr>
          <w:rFonts w:ascii="GHEA Grapalat" w:hAnsi="GHEA Grapalat" w:cs="Sylfaen"/>
          <w:lang w:val="hy-AM"/>
        </w:rPr>
        <w:t xml:space="preserve"> 2050</w:t>
      </w:r>
      <w:r w:rsidR="00787DB2">
        <w:rPr>
          <w:rFonts w:ascii="GHEA Grapalat" w:hAnsi="GHEA Grapalat" w:cs="Sylfaen"/>
          <w:lang w:val="hy-AM"/>
        </w:rPr>
        <w:t xml:space="preserve"> թվականը </w:t>
      </w:r>
      <w:r w:rsidR="00787DB2" w:rsidRPr="00787DB2">
        <w:rPr>
          <w:rFonts w:ascii="GHEA Grapalat" w:hAnsi="GHEA Grapalat" w:cs="Sylfaen"/>
          <w:lang w:val="hy-AM"/>
        </w:rPr>
        <w:t>Հայա</w:t>
      </w:r>
      <w:r w:rsidR="00787DB2">
        <w:rPr>
          <w:rFonts w:ascii="GHEA Grapalat" w:hAnsi="GHEA Grapalat" w:cs="Sylfaen"/>
          <w:lang w:val="hy-AM"/>
        </w:rPr>
        <w:t>ստանի վերափոխման ռազմավարությունից</w:t>
      </w:r>
      <w:r w:rsidR="00787DB2" w:rsidRPr="00787DB2">
        <w:rPr>
          <w:rFonts w:ascii="GHEA Grapalat" w:hAnsi="GHEA Grapalat" w:cs="Sylfaen"/>
          <w:lang w:val="hy-AM"/>
        </w:rPr>
        <w:t>, Կ</w:t>
      </w:r>
      <w:r w:rsidR="00787DB2">
        <w:rPr>
          <w:rFonts w:ascii="GHEA Grapalat" w:hAnsi="GHEA Grapalat" w:cs="Sylfaen"/>
          <w:lang w:val="hy-AM"/>
        </w:rPr>
        <w:t xml:space="preserve">առավարության 2021-2026թթ. ծրագրից, </w:t>
      </w:r>
      <w:r w:rsidR="00787DB2" w:rsidRPr="00787DB2">
        <w:rPr>
          <w:rFonts w:ascii="GHEA Grapalat" w:hAnsi="GHEA Grapalat" w:cs="Sylfaen"/>
          <w:lang w:val="hy-AM"/>
        </w:rPr>
        <w:t xml:space="preserve"> ոլորտային և/կամ այլ ռազմավարություններ</w:t>
      </w:r>
      <w:r w:rsidR="00787DB2">
        <w:rPr>
          <w:rFonts w:ascii="GHEA Grapalat" w:hAnsi="GHEA Grapalat" w:cs="Sylfaen"/>
          <w:lang w:val="hy-AM"/>
        </w:rPr>
        <w:t>ից</w:t>
      </w:r>
      <w:r w:rsidR="00787DB2" w:rsidRPr="00787DB2">
        <w:rPr>
          <w:rFonts w:ascii="GHEA Grapalat" w:hAnsi="GHEA Grapalat" w:cs="Sylfaen"/>
          <w:lang w:val="hy-AM"/>
        </w:rPr>
        <w:t xml:space="preserve"> </w:t>
      </w:r>
      <w:r w:rsidR="005F3972" w:rsidRPr="00787DB2">
        <w:rPr>
          <w:rFonts w:ascii="GHEA Grapalat" w:hAnsi="GHEA Grapalat" w:cs="Sylfaen"/>
          <w:lang w:val="hy-AM"/>
        </w:rPr>
        <w:t>։</w:t>
      </w:r>
      <w:r w:rsidR="00856EF2" w:rsidRPr="00787DB2">
        <w:rPr>
          <w:rFonts w:ascii="GHEA Grapalat" w:hAnsi="GHEA Grapalat" w:cs="Sylfaen"/>
          <w:lang w:val="hy-AM"/>
        </w:rPr>
        <w:t xml:space="preserve"> </w:t>
      </w:r>
    </w:p>
    <w:p w:rsidR="008C6C21" w:rsidRPr="00EE63C9" w:rsidRDefault="006228A0" w:rsidP="006228A0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Նախագծի ընդունումը բխում է </w:t>
      </w:r>
      <w:r w:rsidRPr="00756D39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756D39">
        <w:rPr>
          <w:rFonts w:ascii="GHEA Grapalat" w:hAnsi="GHEA Grapalat"/>
          <w:sz w:val="24"/>
          <w:szCs w:val="24"/>
          <w:lang w:val="hy-AM"/>
        </w:rPr>
        <w:t xml:space="preserve">և Եվրոպական </w:t>
      </w:r>
      <w:r w:rsidR="00FB2A16">
        <w:rPr>
          <w:rFonts w:ascii="GHEA Grapalat" w:hAnsi="GHEA Grapalat"/>
          <w:sz w:val="24"/>
          <w:szCs w:val="24"/>
          <w:lang w:val="hy-AM"/>
        </w:rPr>
        <w:t>Մ</w:t>
      </w:r>
      <w:r w:rsidRPr="00756D39">
        <w:rPr>
          <w:rFonts w:ascii="GHEA Grapalat" w:hAnsi="GHEA Grapalat"/>
          <w:sz w:val="24"/>
          <w:szCs w:val="24"/>
          <w:lang w:val="hy-AM"/>
        </w:rPr>
        <w:t>իության և ատոմային էներգիայի եվ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րոպական համայնքի և դրանց անդամ պետությունների միջև 2017 թ</w:t>
      </w:r>
      <w:r>
        <w:rPr>
          <w:rFonts w:ascii="GHEA Grapalat" w:hAnsi="GHEA Grapalat"/>
          <w:sz w:val="24"/>
          <w:szCs w:val="24"/>
          <w:lang w:val="hy-AM"/>
        </w:rPr>
        <w:t>վականի</w:t>
      </w:r>
      <w:r w:rsidRPr="00756D39">
        <w:rPr>
          <w:rFonts w:ascii="GHEA Grapalat" w:hAnsi="GHEA Grapalat"/>
          <w:sz w:val="24"/>
          <w:szCs w:val="24"/>
          <w:lang w:val="hy-AM"/>
        </w:rPr>
        <w:t xml:space="preserve"> նո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յեմ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>բե</w:t>
      </w:r>
      <w:r w:rsidRPr="00756D39">
        <w:rPr>
          <w:rFonts w:ascii="GHEA Grapalat" w:hAnsi="GHEA Grapalat"/>
          <w:sz w:val="24"/>
          <w:szCs w:val="24"/>
          <w:lang w:val="hy-AM"/>
        </w:rPr>
        <w:softHyphen/>
        <w:t xml:space="preserve">րի 24-ին </w:t>
      </w:r>
      <w:r>
        <w:rPr>
          <w:rFonts w:ascii="GHEA Grapalat" w:hAnsi="GHEA Grapalat"/>
          <w:sz w:val="24"/>
          <w:szCs w:val="24"/>
          <w:lang w:val="hy-AM"/>
        </w:rPr>
        <w:t xml:space="preserve">ստորագրված </w:t>
      </w:r>
      <w:r w:rsidRPr="00756D39">
        <w:rPr>
          <w:rFonts w:ascii="GHEA Grapalat" w:hAnsi="GHEA Grapalat"/>
          <w:sz w:val="24"/>
          <w:szCs w:val="24"/>
          <w:lang w:val="hy-AM"/>
        </w:rPr>
        <w:t xml:space="preserve">Համապարփակ և ընդլայնված գործընկերության </w:t>
      </w:r>
      <w:r>
        <w:rPr>
          <w:rFonts w:ascii="GHEA Grapalat" w:hAnsi="GHEA Grapalat"/>
          <w:sz w:val="24"/>
          <w:szCs w:val="24"/>
          <w:lang w:val="hy-AM"/>
        </w:rPr>
        <w:t>համաձայնագրից։</w:t>
      </w:r>
    </w:p>
    <w:p w:rsidR="00E61B2C" w:rsidRPr="00EE63C9" w:rsidRDefault="00E61B2C" w:rsidP="006228A0">
      <w:pPr>
        <w:spacing w:line="360" w:lineRule="auto"/>
        <w:jc w:val="both"/>
        <w:rPr>
          <w:rFonts w:ascii="GHEA Grapalat" w:hAnsi="GHEA Grapalat"/>
          <w:lang w:val="hy-AM"/>
        </w:rPr>
      </w:pPr>
    </w:p>
    <w:sectPr w:rsidR="00E61B2C" w:rsidRPr="00EE63C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A5" w:rsidRDefault="00647DA5" w:rsidP="007F1F79">
      <w:pPr>
        <w:spacing w:after="0" w:line="240" w:lineRule="auto"/>
      </w:pPr>
      <w:r>
        <w:separator/>
      </w:r>
    </w:p>
  </w:endnote>
  <w:endnote w:type="continuationSeparator" w:id="0">
    <w:p w:rsidR="00647DA5" w:rsidRDefault="00647DA5" w:rsidP="007F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K Courier">
    <w:altName w:val="Courier New"/>
    <w:charset w:val="00"/>
    <w:family w:val="modern"/>
    <w:pitch w:val="fixed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A5" w:rsidRDefault="00647DA5" w:rsidP="007F1F79">
      <w:pPr>
        <w:spacing w:after="0" w:line="240" w:lineRule="auto"/>
      </w:pPr>
      <w:r>
        <w:separator/>
      </w:r>
    </w:p>
  </w:footnote>
  <w:footnote w:type="continuationSeparator" w:id="0">
    <w:p w:rsidR="00647DA5" w:rsidRDefault="00647DA5" w:rsidP="007F1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455"/>
    <w:multiLevelType w:val="hybridMultilevel"/>
    <w:tmpl w:val="3D80D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2366"/>
    <w:multiLevelType w:val="hybridMultilevel"/>
    <w:tmpl w:val="E76CC16A"/>
    <w:lvl w:ilvl="0" w:tplc="8536EC1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A3498"/>
    <w:multiLevelType w:val="hybridMultilevel"/>
    <w:tmpl w:val="6F74321C"/>
    <w:lvl w:ilvl="0" w:tplc="18DC0D38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D818CB"/>
    <w:multiLevelType w:val="hybridMultilevel"/>
    <w:tmpl w:val="8EDE6A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B0A8C"/>
    <w:multiLevelType w:val="hybridMultilevel"/>
    <w:tmpl w:val="0EAE94EA"/>
    <w:lvl w:ilvl="0" w:tplc="81A61B18">
      <w:start w:val="1"/>
      <w:numFmt w:val="decimal"/>
      <w:lvlText w:val="%1."/>
      <w:lvlJc w:val="right"/>
      <w:pPr>
        <w:ind w:left="1211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C16506"/>
    <w:multiLevelType w:val="hybridMultilevel"/>
    <w:tmpl w:val="CDB2D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94FD8"/>
    <w:multiLevelType w:val="hybridMultilevel"/>
    <w:tmpl w:val="9B5EFA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5A362C"/>
    <w:multiLevelType w:val="hybridMultilevel"/>
    <w:tmpl w:val="DC623B26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8571F58"/>
    <w:multiLevelType w:val="hybridMultilevel"/>
    <w:tmpl w:val="3DC662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E10A42"/>
    <w:multiLevelType w:val="hybridMultilevel"/>
    <w:tmpl w:val="DB90B5E0"/>
    <w:lvl w:ilvl="0" w:tplc="F06881D0">
      <w:start w:val="1"/>
      <w:numFmt w:val="decimal"/>
      <w:lvlText w:val="%1."/>
      <w:lvlJc w:val="left"/>
      <w:pPr>
        <w:ind w:left="862" w:hanging="72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8F10A5"/>
    <w:multiLevelType w:val="hybridMultilevel"/>
    <w:tmpl w:val="8A8A3428"/>
    <w:lvl w:ilvl="0" w:tplc="50DEBF1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1659B"/>
    <w:multiLevelType w:val="hybridMultilevel"/>
    <w:tmpl w:val="7FD0B8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35029"/>
    <w:multiLevelType w:val="hybridMultilevel"/>
    <w:tmpl w:val="09823322"/>
    <w:lvl w:ilvl="0" w:tplc="A460789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E609B8"/>
    <w:multiLevelType w:val="hybridMultilevel"/>
    <w:tmpl w:val="04B2929E"/>
    <w:lvl w:ilvl="0" w:tplc="79D093B8">
      <w:start w:val="6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33E13"/>
    <w:multiLevelType w:val="hybridMultilevel"/>
    <w:tmpl w:val="819A7974"/>
    <w:lvl w:ilvl="0" w:tplc="BAD8A62C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5C8637D6"/>
    <w:multiLevelType w:val="hybridMultilevel"/>
    <w:tmpl w:val="BD1A24F8"/>
    <w:lvl w:ilvl="0" w:tplc="8EEA3588">
      <w:start w:val="1"/>
      <w:numFmt w:val="bullet"/>
      <w:pStyle w:val="ListParagraph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D9705D08">
      <w:start w:val="1"/>
      <w:numFmt w:val="bullet"/>
      <w:lvlText w:val="o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F583F7D"/>
    <w:multiLevelType w:val="hybridMultilevel"/>
    <w:tmpl w:val="A51A6542"/>
    <w:lvl w:ilvl="0" w:tplc="3558E3C6">
      <w:start w:val="87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87098"/>
    <w:multiLevelType w:val="hybridMultilevel"/>
    <w:tmpl w:val="BF2A450A"/>
    <w:lvl w:ilvl="0" w:tplc="A460789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8F511F5"/>
    <w:multiLevelType w:val="hybridMultilevel"/>
    <w:tmpl w:val="BBA89CDA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7D1A17C2"/>
    <w:multiLevelType w:val="hybridMultilevel"/>
    <w:tmpl w:val="6A78D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12"/>
  </w:num>
  <w:num w:numId="5">
    <w:abstractNumId w:val="14"/>
  </w:num>
  <w:num w:numId="6">
    <w:abstractNumId w:val="1"/>
  </w:num>
  <w:num w:numId="7">
    <w:abstractNumId w:val="5"/>
  </w:num>
  <w:num w:numId="8">
    <w:abstractNumId w:val="18"/>
  </w:num>
  <w:num w:numId="9">
    <w:abstractNumId w:val="0"/>
  </w:num>
  <w:num w:numId="10">
    <w:abstractNumId w:val="10"/>
  </w:num>
  <w:num w:numId="11">
    <w:abstractNumId w:val="4"/>
  </w:num>
  <w:num w:numId="12">
    <w:abstractNumId w:val="8"/>
  </w:num>
  <w:num w:numId="13">
    <w:abstractNumId w:val="13"/>
  </w:num>
  <w:num w:numId="14">
    <w:abstractNumId w:val="3"/>
  </w:num>
  <w:num w:numId="15">
    <w:abstractNumId w:val="19"/>
  </w:num>
  <w:num w:numId="16">
    <w:abstractNumId w:val="16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B7"/>
    <w:rsid w:val="000163DA"/>
    <w:rsid w:val="00032B26"/>
    <w:rsid w:val="00044713"/>
    <w:rsid w:val="000519DB"/>
    <w:rsid w:val="0005613A"/>
    <w:rsid w:val="00083D1D"/>
    <w:rsid w:val="000A230B"/>
    <w:rsid w:val="000B54FE"/>
    <w:rsid w:val="000B7379"/>
    <w:rsid w:val="000D5F0B"/>
    <w:rsid w:val="000E09F9"/>
    <w:rsid w:val="000E7EA2"/>
    <w:rsid w:val="000F318D"/>
    <w:rsid w:val="00120F96"/>
    <w:rsid w:val="00121ED5"/>
    <w:rsid w:val="00131C36"/>
    <w:rsid w:val="00134A95"/>
    <w:rsid w:val="00150D6D"/>
    <w:rsid w:val="001554C1"/>
    <w:rsid w:val="001669D4"/>
    <w:rsid w:val="00166DB1"/>
    <w:rsid w:val="00167B3E"/>
    <w:rsid w:val="00175095"/>
    <w:rsid w:val="00175BEA"/>
    <w:rsid w:val="0017729E"/>
    <w:rsid w:val="001822C5"/>
    <w:rsid w:val="001A0630"/>
    <w:rsid w:val="001A19C9"/>
    <w:rsid w:val="001C2D9D"/>
    <w:rsid w:val="001D620D"/>
    <w:rsid w:val="001D67FE"/>
    <w:rsid w:val="001D7FE0"/>
    <w:rsid w:val="001E08C0"/>
    <w:rsid w:val="001E775E"/>
    <w:rsid w:val="001F1B93"/>
    <w:rsid w:val="001F40DE"/>
    <w:rsid w:val="001F6342"/>
    <w:rsid w:val="0020715F"/>
    <w:rsid w:val="002100F9"/>
    <w:rsid w:val="00210BCA"/>
    <w:rsid w:val="00237123"/>
    <w:rsid w:val="002405FA"/>
    <w:rsid w:val="00241338"/>
    <w:rsid w:val="00241BC6"/>
    <w:rsid w:val="00244C69"/>
    <w:rsid w:val="00247EE4"/>
    <w:rsid w:val="002504D1"/>
    <w:rsid w:val="00263F57"/>
    <w:rsid w:val="00266161"/>
    <w:rsid w:val="0027302B"/>
    <w:rsid w:val="00280E84"/>
    <w:rsid w:val="002B611D"/>
    <w:rsid w:val="002D4341"/>
    <w:rsid w:val="002F2B6F"/>
    <w:rsid w:val="002F2F72"/>
    <w:rsid w:val="002F674A"/>
    <w:rsid w:val="003024B5"/>
    <w:rsid w:val="003105E7"/>
    <w:rsid w:val="003125F0"/>
    <w:rsid w:val="003256F9"/>
    <w:rsid w:val="0032739D"/>
    <w:rsid w:val="003372D1"/>
    <w:rsid w:val="003572DF"/>
    <w:rsid w:val="003622E9"/>
    <w:rsid w:val="00363C73"/>
    <w:rsid w:val="00371A28"/>
    <w:rsid w:val="00372125"/>
    <w:rsid w:val="00376AA4"/>
    <w:rsid w:val="00386045"/>
    <w:rsid w:val="00393F1C"/>
    <w:rsid w:val="003942F8"/>
    <w:rsid w:val="00394E0D"/>
    <w:rsid w:val="003A1637"/>
    <w:rsid w:val="003B3DC6"/>
    <w:rsid w:val="003C1232"/>
    <w:rsid w:val="003C499D"/>
    <w:rsid w:val="003E6DF7"/>
    <w:rsid w:val="00401539"/>
    <w:rsid w:val="00416402"/>
    <w:rsid w:val="0042483C"/>
    <w:rsid w:val="00427AEF"/>
    <w:rsid w:val="00432520"/>
    <w:rsid w:val="00432609"/>
    <w:rsid w:val="00472F7C"/>
    <w:rsid w:val="00495EA7"/>
    <w:rsid w:val="004A1172"/>
    <w:rsid w:val="004A21CF"/>
    <w:rsid w:val="004E6608"/>
    <w:rsid w:val="004F5F2D"/>
    <w:rsid w:val="00513F00"/>
    <w:rsid w:val="00534C4E"/>
    <w:rsid w:val="00552B62"/>
    <w:rsid w:val="00554E6A"/>
    <w:rsid w:val="005659E4"/>
    <w:rsid w:val="00567A61"/>
    <w:rsid w:val="00572482"/>
    <w:rsid w:val="005731EF"/>
    <w:rsid w:val="00590FDF"/>
    <w:rsid w:val="00594EF2"/>
    <w:rsid w:val="005B3102"/>
    <w:rsid w:val="005D759F"/>
    <w:rsid w:val="005F3972"/>
    <w:rsid w:val="0061603C"/>
    <w:rsid w:val="006172D9"/>
    <w:rsid w:val="006228A0"/>
    <w:rsid w:val="0064016A"/>
    <w:rsid w:val="00643790"/>
    <w:rsid w:val="00643A51"/>
    <w:rsid w:val="00646B77"/>
    <w:rsid w:val="00647DA5"/>
    <w:rsid w:val="00654239"/>
    <w:rsid w:val="00660AE2"/>
    <w:rsid w:val="00671F99"/>
    <w:rsid w:val="00673B0D"/>
    <w:rsid w:val="006812F1"/>
    <w:rsid w:val="006924B0"/>
    <w:rsid w:val="00693501"/>
    <w:rsid w:val="006A7366"/>
    <w:rsid w:val="006B14F2"/>
    <w:rsid w:val="006B3960"/>
    <w:rsid w:val="006B4D09"/>
    <w:rsid w:val="006C2D91"/>
    <w:rsid w:val="006C2E3A"/>
    <w:rsid w:val="006C670B"/>
    <w:rsid w:val="006D3E30"/>
    <w:rsid w:val="006D72B9"/>
    <w:rsid w:val="006F0E7C"/>
    <w:rsid w:val="00712143"/>
    <w:rsid w:val="00716F56"/>
    <w:rsid w:val="007250B6"/>
    <w:rsid w:val="00725480"/>
    <w:rsid w:val="0073551D"/>
    <w:rsid w:val="00740260"/>
    <w:rsid w:val="00756D39"/>
    <w:rsid w:val="00771131"/>
    <w:rsid w:val="00781142"/>
    <w:rsid w:val="00787DB2"/>
    <w:rsid w:val="007A1626"/>
    <w:rsid w:val="007A2002"/>
    <w:rsid w:val="007B37A1"/>
    <w:rsid w:val="007B5A3D"/>
    <w:rsid w:val="007B7C63"/>
    <w:rsid w:val="007C24A1"/>
    <w:rsid w:val="007E018C"/>
    <w:rsid w:val="007E174D"/>
    <w:rsid w:val="007F1F79"/>
    <w:rsid w:val="007F228E"/>
    <w:rsid w:val="007F433E"/>
    <w:rsid w:val="008032A8"/>
    <w:rsid w:val="00822C1D"/>
    <w:rsid w:val="00822FBA"/>
    <w:rsid w:val="008436DB"/>
    <w:rsid w:val="00845E40"/>
    <w:rsid w:val="00856D92"/>
    <w:rsid w:val="00856EF2"/>
    <w:rsid w:val="008602B1"/>
    <w:rsid w:val="00867B32"/>
    <w:rsid w:val="008847CA"/>
    <w:rsid w:val="008A2044"/>
    <w:rsid w:val="008B1C13"/>
    <w:rsid w:val="008C6C21"/>
    <w:rsid w:val="008E536F"/>
    <w:rsid w:val="008F73D2"/>
    <w:rsid w:val="0090681F"/>
    <w:rsid w:val="0091624B"/>
    <w:rsid w:val="00920C23"/>
    <w:rsid w:val="00921911"/>
    <w:rsid w:val="0092519B"/>
    <w:rsid w:val="00965A24"/>
    <w:rsid w:val="009807E6"/>
    <w:rsid w:val="009932CD"/>
    <w:rsid w:val="00994B34"/>
    <w:rsid w:val="00996144"/>
    <w:rsid w:val="009B7C45"/>
    <w:rsid w:val="009D1D86"/>
    <w:rsid w:val="009F2F1A"/>
    <w:rsid w:val="00A02543"/>
    <w:rsid w:val="00A05C00"/>
    <w:rsid w:val="00A262A4"/>
    <w:rsid w:val="00A2782D"/>
    <w:rsid w:val="00A5077F"/>
    <w:rsid w:val="00A521F5"/>
    <w:rsid w:val="00A709D3"/>
    <w:rsid w:val="00A71513"/>
    <w:rsid w:val="00A81199"/>
    <w:rsid w:val="00A81FE8"/>
    <w:rsid w:val="00A82B35"/>
    <w:rsid w:val="00A83AAD"/>
    <w:rsid w:val="00AA04ED"/>
    <w:rsid w:val="00AC2177"/>
    <w:rsid w:val="00AC6A46"/>
    <w:rsid w:val="00AF305C"/>
    <w:rsid w:val="00B00249"/>
    <w:rsid w:val="00B01294"/>
    <w:rsid w:val="00B07631"/>
    <w:rsid w:val="00B2488F"/>
    <w:rsid w:val="00B3023B"/>
    <w:rsid w:val="00B3063F"/>
    <w:rsid w:val="00B31D6C"/>
    <w:rsid w:val="00B417AA"/>
    <w:rsid w:val="00B42FC8"/>
    <w:rsid w:val="00B514C1"/>
    <w:rsid w:val="00B61EC2"/>
    <w:rsid w:val="00B90677"/>
    <w:rsid w:val="00B94C7A"/>
    <w:rsid w:val="00B94FF1"/>
    <w:rsid w:val="00B97004"/>
    <w:rsid w:val="00BA612A"/>
    <w:rsid w:val="00BC02C7"/>
    <w:rsid w:val="00BD15CF"/>
    <w:rsid w:val="00BD4863"/>
    <w:rsid w:val="00BD6E54"/>
    <w:rsid w:val="00BE0D88"/>
    <w:rsid w:val="00BE4EE4"/>
    <w:rsid w:val="00BF1A47"/>
    <w:rsid w:val="00C2392C"/>
    <w:rsid w:val="00C25414"/>
    <w:rsid w:val="00C30F96"/>
    <w:rsid w:val="00C34D80"/>
    <w:rsid w:val="00C6679F"/>
    <w:rsid w:val="00C81EDC"/>
    <w:rsid w:val="00C86675"/>
    <w:rsid w:val="00C914D4"/>
    <w:rsid w:val="00C930DB"/>
    <w:rsid w:val="00C944AC"/>
    <w:rsid w:val="00C9600F"/>
    <w:rsid w:val="00C96270"/>
    <w:rsid w:val="00CB4B35"/>
    <w:rsid w:val="00CC2F8A"/>
    <w:rsid w:val="00CD7D2C"/>
    <w:rsid w:val="00CF4001"/>
    <w:rsid w:val="00D11798"/>
    <w:rsid w:val="00D77FA6"/>
    <w:rsid w:val="00DB74A8"/>
    <w:rsid w:val="00DD0C6D"/>
    <w:rsid w:val="00DD12F0"/>
    <w:rsid w:val="00DD537F"/>
    <w:rsid w:val="00DF2B2F"/>
    <w:rsid w:val="00E04FDE"/>
    <w:rsid w:val="00E06D2C"/>
    <w:rsid w:val="00E10B8E"/>
    <w:rsid w:val="00E33B9F"/>
    <w:rsid w:val="00E343C6"/>
    <w:rsid w:val="00E414B5"/>
    <w:rsid w:val="00E60F26"/>
    <w:rsid w:val="00E61B2C"/>
    <w:rsid w:val="00E61E37"/>
    <w:rsid w:val="00E7743F"/>
    <w:rsid w:val="00E96965"/>
    <w:rsid w:val="00EC15B4"/>
    <w:rsid w:val="00EC29B7"/>
    <w:rsid w:val="00EC4417"/>
    <w:rsid w:val="00EC5FD5"/>
    <w:rsid w:val="00EE1618"/>
    <w:rsid w:val="00EE63C9"/>
    <w:rsid w:val="00EE7522"/>
    <w:rsid w:val="00F117B7"/>
    <w:rsid w:val="00F1622C"/>
    <w:rsid w:val="00F17649"/>
    <w:rsid w:val="00F17AB6"/>
    <w:rsid w:val="00F2451B"/>
    <w:rsid w:val="00F30BAA"/>
    <w:rsid w:val="00F31E30"/>
    <w:rsid w:val="00F33D1A"/>
    <w:rsid w:val="00F50DB8"/>
    <w:rsid w:val="00F518F0"/>
    <w:rsid w:val="00F55A85"/>
    <w:rsid w:val="00F66038"/>
    <w:rsid w:val="00F725F5"/>
    <w:rsid w:val="00F75B7E"/>
    <w:rsid w:val="00FA444B"/>
    <w:rsid w:val="00FB2A16"/>
    <w:rsid w:val="00FC0D6E"/>
    <w:rsid w:val="00FD0447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57A64"/>
  <w15:docId w15:val="{C217810B-4B8F-45FA-88A8-58E82066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C21"/>
    <w:pPr>
      <w:spacing w:after="200" w:line="276" w:lineRule="auto"/>
      <w:jc w:val="left"/>
    </w:pPr>
    <w:rPr>
      <w:rFonts w:ascii="Calibri" w:eastAsia="Calibri" w:hAnsi="Calibri" w:cs="Times New Roman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stile 1"/>
    <w:basedOn w:val="Normal"/>
    <w:link w:val="FootnoteTextChar"/>
    <w:uiPriority w:val="99"/>
    <w:unhideWhenUsed/>
    <w:rsid w:val="007F1F7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rsid w:val="007F1F79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F1F79"/>
    <w:rPr>
      <w:vertAlign w:val="superscript"/>
    </w:rPr>
  </w:style>
  <w:style w:type="paragraph" w:styleId="ListParagraph">
    <w:name w:val="List Paragraph"/>
    <w:aliases w:val="Bullet1,References,List Paragraph (numbered (a)),IBL List Paragraph,List Paragraph nowy,Numbered List Paragraph,Akapit z listą BS,List Paragraph 1,List_Paragraph,Multilevel para_II,Абзац списка3,Bullet Points,Liste Paragraf"/>
    <w:basedOn w:val="Normal"/>
    <w:link w:val="ListParagraphChar"/>
    <w:qFormat/>
    <w:rsid w:val="00B94C7A"/>
    <w:pPr>
      <w:numPr>
        <w:numId w:val="2"/>
      </w:numPr>
      <w:spacing w:after="120"/>
      <w:contextualSpacing/>
    </w:pPr>
    <w:rPr>
      <w:rFonts w:ascii="Arial" w:eastAsia="Times New Roman" w:hAnsi="Arial"/>
      <w:sz w:val="20"/>
      <w:szCs w:val="24"/>
      <w:lang w:val="en-US" w:eastAsia="de-DE"/>
    </w:rPr>
  </w:style>
  <w:style w:type="character" w:customStyle="1" w:styleId="ListParagraphChar">
    <w:name w:val="List Paragraph Char"/>
    <w:aliases w:val="Bullet1 Char,References Char,List Paragraph (numbered (a)) Char,IBL List Paragraph Char,List Paragraph nowy Char,Numbered List Paragraph Char,Akapit z listą BS Char,List Paragraph 1 Char,List_Paragraph Char,Multilevel para_II Char"/>
    <w:link w:val="ListParagraph"/>
    <w:locked/>
    <w:rsid w:val="00B94C7A"/>
    <w:rPr>
      <w:rFonts w:ascii="Arial" w:eastAsia="Times New Roman" w:hAnsi="Arial" w:cs="Times New Roman"/>
      <w:sz w:val="20"/>
      <w:szCs w:val="24"/>
      <w:lang w:eastAsia="de-DE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"/>
    <w:basedOn w:val="Normal"/>
    <w:uiPriority w:val="99"/>
    <w:qFormat/>
    <w:rsid w:val="00472F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aliases w:val="Heading 11,Знак"/>
    <w:basedOn w:val="Normal"/>
    <w:link w:val="BalloonTextChar"/>
    <w:semiHidden/>
    <w:unhideWhenUsed/>
    <w:rsid w:val="0047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aliases w:val="Heading 11 Char,Знак Char"/>
    <w:basedOn w:val="DefaultParagraphFont"/>
    <w:link w:val="BalloonText"/>
    <w:uiPriority w:val="9"/>
    <w:qFormat/>
    <w:rsid w:val="00472F7C"/>
    <w:rPr>
      <w:rFonts w:ascii="Tahoma" w:eastAsia="Calibri" w:hAnsi="Tahoma" w:cs="Tahoma"/>
      <w:sz w:val="16"/>
      <w:szCs w:val="16"/>
      <w:lang w:val="en-GB"/>
    </w:rPr>
  </w:style>
  <w:style w:type="character" w:styleId="Emphasis">
    <w:name w:val="Emphasis"/>
    <w:basedOn w:val="DefaultParagraphFont"/>
    <w:uiPriority w:val="20"/>
    <w:qFormat/>
    <w:rsid w:val="00B3063F"/>
    <w:rPr>
      <w:i/>
      <w:iCs/>
    </w:rPr>
  </w:style>
  <w:style w:type="character" w:customStyle="1" w:styleId="normChar">
    <w:name w:val="norm Char"/>
    <w:link w:val="norm"/>
    <w:locked/>
    <w:rsid w:val="00121ED5"/>
    <w:rPr>
      <w:rFonts w:ascii="Arial Armenian" w:hAnsi="Arial Armenian"/>
      <w:sz w:val="22"/>
      <w:lang w:eastAsia="ru-RU"/>
    </w:rPr>
  </w:style>
  <w:style w:type="paragraph" w:customStyle="1" w:styleId="norm">
    <w:name w:val="norm"/>
    <w:basedOn w:val="Normal"/>
    <w:link w:val="normChar"/>
    <w:rsid w:val="00121ED5"/>
    <w:pPr>
      <w:spacing w:after="0" w:line="480" w:lineRule="auto"/>
      <w:ind w:firstLine="709"/>
      <w:jc w:val="both"/>
    </w:pPr>
    <w:rPr>
      <w:rFonts w:ascii="Arial Armenian" w:eastAsiaTheme="minorHAnsi" w:hAnsi="Arial Armenian" w:cstheme="minorBidi"/>
      <w:lang w:val="en-US" w:eastAsia="ru-RU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121ED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mechtexChar">
    <w:name w:val="mechtex Char"/>
    <w:link w:val="mechtex"/>
    <w:locked/>
    <w:rsid w:val="00856EF2"/>
    <w:rPr>
      <w:rFonts w:ascii="Arial Armenian" w:eastAsia="Times New Roman" w:hAnsi="Arial Armenian" w:cs="Times New Roman"/>
      <w:lang w:eastAsia="ru-RU"/>
    </w:rPr>
  </w:style>
  <w:style w:type="paragraph" w:customStyle="1" w:styleId="mechtex">
    <w:name w:val="mechtex"/>
    <w:basedOn w:val="Normal"/>
    <w:link w:val="mechtexChar"/>
    <w:qFormat/>
    <w:rsid w:val="00856EF2"/>
    <w:pPr>
      <w:spacing w:after="0" w:line="240" w:lineRule="auto"/>
      <w:jc w:val="center"/>
    </w:pPr>
    <w:rPr>
      <w:rFonts w:ascii="Arial Armenian" w:eastAsia="Times New Roman" w:hAnsi="Arial Armenian"/>
      <w:sz w:val="24"/>
      <w:lang w:val="en-US" w:eastAsia="ru-RU"/>
    </w:rPr>
  </w:style>
  <w:style w:type="character" w:styleId="Strong">
    <w:name w:val="Strong"/>
    <w:uiPriority w:val="22"/>
    <w:qFormat/>
    <w:rsid w:val="00856D92"/>
    <w:rPr>
      <w:b/>
      <w:bCs/>
    </w:rPr>
  </w:style>
  <w:style w:type="character" w:customStyle="1" w:styleId="normaltextrun">
    <w:name w:val="normaltextrun"/>
    <w:basedOn w:val="DefaultParagraphFont"/>
    <w:rsid w:val="00A521F5"/>
  </w:style>
  <w:style w:type="character" w:styleId="Hyperlink">
    <w:name w:val="Hyperlink"/>
    <w:basedOn w:val="DefaultParagraphFont"/>
    <w:uiPriority w:val="99"/>
    <w:unhideWhenUsed/>
    <w:rsid w:val="000B7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6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raf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zdara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8E89E-80A7-4F68-B427-1F56FFA1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Nazik Jzmachyan</dc:creator>
  <cp:keywords/>
  <dc:description/>
  <cp:lastModifiedBy>Nazik Jzmachyan</cp:lastModifiedBy>
  <cp:revision>256</cp:revision>
  <cp:lastPrinted>2021-03-09T11:57:00Z</cp:lastPrinted>
  <dcterms:created xsi:type="dcterms:W3CDTF">2021-02-12T07:50:00Z</dcterms:created>
  <dcterms:modified xsi:type="dcterms:W3CDTF">2025-10-14T10:45:00Z</dcterms:modified>
</cp:coreProperties>
</file>