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11E3" w14:textId="77777777" w:rsidR="0048643F" w:rsidRPr="00E821CA" w:rsidRDefault="0048643F" w:rsidP="0048643F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u w:val="single"/>
        </w:rPr>
      </w:pPr>
      <w:r w:rsidRPr="00E821CA">
        <w:rPr>
          <w:rFonts w:ascii="GHEA Grapalat" w:hAnsi="GHEA Grapalat"/>
          <w:sz w:val="24"/>
          <w:szCs w:val="24"/>
          <w:u w:val="single"/>
        </w:rPr>
        <w:t>ՆԱԽԱԳԻԾ</w:t>
      </w:r>
    </w:p>
    <w:p w14:paraId="6E1861C4" w14:textId="77777777" w:rsidR="00B44627" w:rsidRDefault="00B44627" w:rsidP="0048643F">
      <w:pPr>
        <w:spacing w:line="360" w:lineRule="auto"/>
      </w:pPr>
    </w:p>
    <w:p w14:paraId="12539F6E" w14:textId="77777777" w:rsidR="005A26E5" w:rsidRPr="00E821CA" w:rsidRDefault="005A26E5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821CA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2D17F476" w14:textId="77777777" w:rsidR="005A26E5" w:rsidRPr="00E821CA" w:rsidRDefault="005A26E5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821CA">
        <w:rPr>
          <w:rFonts w:ascii="GHEA Grapalat" w:hAnsi="GHEA Grapalat"/>
          <w:b/>
          <w:sz w:val="24"/>
          <w:szCs w:val="24"/>
        </w:rPr>
        <w:t>Օ Ր Ե Ն Ք Ը</w:t>
      </w:r>
    </w:p>
    <w:p w14:paraId="0B0A20DF" w14:textId="77777777" w:rsidR="005A26E5" w:rsidRPr="00E821CA" w:rsidRDefault="005A26E5" w:rsidP="004864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1E9BC1DD" w14:textId="788155B8" w:rsidR="005A26E5" w:rsidRPr="0048643F" w:rsidRDefault="000B65D3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ՔՐԵԱԿԱ</w:t>
      </w:r>
      <w:r w:rsidR="001D2B25">
        <w:rPr>
          <w:rFonts w:ascii="GHEA Grapalat" w:hAnsi="GHEA Grapalat"/>
          <w:b/>
          <w:sz w:val="24"/>
          <w:szCs w:val="24"/>
        </w:rPr>
        <w:t>ՏԱՐՈՂԱԿԱՆ</w:t>
      </w:r>
      <w:r>
        <w:rPr>
          <w:rFonts w:ascii="GHEA Grapalat" w:hAnsi="GHEA Grapalat"/>
          <w:b/>
          <w:sz w:val="24"/>
          <w:szCs w:val="24"/>
        </w:rPr>
        <w:t xml:space="preserve"> ՕՐԵՆՍԳՐՔՈՒՄ ԼՐԱՑՈՒՄՆԵՐ ԿԱՏԱՐԵԼՈՒ ՄԱՍԻՆ</w:t>
      </w:r>
    </w:p>
    <w:p w14:paraId="5868ED43" w14:textId="77777777" w:rsidR="005A26E5" w:rsidRDefault="005A26E5" w:rsidP="004864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0792B16C" w14:textId="5400790D" w:rsidR="00944F81" w:rsidRDefault="005A26E5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821CA">
        <w:rPr>
          <w:rFonts w:ascii="GHEA Grapalat" w:hAnsi="GHEA Grapalat"/>
          <w:b/>
          <w:sz w:val="24"/>
          <w:szCs w:val="24"/>
        </w:rPr>
        <w:t>Հոդված 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2B25" w:rsidRPr="001D2B25">
        <w:rPr>
          <w:rFonts w:ascii="GHEA Grapalat" w:hAnsi="GHEA Grapalat"/>
          <w:sz w:val="24"/>
          <w:szCs w:val="24"/>
          <w:lang w:val="hy-AM"/>
        </w:rPr>
        <w:t>2022 թվականի հունիսի 15-ի Հայաստանի Հանրապետության քրեակատարողական</w:t>
      </w:r>
      <w:r w:rsidR="001D2B25" w:rsidRP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օրենսգրքի 15</w:t>
      </w:r>
      <w:r w:rsidR="008049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1D2B25" w:rsidRP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հոդված</w:t>
      </w:r>
      <w:r w:rsid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ում՝</w:t>
      </w:r>
    </w:p>
    <w:p w14:paraId="0E4312F3" w14:textId="3AC875AD" w:rsidR="001D2B25" w:rsidRPr="001D2B25" w:rsidRDefault="00944F81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 w:rsidR="001D2B25" w:rsidRP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լրացնել հետևյալ բովանդակությամբ 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3.1-3.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6-րդ</w:t>
      </w:r>
      <w:r w:rsidR="001D2B25" w:rsidRP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մասերով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14:paraId="09B23579" w14:textId="5E9C246E" w:rsidR="001D2B25" w:rsidRDefault="001D2B25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3.1. Սույն գլխով և սույն օրենսգրքի 30-րդ գլխով նախատեսված </w:t>
      </w:r>
      <w:r w:rsid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բանավոր ընթացակարգով վարույթի դեպքում դատական նիստին </w:t>
      </w:r>
      <w:r w:rsidRP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դատապարտյալի մասնակցությունը կարող է ապահովվել տեսահաղորդակցության տեխնիկական միջոցների օգտագործմամբ (տեսակապի միջոցով)՝ դատապարտյալի միջնորդությամբ կամ դատարանի նախաձեռնությամբ՝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հասարակական կարգի կամ առողջության կամ դատապարտյալի անվտանգության ապահովման կամ հանցագործությունների կանխման կամ </w:t>
      </w:r>
      <w:r w:rsidR="0069586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օրենսգրքով նախատեսված ժամկետում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դատական վարույթի իրականացումն ապահովելու նպատակով։</w:t>
      </w:r>
    </w:p>
    <w:p w14:paraId="0DC9DD25" w14:textId="0A906F19" w:rsidR="001D2B25" w:rsidRDefault="001D2B25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3.</w:t>
      </w:r>
      <w:r w:rsid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Տեսակապի միջոցով դատական նիստին </w:t>
      </w:r>
      <w:r w:rsidR="008049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դատապարտյալի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մասնակցության դեպքում պետք է երաշխավորվի, որ՝</w:t>
      </w:r>
    </w:p>
    <w:p w14:paraId="14358286" w14:textId="730D4266" w:rsidR="001D2B25" w:rsidRDefault="001D2B25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A1A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դատական </w:t>
      </w:r>
      <w:r w:rsidR="008049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նիստին ներկայացած անձինք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</w:t>
      </w:r>
      <w:r w:rsidR="008049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դատապարտյալը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հստակորեն տեսնեն ու լսեն միմյանց</w:t>
      </w:r>
      <w:r w:rsidRPr="00DA1A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14:paraId="4CE1AAFD" w14:textId="77777777" w:rsidR="00944F81" w:rsidRDefault="001D2B25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="008049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դատապարտյալը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նրա </w:t>
      </w:r>
      <w:r w:rsidR="008049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փաստաբանը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դատական նիստի ընթացքում խորհրդապահական կարգով հաղորդակցվելու հնարավորություն ունենան</w:t>
      </w:r>
      <w:r w:rsid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14:paraId="34BBFB42" w14:textId="0B840952" w:rsidR="001D2B25" w:rsidRDefault="00944F81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դատապարտյալը</w:t>
      </w:r>
      <w:r w:rsidRP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հնարավորություն ունենա դատական նիստի ընթացքում տեսակապի միջոցով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ծանոթանալու գործի նյութերին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2AA2EC98" w14:textId="35214A93" w:rsidR="001D2B25" w:rsidRDefault="00804991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3</w:t>
      </w:r>
      <w:r w:rsidR="001D2B25" w:rsidRPr="00C908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1D2B25" w:rsidRPr="00C908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զատությունից զրկելու հետ</w:t>
      </w:r>
      <w:r w:rsid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չկապված պատիժ կրող դատապարտյալը դատական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նիստին մասնակցելու նպատակով գործածում է մասնավոր տեխնիկական միջոցներ։ Այդ դեպքում սույն հոդվածի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.2-րդ մասի 2-րդ կետով նախատեսված հաղորդակցությունն իրականացնելու նպատակով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փաստաբանը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դատապարտյալը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գործածում են մասնավոր տեխնիկական միջոցներ։ Սույն հոդվածով նախատեսված մասնավոր տեխնիկական միջոցների գործածման կարգը սահմանում է Կառավարությունը։ </w:t>
      </w:r>
    </w:p>
    <w:p w14:paraId="475B3FFC" w14:textId="510904E3" w:rsidR="001D2B25" w:rsidRDefault="00804991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Դատապարտյալի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մասնակցությունը դատական նիստին տեսակապով չի կարող ապահովվել, եթե՝</w:t>
      </w:r>
    </w:p>
    <w:p w14:paraId="12B28C4D" w14:textId="34D5A2FD" w:rsidR="001D2B25" w:rsidRDefault="001D2B25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541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տեսակապով մասնակցության դեպքում հնարավոր չէ ապահովել սույն հոդվածի </w:t>
      </w:r>
      <w:r w:rsidR="008049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մասով նախատեսված պայմաններից մեկը</w:t>
      </w:r>
      <w:r w:rsidRPr="009541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14:paraId="66BD3312" w14:textId="4B2915BE" w:rsidR="001D2B25" w:rsidRPr="001D2B25" w:rsidRDefault="001D2B25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տեսակապով մասնակցության դեմ փաստարկված առարկում է </w:t>
      </w:r>
      <w:r w:rsidR="008049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պատիժ կատարող հիմնարկի կամ մարմնի ներկայացուցիչը կամ դատախազը.</w:t>
      </w:r>
    </w:p>
    <w:p w14:paraId="035D3639" w14:textId="59E09685" w:rsidR="001D2B25" w:rsidRDefault="001D2B25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դատարանի նախաձեռնությամբ տեսակապով մասնակցության ապահովման դեմ փաստարկված առարկում է </w:t>
      </w:r>
      <w:r w:rsidR="0080499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դատապարտյալը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։ </w:t>
      </w:r>
    </w:p>
    <w:p w14:paraId="29F5E5C6" w14:textId="338B927A" w:rsidR="001D2B25" w:rsidRPr="002E1C37" w:rsidRDefault="00804991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3.</w:t>
      </w:r>
      <w:r w:rsid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1D2B25" w:rsidRPr="00F571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Եթե սույն հոդվածի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1D2B25" w:rsidRP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1D2B25" w:rsidRP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-րդ 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</w:t>
      </w:r>
      <w:r w:rsidR="001D2B25" w:rsidRPr="002E1C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ով 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նախատեսված հանգամանքները ծագում են դատական նիստին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դատապարտյալի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մասնակցությունը տեսակապով ապահովելու մասին որոշման կայացումից հետո, ապա դատարանը կայացնում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դատապարտյալի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մասնակցությունն ընդհանուր կարգով իրականացնելու մասին որոշում։ </w:t>
      </w:r>
    </w:p>
    <w:p w14:paraId="597CB831" w14:textId="62522E62" w:rsidR="001D2B25" w:rsidRDefault="00804991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Դատական նիստին տեսակապի միջոցով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դատապարտյալի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մասնակացությունը և դատական նիստի ընթացքում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դատապարտյալի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 նրա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փաստաբանի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խորհրդապահական կարգով հաղորդակցվելու հնարավորությունն ապահովելու համար դատական նիստերի դահլիճում</w:t>
      </w:r>
      <w:r w:rsidR="008D134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քրեակատարողական հիմնարկներում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D134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կիրառվող </w:t>
      </w:r>
      <w:r w:rsidR="001D2B25" w:rsidRPr="00F571A1">
        <w:rPr>
          <w:rFonts w:ascii="GHEA Grapalat" w:eastAsia="Times New Roman" w:hAnsi="GHEA Grapalat" w:cs="Times New Roman" w:hint="eastAsia"/>
          <w:color w:val="000000"/>
          <w:sz w:val="24"/>
          <w:szCs w:val="24"/>
          <w:lang w:val="hy-AM" w:eastAsia="ru-RU"/>
        </w:rPr>
        <w:t>տեխնիկական միջոցների</w:t>
      </w:r>
      <w:r w:rsidR="001D2B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բնութագիրը, չափանիշները և օգտագործման կարգը սահմանում է Կառավարությունը։</w:t>
      </w:r>
      <w:r w:rsidR="00944F8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».</w:t>
      </w:r>
    </w:p>
    <w:p w14:paraId="69A6DD97" w14:textId="73885D44" w:rsidR="00944F81" w:rsidRDefault="00944F81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5-րդ մասը լրացնել հետևյալ բովանդակությամբ նոր նախադասություններով.</w:t>
      </w:r>
    </w:p>
    <w:p w14:paraId="285977C2" w14:textId="3861E6D3" w:rsidR="00944F81" w:rsidRDefault="00944F81" w:rsidP="008D134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«Տեսակապի միջոցով դատական նիստին դատապարտյալի մասնակցության դեպքում փաստաբանի մասնակցությունը պարտադիր է։ Փաստաբանը կարող է դատական նիստին մասնակցել դատական նիստերի դահլիճում կամ տեսակապի միջոցով՝ դատապարտյալի գտնվելու վայրից։»։ </w:t>
      </w:r>
    </w:p>
    <w:p w14:paraId="5CA055EB" w14:textId="77777777" w:rsidR="00CF7ED9" w:rsidRDefault="00CF7ED9" w:rsidP="008D134D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5AC68E1" w14:textId="773554BB" w:rsidR="00A10A1E" w:rsidRDefault="00CF7ED9" w:rsidP="008D134D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C642F5">
        <w:rPr>
          <w:rFonts w:ascii="GHEA Grapalat" w:hAnsi="GHEA Grapalat"/>
          <w:b/>
          <w:sz w:val="24"/>
          <w:szCs w:val="24"/>
          <w:lang w:val="hy-AM"/>
        </w:rPr>
        <w:t>2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10A1E">
        <w:rPr>
          <w:rFonts w:ascii="GHEA Grapalat" w:hAnsi="GHEA Grapalat"/>
          <w:b/>
          <w:sz w:val="24"/>
          <w:szCs w:val="24"/>
          <w:lang w:val="hy-AM"/>
        </w:rPr>
        <w:t>Եզրափակիչ մաս և անցումային դրույթ</w:t>
      </w:r>
    </w:p>
    <w:p w14:paraId="6964F967" w14:textId="094AF964" w:rsidR="00FF2793" w:rsidRDefault="00A10A1E" w:rsidP="008D134D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10A1E">
        <w:rPr>
          <w:rFonts w:ascii="GHEA Grapalat" w:hAnsi="GHEA Grapalat"/>
          <w:bCs/>
          <w:sz w:val="24"/>
          <w:szCs w:val="24"/>
          <w:lang w:val="hy-AM"/>
        </w:rPr>
        <w:t>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F2793" w:rsidRPr="00FF279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FF2793" w:rsidRPr="00FF2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օրենքն ուժի մեջ է մտնում </w:t>
      </w:r>
      <w:r w:rsidR="00D30C02">
        <w:rPr>
          <w:rFonts w:ascii="GHEA Grapalat" w:hAnsi="GHEA Grapalat"/>
          <w:bCs/>
          <w:sz w:val="24"/>
          <w:szCs w:val="24"/>
          <w:lang w:val="hy-AM"/>
        </w:rPr>
        <w:t xml:space="preserve">պաշտոնական </w:t>
      </w:r>
      <w:r w:rsidR="00D30C02" w:rsidRPr="00D30C02">
        <w:rPr>
          <w:rFonts w:ascii="GHEA Grapalat" w:hAnsi="GHEA Grapalat" w:hint="eastAsia"/>
          <w:bCs/>
          <w:sz w:val="24"/>
          <w:szCs w:val="24"/>
          <w:lang w:val="hy-AM"/>
        </w:rPr>
        <w:t>հրապարակման օրվան հաջորդող տասներորդ օրը</w:t>
      </w:r>
      <w:r w:rsidR="00F571A1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7E56B3F3" w14:textId="0CCF7CD2" w:rsidR="00D30C02" w:rsidRPr="00D30C02" w:rsidRDefault="00F571A1" w:rsidP="008D134D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571A1">
        <w:rPr>
          <w:rFonts w:ascii="GHEA Grapalat" w:hAnsi="GHEA Grapalat"/>
          <w:bCs/>
          <w:sz w:val="24"/>
          <w:szCs w:val="24"/>
          <w:lang w:val="hy-AM"/>
        </w:rPr>
        <w:t xml:space="preserve">2. </w:t>
      </w:r>
      <w:r w:rsidR="00D30C02">
        <w:rPr>
          <w:rFonts w:ascii="GHEA Grapalat" w:hAnsi="GHEA Grapalat"/>
          <w:bCs/>
          <w:sz w:val="24"/>
          <w:szCs w:val="24"/>
          <w:lang w:val="hy-AM"/>
        </w:rPr>
        <w:t xml:space="preserve">Սույն օրենքի գործողությունը տարածվում է 2026 թվականի </w:t>
      </w:r>
      <w:r w:rsidR="007D0E2A">
        <w:rPr>
          <w:rFonts w:ascii="GHEA Grapalat" w:hAnsi="GHEA Grapalat"/>
          <w:bCs/>
          <w:sz w:val="24"/>
          <w:szCs w:val="24"/>
          <w:lang w:val="hy-AM"/>
        </w:rPr>
        <w:t xml:space="preserve">հուլիսի </w:t>
      </w:r>
      <w:r w:rsidR="00D30C02" w:rsidRPr="00D30C02">
        <w:rPr>
          <w:rFonts w:ascii="GHEA Grapalat" w:hAnsi="GHEA Grapalat"/>
          <w:bCs/>
          <w:sz w:val="24"/>
          <w:szCs w:val="24"/>
          <w:lang w:val="hy-AM"/>
        </w:rPr>
        <w:t xml:space="preserve">1-ից </w:t>
      </w:r>
      <w:r w:rsidR="002E1C37">
        <w:rPr>
          <w:rFonts w:ascii="GHEA Grapalat" w:hAnsi="GHEA Grapalat"/>
          <w:bCs/>
          <w:sz w:val="24"/>
          <w:szCs w:val="24"/>
          <w:lang w:val="hy-AM"/>
        </w:rPr>
        <w:t xml:space="preserve">հետո անցկացվող դատական նիստերի վրա։ </w:t>
      </w:r>
    </w:p>
    <w:p w14:paraId="04FD8C5A" w14:textId="274AA16C" w:rsidR="00F571A1" w:rsidRPr="00F571A1" w:rsidRDefault="002E1C37" w:rsidP="008D134D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E1C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="00F571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օրենքի ընդունումից բխող ենթաօրենսդրական ակտերն ընդունվում են </w:t>
      </w:r>
      <w:r w:rsidR="00F571A1" w:rsidRPr="00A10A1E">
        <w:rPr>
          <w:rFonts w:ascii="GHEA Grapalat" w:hAnsi="GHEA Grapalat"/>
          <w:bCs/>
          <w:sz w:val="24"/>
          <w:szCs w:val="24"/>
          <w:lang w:val="hy-AM"/>
        </w:rPr>
        <w:t xml:space="preserve">սույն օրենքն ուժի մեջ մտնելուց հետո՝ </w:t>
      </w:r>
      <w:r>
        <w:rPr>
          <w:rFonts w:ascii="GHEA Grapalat" w:hAnsi="GHEA Grapalat"/>
          <w:bCs/>
          <w:sz w:val="24"/>
          <w:szCs w:val="24"/>
          <w:lang w:val="hy-AM"/>
        </w:rPr>
        <w:t>վեց</w:t>
      </w:r>
      <w:r w:rsidR="00F571A1">
        <w:rPr>
          <w:rFonts w:ascii="GHEA Grapalat" w:hAnsi="GHEA Grapalat"/>
          <w:bCs/>
          <w:sz w:val="24"/>
          <w:szCs w:val="24"/>
          <w:lang w:val="hy-AM"/>
        </w:rPr>
        <w:t xml:space="preserve"> ամ</w:t>
      </w:r>
      <w:r w:rsidR="00D30C02">
        <w:rPr>
          <w:rFonts w:ascii="GHEA Grapalat" w:hAnsi="GHEA Grapalat"/>
          <w:bCs/>
          <w:sz w:val="24"/>
          <w:szCs w:val="24"/>
          <w:lang w:val="hy-AM"/>
        </w:rPr>
        <w:t>ս</w:t>
      </w:r>
      <w:r w:rsidR="00F571A1">
        <w:rPr>
          <w:rFonts w:ascii="GHEA Grapalat" w:hAnsi="GHEA Grapalat"/>
          <w:bCs/>
          <w:sz w:val="24"/>
          <w:szCs w:val="24"/>
          <w:lang w:val="hy-AM"/>
        </w:rPr>
        <w:t>վա ընթացքում</w:t>
      </w:r>
      <w:r w:rsidR="00F571A1" w:rsidRPr="00A10A1E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38B8FCF8" w14:textId="77777777" w:rsidR="009644D2" w:rsidRDefault="009644D2" w:rsidP="0048643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1C0C633" w14:textId="2BCD7662" w:rsidR="00FF2793" w:rsidRPr="00E821CA" w:rsidRDefault="00FF2793" w:rsidP="0048643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821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Հանրապետության նախագահ                                                          Վ</w:t>
      </w:r>
      <w:r w:rsidRPr="00E821CA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hy-AM"/>
        </w:rPr>
        <w:t>․</w:t>
      </w:r>
      <w:r w:rsidRPr="00E821CA">
        <w:rPr>
          <w:rFonts w:ascii="GHEA Grapalat" w:eastAsia="MS Mincho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E821C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Խ</w:t>
      </w:r>
      <w:r w:rsidRPr="00E821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աչատուրյան</w:t>
      </w:r>
    </w:p>
    <w:p w14:paraId="3B806DF1" w14:textId="7866DB80" w:rsidR="00FF2793" w:rsidRPr="00E821CA" w:rsidRDefault="00FF2793" w:rsidP="0048643F">
      <w:pPr>
        <w:spacing w:after="0" w:line="360" w:lineRule="auto"/>
        <w:ind w:firstLine="567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             «____»__________202</w:t>
      </w:r>
      <w:r w:rsidR="000B65D3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E821CA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4236225F" w14:textId="1C40F841" w:rsidR="00D70723" w:rsidRPr="00CF7ED9" w:rsidRDefault="00FF2793" w:rsidP="00CF7ED9">
      <w:pPr>
        <w:tabs>
          <w:tab w:val="left" w:pos="8070"/>
          <w:tab w:val="right" w:pos="9689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</w:t>
      </w:r>
      <w:r w:rsidR="009669DC">
        <w:rPr>
          <w:rFonts w:ascii="GHEA Grapalat" w:hAnsi="GHEA Grapalat" w:cs="Times New Roman"/>
          <w:sz w:val="24"/>
          <w:szCs w:val="24"/>
          <w:lang w:val="hy-AM"/>
        </w:rPr>
        <w:t xml:space="preserve">                     </w:t>
      </w: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 ք</w:t>
      </w:r>
      <w:r w:rsidRPr="00E821C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Երևան</w:t>
      </w:r>
    </w:p>
    <w:sectPr w:rsidR="00D70723" w:rsidRPr="00CF7ED9" w:rsidSect="00AB556A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5282"/>
    <w:multiLevelType w:val="hybridMultilevel"/>
    <w:tmpl w:val="2312E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7177"/>
    <w:multiLevelType w:val="hybridMultilevel"/>
    <w:tmpl w:val="2CC4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6933">
    <w:abstractNumId w:val="1"/>
  </w:num>
  <w:num w:numId="2" w16cid:durableId="165629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AA"/>
    <w:rsid w:val="00002315"/>
    <w:rsid w:val="00033B9A"/>
    <w:rsid w:val="00034B84"/>
    <w:rsid w:val="00082194"/>
    <w:rsid w:val="00091E59"/>
    <w:rsid w:val="000A4AF7"/>
    <w:rsid w:val="000A6FF5"/>
    <w:rsid w:val="000B65D3"/>
    <w:rsid w:val="000C03F2"/>
    <w:rsid w:val="000D57AA"/>
    <w:rsid w:val="000F386A"/>
    <w:rsid w:val="000F458B"/>
    <w:rsid w:val="0016160F"/>
    <w:rsid w:val="00161B11"/>
    <w:rsid w:val="001631C0"/>
    <w:rsid w:val="0016603A"/>
    <w:rsid w:val="00172061"/>
    <w:rsid w:val="00185598"/>
    <w:rsid w:val="00191DFE"/>
    <w:rsid w:val="001D2B25"/>
    <w:rsid w:val="0021781F"/>
    <w:rsid w:val="00227CD1"/>
    <w:rsid w:val="002E0E2B"/>
    <w:rsid w:val="002E1C37"/>
    <w:rsid w:val="00307397"/>
    <w:rsid w:val="00310FE4"/>
    <w:rsid w:val="003C567F"/>
    <w:rsid w:val="003E02D1"/>
    <w:rsid w:val="00446297"/>
    <w:rsid w:val="00465424"/>
    <w:rsid w:val="00467D8D"/>
    <w:rsid w:val="0048643F"/>
    <w:rsid w:val="00492A33"/>
    <w:rsid w:val="004E4056"/>
    <w:rsid w:val="004F4349"/>
    <w:rsid w:val="0050559B"/>
    <w:rsid w:val="005136F3"/>
    <w:rsid w:val="00516D6B"/>
    <w:rsid w:val="005228C8"/>
    <w:rsid w:val="00553B7F"/>
    <w:rsid w:val="0057489E"/>
    <w:rsid w:val="00585372"/>
    <w:rsid w:val="005966F9"/>
    <w:rsid w:val="005A1D7A"/>
    <w:rsid w:val="005A26E5"/>
    <w:rsid w:val="00620BD0"/>
    <w:rsid w:val="00623526"/>
    <w:rsid w:val="00650424"/>
    <w:rsid w:val="00695866"/>
    <w:rsid w:val="006C2B9A"/>
    <w:rsid w:val="0070372E"/>
    <w:rsid w:val="007729F6"/>
    <w:rsid w:val="007C1712"/>
    <w:rsid w:val="007C2448"/>
    <w:rsid w:val="007D0E2A"/>
    <w:rsid w:val="007E7B4D"/>
    <w:rsid w:val="007F4D88"/>
    <w:rsid w:val="00804991"/>
    <w:rsid w:val="008668FA"/>
    <w:rsid w:val="00887B3C"/>
    <w:rsid w:val="008A2CEA"/>
    <w:rsid w:val="008D134D"/>
    <w:rsid w:val="008E76F4"/>
    <w:rsid w:val="009149B9"/>
    <w:rsid w:val="00944F81"/>
    <w:rsid w:val="0095416C"/>
    <w:rsid w:val="009644D2"/>
    <w:rsid w:val="009669DC"/>
    <w:rsid w:val="009732BD"/>
    <w:rsid w:val="00980D9B"/>
    <w:rsid w:val="00981E3C"/>
    <w:rsid w:val="00A10A1E"/>
    <w:rsid w:val="00A822A0"/>
    <w:rsid w:val="00A86284"/>
    <w:rsid w:val="00A96ACF"/>
    <w:rsid w:val="00AA2D40"/>
    <w:rsid w:val="00AB25E2"/>
    <w:rsid w:val="00AB556A"/>
    <w:rsid w:val="00AD6D30"/>
    <w:rsid w:val="00B01F02"/>
    <w:rsid w:val="00B224AF"/>
    <w:rsid w:val="00B44627"/>
    <w:rsid w:val="00B8783F"/>
    <w:rsid w:val="00C642F5"/>
    <w:rsid w:val="00C80C3B"/>
    <w:rsid w:val="00C9082C"/>
    <w:rsid w:val="00CA022B"/>
    <w:rsid w:val="00CE0D39"/>
    <w:rsid w:val="00CF7ED9"/>
    <w:rsid w:val="00D06C54"/>
    <w:rsid w:val="00D30C02"/>
    <w:rsid w:val="00D335CB"/>
    <w:rsid w:val="00D70723"/>
    <w:rsid w:val="00DA1A50"/>
    <w:rsid w:val="00DB2B9B"/>
    <w:rsid w:val="00E23B1D"/>
    <w:rsid w:val="00E4247A"/>
    <w:rsid w:val="00EB0999"/>
    <w:rsid w:val="00EF3D47"/>
    <w:rsid w:val="00F04B8B"/>
    <w:rsid w:val="00F56C72"/>
    <w:rsid w:val="00F571A1"/>
    <w:rsid w:val="00FA4421"/>
    <w:rsid w:val="00FB2C9E"/>
    <w:rsid w:val="00FD4382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24C3"/>
  <w15:chartTrackingRefBased/>
  <w15:docId w15:val="{F9B2340D-C096-42ED-9F86-FD9522A0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26E5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5A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26E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99"/>
    <w:qFormat/>
    <w:rsid w:val="00FF2793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99"/>
    <w:locked/>
    <w:rsid w:val="00FF2793"/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160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160F"/>
  </w:style>
  <w:style w:type="character" w:styleId="Hyperlink">
    <w:name w:val="Hyperlink"/>
    <w:basedOn w:val="DefaultParagraphFont"/>
    <w:uiPriority w:val="99"/>
    <w:unhideWhenUsed/>
    <w:rsid w:val="00F57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7CC5-80BE-4DFA-ADD7-04913A32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M.Muradyan</dc:creator>
  <cp:keywords>https://mul2-mia.gov.am/tasks/4108260/oneclick?token=c73478a739b9fae192352cd813b989bd</cp:keywords>
  <dc:description/>
  <cp:lastModifiedBy>Heghine Yengoyan</cp:lastModifiedBy>
  <cp:revision>9</cp:revision>
  <dcterms:created xsi:type="dcterms:W3CDTF">2025-04-05T08:06:00Z</dcterms:created>
  <dcterms:modified xsi:type="dcterms:W3CDTF">2025-10-09T10:49:00Z</dcterms:modified>
</cp:coreProperties>
</file>