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D" w:rsidRDefault="00BC4A5D" w:rsidP="00BC4A5D">
      <w:pPr>
        <w:pStyle w:val="vhc"/>
        <w:ind w:left="0"/>
        <w:rPr>
          <w:rFonts w:ascii="GHEA Grapalat" w:hAnsi="GHEA Grapalat"/>
          <w:lang w:val="en-US"/>
        </w:rPr>
      </w:pPr>
    </w:p>
    <w:p w:rsidR="00F0742A" w:rsidRDefault="00F0742A" w:rsidP="00F0742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F0742A" w:rsidRDefault="00F0742A" w:rsidP="00F0742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F0742A" w:rsidRPr="00F0742A" w:rsidRDefault="00F0742A" w:rsidP="00F0742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shd w:val="clear" w:color="auto" w:fill="FFFFFF"/>
          <w:lang w:val="en-US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ՀԱՅԱՍՏԱՆԻ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ՀԱՆՐԱՊԵՏՈՒԹՅԱՆ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ԿԱՌԱՎԱՐՈՒԹՅՈՒՆ</w:t>
      </w:r>
    </w:p>
    <w:p w:rsidR="00F0742A" w:rsidRPr="00F0742A" w:rsidRDefault="00F0742A" w:rsidP="00F0742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Ր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Շ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ՈՒ</w:t>
      </w:r>
      <w:r w:rsidRPr="00F0742A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Մ</w:t>
      </w:r>
    </w:p>
    <w:p w:rsidR="00F0742A" w:rsidRDefault="00F0742A" w:rsidP="00F0742A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0742A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______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____________</w:t>
      </w:r>
      <w:proofErr w:type="gramStart"/>
      <w:r>
        <w:rPr>
          <w:rFonts w:ascii="GHEA Grapalat" w:hAnsi="GHEA Grapalat" w:cs="Sylfaen"/>
          <w:b/>
          <w:bCs/>
          <w:sz w:val="24"/>
          <w:szCs w:val="24"/>
          <w:lang w:val="hy-AM"/>
        </w:rPr>
        <w:t>_  20</w:t>
      </w:r>
      <w:r w:rsidRPr="00F0742A">
        <w:rPr>
          <w:rFonts w:ascii="GHEA Grapalat" w:hAnsi="GHEA Grapalat" w:cs="Sylfaen"/>
          <w:b/>
          <w:bCs/>
          <w:sz w:val="24"/>
          <w:szCs w:val="24"/>
          <w:lang w:val="en-US"/>
        </w:rPr>
        <w:t>25</w:t>
      </w:r>
      <w:proofErr w:type="gramEnd"/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N _____-Ն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Calibri" w:hAnsi="Calibri" w:cs="Calibri"/>
          <w:lang w:val="en-US"/>
        </w:rPr>
        <w:t> </w:t>
      </w:r>
    </w:p>
    <w:p w:rsidR="00BC4A5D" w:rsidRDefault="00BC4A5D" w:rsidP="00BC4A5D">
      <w:pPr>
        <w:pStyle w:val="vhc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ԳՈՐԾԱՐՔԻ ԱՌԱՐԿԱ ԳՈՒՅՔԻ ԿԱՄ ԴՐԱ ՆԿԱՏՄԱՄԲ ԻՐԱՎՈՒՆՔԻ ՁԵՌՔԲԵՐՄԱՆ ՆԱԽԱՊԱՏՎՈՒԹՅԱՆ ԻՐԱՎՈՒՆՔԻ ԻՐԱՑՆԵԼՈՒ ԿԱՐԳԸ ՍԱՀՄԱՆԵԼՈՒ ՄԱՍԻՆ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Calibri" w:hAnsi="Calibri" w:cs="Calibri"/>
          <w:lang w:val="en-US"/>
        </w:rPr>
        <w:t> </w:t>
      </w:r>
    </w:p>
    <w:p w:rsidR="00BC4A5D" w:rsidRDefault="00BC4A5D" w:rsidP="00BC4A5D">
      <w:pPr>
        <w:pStyle w:val="a3"/>
        <w:spacing w:line="276" w:lineRule="auto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Հիմք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ընդունելով</w:t>
      </w:r>
      <w:proofErr w:type="spellEnd"/>
      <w:r>
        <w:rPr>
          <w:rFonts w:ascii="GHEA Grapalat" w:hAnsi="GHEA Grapalat"/>
          <w:lang w:val="en-US"/>
        </w:rPr>
        <w:t xml:space="preserve"> «</w:t>
      </w:r>
      <w:proofErr w:type="spellStart"/>
      <w:r>
        <w:rPr>
          <w:rFonts w:ascii="GHEA Grapalat" w:hAnsi="GHEA Grapalat"/>
          <w:lang w:val="en-US"/>
        </w:rPr>
        <w:t>Էներգետիկայի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27-րդ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2.1-ին </w:t>
      </w:r>
      <w:proofErr w:type="spellStart"/>
      <w:r>
        <w:rPr>
          <w:rFonts w:ascii="GHEA Grapalat" w:hAnsi="GHEA Grapalat"/>
          <w:lang w:val="en-US"/>
        </w:rPr>
        <w:t>մաս</w:t>
      </w:r>
      <w:proofErr w:type="spellEnd"/>
      <w:r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</w:t>
      </w:r>
      <w:proofErr w:type="spellEnd"/>
      <w:r>
        <w:rPr>
          <w:rFonts w:ascii="GHEA Grapalat" w:hAnsi="GHEA Grapalat"/>
          <w:lang w:val="en-US"/>
        </w:rPr>
        <w:t xml:space="preserve"> է.</w:t>
      </w:r>
      <w:proofErr w:type="gramEnd"/>
    </w:p>
    <w:p w:rsidR="00BC4A5D" w:rsidRDefault="00BC4A5D" w:rsidP="00BC4A5D">
      <w:pPr>
        <w:pStyle w:val="a3"/>
        <w:spacing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proofErr w:type="spellStart"/>
      <w:r>
        <w:rPr>
          <w:rFonts w:ascii="GHEA Grapalat" w:hAnsi="GHEA Grapalat"/>
          <w:lang w:val="en-US"/>
        </w:rPr>
        <w:t>Սահմանել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առարկա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նախապատվության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</w:t>
      </w:r>
      <w:proofErr w:type="spellEnd"/>
      <w:r>
        <w:rPr>
          <w:rFonts w:ascii="GHEA Grapalat" w:hAnsi="GHEA Grapalat"/>
          <w:lang w:val="hy-AM"/>
        </w:rPr>
        <w:t xml:space="preserve">ի </w:t>
      </w:r>
      <w:proofErr w:type="spellStart"/>
      <w:r>
        <w:rPr>
          <w:rFonts w:ascii="GHEA Grapalat" w:hAnsi="GHEA Grapalat"/>
          <w:lang w:val="en-US"/>
        </w:rPr>
        <w:t>իրացնելու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կարգը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>
        <w:rPr>
          <w:rFonts w:ascii="GHEA Grapalat" w:hAnsi="GHEA Grapalat"/>
          <w:lang w:val="en-US"/>
        </w:rPr>
        <w:t xml:space="preserve"> N 1 </w:t>
      </w:r>
      <w:proofErr w:type="spellStart"/>
      <w:r>
        <w:rPr>
          <w:rFonts w:ascii="GHEA Grapalat" w:hAnsi="GHEA Grapalat"/>
          <w:lang w:val="en-US"/>
        </w:rPr>
        <w:t>հավելվածի</w:t>
      </w:r>
      <w:proofErr w:type="spellEnd"/>
      <w:r>
        <w:rPr>
          <w:rFonts w:ascii="GHEA Grapalat" w:hAnsi="GHEA Grapalat"/>
          <w:lang w:val="en-US"/>
        </w:rPr>
        <w:t>։</w:t>
      </w:r>
    </w:p>
    <w:p w:rsidR="00BC4A5D" w:rsidRDefault="00BC4A5D" w:rsidP="00BC4A5D">
      <w:pPr>
        <w:pStyle w:val="a3"/>
        <w:spacing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մտնում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պաշտոնական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հրապարակմանը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հաջորդող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օրվանից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Calibri" w:hAnsi="Calibri" w:cs="Calibri"/>
          <w:lang w:val="en-US"/>
        </w:rPr>
        <w:t> </w:t>
      </w:r>
    </w:p>
    <w:p w:rsidR="00F30849" w:rsidRDefault="00F30849" w:rsidP="00BC4A5D">
      <w:pPr>
        <w:pStyle w:val="a3"/>
        <w:rPr>
          <w:rFonts w:ascii="GHEA Grapalat" w:hAnsi="GHEA Grapalat"/>
          <w:lang w:val="en-US"/>
        </w:rPr>
      </w:pPr>
    </w:p>
    <w:p w:rsidR="00F30849" w:rsidRDefault="00F30849" w:rsidP="00BC4A5D">
      <w:pPr>
        <w:pStyle w:val="a3"/>
        <w:rPr>
          <w:rFonts w:ascii="GHEA Grapalat" w:hAnsi="GHEA Grapalat"/>
          <w:lang w:val="en-US"/>
        </w:rPr>
      </w:pPr>
    </w:p>
    <w:p w:rsidR="00F30849" w:rsidRDefault="00F30849" w:rsidP="00BC4A5D">
      <w:pPr>
        <w:pStyle w:val="a3"/>
        <w:rPr>
          <w:rFonts w:ascii="GHEA Grapalat" w:hAnsi="GHEA Grapalat"/>
          <w:lang w:val="en-US"/>
        </w:rPr>
      </w:pPr>
    </w:p>
    <w:p w:rsidR="00BC4A5D" w:rsidRPr="00F30849" w:rsidRDefault="00BC4A5D" w:rsidP="00BC4A5D">
      <w:pPr>
        <w:pStyle w:val="a3"/>
        <w:rPr>
          <w:rFonts w:ascii="GHEA Grapalat" w:hAnsi="GHEA Grapalat"/>
          <w:b/>
          <w:lang w:val="en-US"/>
        </w:rPr>
      </w:pPr>
      <w:proofErr w:type="spellStart"/>
      <w:r w:rsidRPr="00F30849">
        <w:rPr>
          <w:rFonts w:ascii="GHEA Grapalat" w:hAnsi="GHEA Grapalat"/>
          <w:b/>
          <w:lang w:val="en-US"/>
        </w:rPr>
        <w:t>Հայաստանի</w:t>
      </w:r>
      <w:proofErr w:type="spellEnd"/>
      <w:r w:rsidRPr="00F30849">
        <w:rPr>
          <w:rFonts w:ascii="GHEA Grapalat" w:hAnsi="GHEA Grapalat"/>
          <w:b/>
          <w:lang w:val="en-US"/>
        </w:rPr>
        <w:t xml:space="preserve"> </w:t>
      </w:r>
      <w:proofErr w:type="spellStart"/>
      <w:r w:rsidRPr="00F30849">
        <w:rPr>
          <w:rFonts w:ascii="GHEA Grapalat" w:hAnsi="GHEA Grapalat"/>
          <w:b/>
          <w:lang w:val="en-US"/>
        </w:rPr>
        <w:t>Հանրապետության</w:t>
      </w:r>
      <w:proofErr w:type="spellEnd"/>
    </w:p>
    <w:p w:rsidR="00BC4A5D" w:rsidRPr="00F30849" w:rsidRDefault="00BC4A5D" w:rsidP="00BC4A5D">
      <w:pPr>
        <w:pStyle w:val="unchanged"/>
        <w:rPr>
          <w:rFonts w:ascii="GHEA Grapalat" w:hAnsi="GHEA Grapalat"/>
          <w:b/>
          <w:lang w:val="en-US"/>
        </w:rPr>
      </w:pPr>
      <w:r w:rsidRPr="00F30849">
        <w:rPr>
          <w:rFonts w:ascii="Calibri" w:hAnsi="Calibri" w:cs="Calibri"/>
          <w:b/>
          <w:lang w:val="en-US"/>
        </w:rPr>
        <w:t>    </w:t>
      </w:r>
      <w:proofErr w:type="spellStart"/>
      <w:proofErr w:type="gramStart"/>
      <w:r w:rsidRPr="00F30849">
        <w:rPr>
          <w:rFonts w:ascii="GHEA Grapalat" w:hAnsi="GHEA Grapalat"/>
          <w:b/>
          <w:lang w:val="en-US"/>
        </w:rPr>
        <w:t>վարչապետ</w:t>
      </w:r>
      <w:proofErr w:type="spellEnd"/>
      <w:proofErr w:type="gramEnd"/>
      <w:r w:rsidRPr="00F30849">
        <w:rPr>
          <w:rFonts w:ascii="GHEA Grapalat" w:hAnsi="GHEA Grapalat"/>
          <w:b/>
          <w:lang w:val="en-US"/>
        </w:rPr>
        <w:t xml:space="preserve"> </w:t>
      </w:r>
      <w:r w:rsidRPr="00F30849">
        <w:rPr>
          <w:rFonts w:ascii="Calibri" w:hAnsi="Calibri" w:cs="Calibri"/>
          <w:b/>
          <w:lang w:val="en-US"/>
        </w:rPr>
        <w:t>   </w:t>
      </w:r>
      <w:r w:rsidRPr="00F30849">
        <w:rPr>
          <w:rFonts w:ascii="Calibri" w:hAnsi="Calibri" w:cs="Calibri"/>
          <w:b/>
          <w:lang w:val="en-US"/>
        </w:rPr>
        <w:tab/>
      </w:r>
      <w:r w:rsidRPr="00F30849">
        <w:rPr>
          <w:rFonts w:ascii="Calibri" w:hAnsi="Calibri" w:cs="Calibri"/>
          <w:b/>
          <w:lang w:val="en-US"/>
        </w:rPr>
        <w:tab/>
      </w:r>
      <w:r w:rsidRPr="00F30849">
        <w:rPr>
          <w:rFonts w:ascii="Calibri" w:hAnsi="Calibri" w:cs="Calibri"/>
          <w:b/>
          <w:lang w:val="en-US"/>
        </w:rPr>
        <w:tab/>
      </w:r>
      <w:r w:rsidRPr="00F30849">
        <w:rPr>
          <w:rFonts w:ascii="Calibri" w:hAnsi="Calibri" w:cs="Calibri"/>
          <w:b/>
          <w:lang w:val="en-US"/>
        </w:rPr>
        <w:tab/>
      </w:r>
      <w:r w:rsidRPr="00F30849">
        <w:rPr>
          <w:rFonts w:ascii="Calibri" w:hAnsi="Calibri" w:cs="Calibri"/>
          <w:b/>
          <w:lang w:val="en-US"/>
        </w:rPr>
        <w:tab/>
        <w:t>                 </w:t>
      </w:r>
      <w:r w:rsidRPr="00F30849">
        <w:rPr>
          <w:rFonts w:ascii="GHEA Grapalat" w:hAnsi="GHEA Grapalat"/>
          <w:b/>
          <w:lang w:val="en-US"/>
        </w:rPr>
        <w:t xml:space="preserve">Ն. </w:t>
      </w:r>
      <w:proofErr w:type="spellStart"/>
      <w:r w:rsidRPr="00F30849">
        <w:rPr>
          <w:rFonts w:ascii="GHEA Grapalat" w:hAnsi="GHEA Grapalat"/>
          <w:b/>
          <w:lang w:val="en-US"/>
        </w:rPr>
        <w:t>Փաշինյան</w:t>
      </w:r>
      <w:proofErr w:type="spellEnd"/>
    </w:p>
    <w:p w:rsidR="00BC4A5D" w:rsidRPr="00F30849" w:rsidRDefault="00BC4A5D" w:rsidP="00BC4A5D">
      <w:pPr>
        <w:pStyle w:val="a3"/>
        <w:rPr>
          <w:rFonts w:ascii="GHEA Grapalat" w:hAnsi="GHEA Grapalat"/>
          <w:b/>
          <w:lang w:val="en-US"/>
        </w:rPr>
      </w:pPr>
      <w:r w:rsidRPr="00F30849">
        <w:rPr>
          <w:rFonts w:ascii="Calibri" w:hAnsi="Calibri" w:cs="Calibri"/>
          <w:b/>
          <w:lang w:val="en-US"/>
        </w:rPr>
        <w:t> 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2025 թ. </w:t>
      </w:r>
      <w:proofErr w:type="spellStart"/>
      <w:r>
        <w:rPr>
          <w:rFonts w:ascii="GHEA Grapalat" w:hAnsi="GHEA Grapalat"/>
          <w:lang w:val="en-US"/>
        </w:rPr>
        <w:t>օգոստոսի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Երևան</w:t>
      </w:r>
      <w:proofErr w:type="spellEnd"/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jc w:val="right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Հավելված</w:t>
      </w:r>
      <w:proofErr w:type="spellEnd"/>
      <w:r>
        <w:rPr>
          <w:rFonts w:ascii="GHEA Grapalat" w:hAnsi="GHEA Grapalat"/>
          <w:lang w:val="en-US"/>
        </w:rPr>
        <w:t xml:space="preserve"> N 1</w:t>
      </w:r>
    </w:p>
    <w:p w:rsidR="00BC4A5D" w:rsidRDefault="00BC4A5D" w:rsidP="00BC4A5D">
      <w:pPr>
        <w:pStyle w:val="a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ՀՀ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</w:p>
    <w:p w:rsidR="00BC4A5D" w:rsidRDefault="00BC4A5D" w:rsidP="00BC4A5D">
      <w:pPr>
        <w:pStyle w:val="a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2025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օգոստտոսի</w:t>
      </w:r>
      <w:proofErr w:type="spellEnd"/>
      <w:r>
        <w:rPr>
          <w:rFonts w:ascii="GHEA Grapalat" w:hAnsi="GHEA Grapalat"/>
          <w:lang w:val="en-US"/>
        </w:rPr>
        <w:t xml:space="preserve">    -ի</w:t>
      </w:r>
    </w:p>
    <w:p w:rsidR="00BC4A5D" w:rsidRDefault="00BC4A5D" w:rsidP="00BC4A5D">
      <w:pPr>
        <w:pStyle w:val="a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N      -Ն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</w:p>
    <w:p w:rsidR="00BC4A5D" w:rsidRDefault="00BC4A5D" w:rsidP="00BC4A5D">
      <w:pPr>
        <w:pStyle w:val="a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 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BC4A5D" w:rsidRDefault="00BC4A5D" w:rsidP="00BC4A5D">
      <w:pPr>
        <w:pStyle w:val="a3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ԿԱՐԳ</w:t>
      </w:r>
    </w:p>
    <w:p w:rsidR="00BC4A5D" w:rsidRDefault="00BC4A5D" w:rsidP="00BC4A5D">
      <w:pPr>
        <w:pStyle w:val="vhc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ԳՈՐԾԱՐՔԻ ԱՌԱՐԿԱ ԳՈՒՅՔԻ ԿԱՄ ԴՐԱ ՆԿԱՏՄԱՄԲ ԻՐԱՎՈՒՆՔԻ ՁԵՌՔԲԵՐՄԱՆ ՆԱԽԱՊԱՏՎՈՒԹՅԱՆ ԻՐԱՎՈՒՆՔԸ ԻՐԱՑՆԵԼՈՒ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Calibri" w:hAnsi="Calibri" w:cs="Calibri"/>
          <w:lang w:val="en-US"/>
        </w:rPr>
        <w:t> 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լիցենզիա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անձի</w:t>
      </w:r>
      <w:proofErr w:type="spellEnd"/>
      <w:r>
        <w:rPr>
          <w:rFonts w:ascii="GHEA Grapalat" w:hAnsi="GHEA Grapalat"/>
          <w:lang w:val="en-US"/>
        </w:rPr>
        <w:t xml:space="preserve"> 25 և </w:t>
      </w:r>
      <w:proofErr w:type="spellStart"/>
      <w:r>
        <w:rPr>
          <w:rFonts w:ascii="GHEA Grapalat" w:hAnsi="GHEA Grapalat"/>
          <w:lang w:val="en-US"/>
        </w:rPr>
        <w:t>ավելի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տոկոս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բաժնեմասի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բաժնետոմսի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փայի</w:t>
      </w:r>
      <w:proofErr w:type="spellEnd"/>
      <w:r>
        <w:rPr>
          <w:rFonts w:ascii="GHEA Grapalat" w:hAnsi="GHEA Grapalat"/>
          <w:lang w:val="en-US"/>
        </w:rPr>
        <w:t xml:space="preserve">)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օտարման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կերպ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փոխանցման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գրավադրման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ինչպես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նաև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լիցենզիա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կանխորոշելու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հնարավորություն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բաժնեմասի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բաժնետոմսի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փայի</w:t>
      </w:r>
      <w:proofErr w:type="spellEnd"/>
      <w:proofErr w:type="gramStart"/>
      <w:r>
        <w:rPr>
          <w:rFonts w:ascii="GHEA Grapalat" w:hAnsi="GHEA Grapalat"/>
          <w:lang w:val="en-US"/>
        </w:rPr>
        <w:t>)՝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անկախ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քանակից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օտարման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կերպ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փոխանցման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գրավադրման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առարկա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նախապատվության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կապված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հարաբերությունները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proofErr w:type="spellStart"/>
      <w:r>
        <w:rPr>
          <w:rFonts w:ascii="GHEA Grapalat" w:hAnsi="GHEA Grapalat"/>
          <w:lang w:val="en-US"/>
        </w:rPr>
        <w:t>Լիցենզիա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բաժնեմասի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բաժնետոմսի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փայի</w:t>
      </w:r>
      <w:proofErr w:type="spellEnd"/>
      <w:r>
        <w:rPr>
          <w:rFonts w:ascii="GHEA Grapalat" w:hAnsi="GHEA Grapalat"/>
          <w:lang w:val="en-US"/>
        </w:rPr>
        <w:t xml:space="preserve">)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օտարման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կերպ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փոխանցման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գրավադրման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ինչպես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նաև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լիցենզիա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կանխորոշելու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հնարավորություն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բաժնեմասի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բաժնետոմսի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փայի</w:t>
      </w:r>
      <w:proofErr w:type="spellEnd"/>
      <w:r>
        <w:rPr>
          <w:rFonts w:ascii="GHEA Grapalat" w:hAnsi="GHEA Grapalat"/>
          <w:lang w:val="en-US"/>
        </w:rPr>
        <w:t xml:space="preserve">)՝ </w:t>
      </w:r>
      <w:proofErr w:type="spellStart"/>
      <w:r>
        <w:rPr>
          <w:rFonts w:ascii="GHEA Grapalat" w:hAnsi="GHEA Grapalat"/>
          <w:lang w:val="en-US"/>
        </w:rPr>
        <w:t>անկախ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քանակից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օտարման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կերպ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փոխանցման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գրավադրման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ծառայությունները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կարգավորող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ստանալուց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գրավոր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ծանուցում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կառավարությանը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համապատասխան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իրականացնելու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մտադրության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>։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</w:t>
      </w:r>
      <w:r>
        <w:rPr>
          <w:rFonts w:ascii="MS Mincho" w:eastAsia="MS Mincho" w:hAnsi="MS Mincho" w:cs="MS Mincho" w:hint="eastAsia"/>
          <w:lang w:val="en-US"/>
        </w:rPr>
        <w:t>․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գրավոր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ծանուցումն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ստանալուց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եռամսյա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ժամկետում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կայացնում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բերելու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հրաժարվելու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նախապատվության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հնարավորությունից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գրավոր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ծանուցելով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լիցենզիա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անձին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</w:t>
      </w:r>
      <w:r>
        <w:rPr>
          <w:rFonts w:ascii="MS Mincho" w:eastAsia="MS Mincho" w:hAnsi="MS Mincho" w:cs="MS Mincho" w:hint="eastAsia"/>
          <w:lang w:val="en-US"/>
        </w:rPr>
        <w:t xml:space="preserve">․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բերելու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կայացնելուց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նախագիծը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դրվում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հանրային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քննարկման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արդարադատության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հրապարակման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միասնական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կայքում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ոլորտում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քաղաքականությունը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մշակող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իրականացնող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միջոցով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5</w:t>
      </w:r>
      <w:r>
        <w:rPr>
          <w:rFonts w:ascii="MS Mincho" w:eastAsia="MS Mincho" w:hAnsi="MS Mincho" w:cs="MS Mincho" w:hint="eastAsia"/>
          <w:lang w:val="en-US"/>
        </w:rPr>
        <w:t>․</w:t>
      </w:r>
      <w:proofErr w:type="spellStart"/>
      <w:r>
        <w:rPr>
          <w:rFonts w:ascii="GHEA Grapalat" w:hAnsi="GHEA Grapalat"/>
          <w:lang w:val="en-US"/>
        </w:rPr>
        <w:t>Գործարքի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առարկա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նախապատվության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առարկա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գերազանցել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շուկայական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որոշվում</w:t>
      </w:r>
      <w:proofErr w:type="spellEnd"/>
      <w:r>
        <w:rPr>
          <w:rFonts w:ascii="GHEA Grapalat" w:hAnsi="GHEA Grapalat"/>
          <w:lang w:val="en-US"/>
        </w:rPr>
        <w:t xml:space="preserve"> է «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գործունեության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</w:t>
      </w:r>
      <w:proofErr w:type="spellStart"/>
      <w:r>
        <w:rPr>
          <w:rFonts w:ascii="GHEA Grapalat" w:hAnsi="GHEA Grapalat"/>
          <w:lang w:val="en-US"/>
        </w:rPr>
        <w:t>օրենքով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հաշվետվությամբ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eastAsia="MS Mincho" w:hAnsi="GHEA Grapalat" w:cs="MS Mincho"/>
          <w:lang w:val="en-US"/>
        </w:rPr>
        <w:t>6</w:t>
      </w:r>
      <w:r>
        <w:rPr>
          <w:rFonts w:ascii="MS Mincho" w:eastAsia="MS Mincho" w:hAnsi="MS Mincho" w:cs="MS Mincho" w:hint="eastAsia"/>
          <w:lang w:val="en-US"/>
        </w:rPr>
        <w:t>․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ավելի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հաշվետվությունների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առկայության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հիմք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ընդունվում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դրանցով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միջինը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եթե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տարբեր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lastRenderedPageBreak/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հաշվետվություններով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տարբերությունը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գերազանցում</w:t>
      </w:r>
      <w:proofErr w:type="spellEnd"/>
      <w:r>
        <w:rPr>
          <w:rFonts w:ascii="GHEA Grapalat" w:hAnsi="GHEA Grapalat"/>
          <w:lang w:val="en-US"/>
        </w:rPr>
        <w:t xml:space="preserve"> 10 </w:t>
      </w:r>
      <w:proofErr w:type="spellStart"/>
      <w:r>
        <w:rPr>
          <w:rFonts w:ascii="GHEA Grapalat" w:hAnsi="GHEA Grapalat"/>
          <w:lang w:val="en-US"/>
        </w:rPr>
        <w:t>տոկոսը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7</w:t>
      </w:r>
      <w:r>
        <w:rPr>
          <w:rFonts w:ascii="MS Mincho" w:eastAsia="MS Mincho" w:hAnsi="MS Mincho" w:cs="MS Mincho" w:hint="eastAsia"/>
          <w:lang w:val="en-US"/>
        </w:rPr>
        <w:t xml:space="preserve">․ </w:t>
      </w:r>
      <w:proofErr w:type="spellStart"/>
      <w:r>
        <w:rPr>
          <w:rFonts w:ascii="GHEA Grapalat" w:hAnsi="GHEA Grapalat"/>
          <w:lang w:val="en-US"/>
        </w:rPr>
        <w:t>Մեկից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ավելի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հաշվետվությունների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տարբերությունը</w:t>
      </w:r>
      <w:proofErr w:type="spellEnd"/>
      <w:r>
        <w:rPr>
          <w:rFonts w:ascii="GHEA Grapalat" w:hAnsi="GHEA Grapalat"/>
          <w:lang w:val="en-US"/>
        </w:rPr>
        <w:t xml:space="preserve"> 10 </w:t>
      </w:r>
      <w:proofErr w:type="spellStart"/>
      <w:r>
        <w:rPr>
          <w:rFonts w:ascii="GHEA Grapalat" w:hAnsi="GHEA Grapalat"/>
          <w:lang w:val="en-US"/>
        </w:rPr>
        <w:t>տոկոսից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ավելի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լինելու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հիմք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ընդունվում</w:t>
      </w:r>
      <w:proofErr w:type="spellEnd"/>
      <w:r>
        <w:rPr>
          <w:rFonts w:ascii="GHEA Grapalat" w:hAnsi="GHEA Grapalat"/>
          <w:lang w:val="en-US"/>
        </w:rPr>
        <w:t xml:space="preserve"> 10 </w:t>
      </w:r>
      <w:proofErr w:type="spellStart"/>
      <w:r>
        <w:rPr>
          <w:rFonts w:ascii="GHEA Grapalat" w:hAnsi="GHEA Grapalat"/>
          <w:lang w:val="en-US"/>
        </w:rPr>
        <w:t>տոկոսի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չափով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տարբերությունը</w:t>
      </w:r>
      <w:proofErr w:type="spellEnd"/>
      <w:r>
        <w:rPr>
          <w:rFonts w:ascii="GHEA Grapalat" w:hAnsi="GHEA Grapalat"/>
          <w:lang w:val="en-US"/>
        </w:rPr>
        <w:t xml:space="preserve">, և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արժեքը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որոշվում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/>
          <w:lang w:val="en-US"/>
        </w:rPr>
        <w:t>Էներգետիկայի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27-րդ </w:t>
      </w:r>
      <w:proofErr w:type="spellStart"/>
      <w:r>
        <w:rPr>
          <w:rFonts w:ascii="GHEA Grapalat" w:hAnsi="GHEA Grapalat"/>
          <w:lang w:val="en-US"/>
        </w:rPr>
        <w:t>հոդվածով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>
        <w:rPr>
          <w:rFonts w:ascii="GHEA Grapalat" w:hAnsi="GHEA Grapalat"/>
          <w:lang w:val="en-US"/>
        </w:rPr>
        <w:t>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8</w:t>
      </w:r>
      <w:r>
        <w:rPr>
          <w:rFonts w:ascii="MS Mincho" w:eastAsia="MS Mincho" w:hAnsi="MS Mincho" w:cs="MS Mincho" w:hint="eastAsia"/>
          <w:lang w:val="en-US"/>
        </w:rPr>
        <w:t xml:space="preserve">․ </w:t>
      </w:r>
      <w:proofErr w:type="spellStart"/>
      <w:r>
        <w:rPr>
          <w:rFonts w:ascii="GHEA Grapalat" w:hAnsi="GHEA Grapalat"/>
          <w:lang w:val="en-US"/>
        </w:rPr>
        <w:t>Լիցենզիա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անձի</w:t>
      </w:r>
      <w:proofErr w:type="spellEnd"/>
      <w:r>
        <w:rPr>
          <w:rFonts w:ascii="GHEA Grapalat" w:hAnsi="GHEA Grapalat"/>
          <w:lang w:val="en-US"/>
        </w:rPr>
        <w:t xml:space="preserve"> 25 և </w:t>
      </w:r>
      <w:proofErr w:type="spellStart"/>
      <w:r>
        <w:rPr>
          <w:rFonts w:ascii="GHEA Grapalat" w:hAnsi="GHEA Grapalat"/>
          <w:lang w:val="en-US"/>
        </w:rPr>
        <w:t>ավելի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տոկոս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բաժնետոմսերի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բաժնեմասի</w:t>
      </w:r>
      <w:proofErr w:type="spellEnd"/>
      <w:r>
        <w:rPr>
          <w:rFonts w:ascii="GHEA Grapalat" w:hAnsi="GHEA Grapalat"/>
          <w:lang w:val="en-US"/>
        </w:rPr>
        <w:t xml:space="preserve">)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ժամանակ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ենթակա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իրավաբանական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անձանց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հաշվապահական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հաշվեկշռում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արտացոլված</w:t>
      </w:r>
      <w:proofErr w:type="spellEnd"/>
      <w:r>
        <w:rPr>
          <w:rFonts w:ascii="GHEA Grapalat" w:hAnsi="GHEA Grapalat"/>
          <w:lang w:val="en-US"/>
        </w:rPr>
        <w:t>`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ա) </w:t>
      </w:r>
      <w:proofErr w:type="spellStart"/>
      <w:proofErr w:type="gramStart"/>
      <w:r>
        <w:rPr>
          <w:rFonts w:ascii="GHEA Grapalat" w:hAnsi="GHEA Grapalat"/>
          <w:lang w:val="en-US"/>
        </w:rPr>
        <w:t>ակտիվները</w:t>
      </w:r>
      <w:proofErr w:type="spellEnd"/>
      <w:proofErr w:type="gram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թվում</w:t>
      </w:r>
      <w:proofErr w:type="spellEnd"/>
      <w:r>
        <w:rPr>
          <w:rFonts w:ascii="GHEA Grapalat" w:hAnsi="GHEA Grapalat"/>
          <w:lang w:val="en-US"/>
        </w:rPr>
        <w:t>`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ոչ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հիմնական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միջոցներ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անավարտ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նյութական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նյութական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բաժնեմասնակցության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մեթոդով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հաշվառվող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ներդրումներ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հետաձգված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հարկային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>),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ընթացիկ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նյութեր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արտադրանք</w:t>
      </w:r>
      <w:proofErr w:type="spellEnd"/>
      <w:r>
        <w:rPr>
          <w:rFonts w:ascii="GHEA Grapalat" w:hAnsi="GHEA Grapalat"/>
          <w:lang w:val="en-US"/>
        </w:rPr>
        <w:t xml:space="preserve">. </w:t>
      </w:r>
      <w:proofErr w:type="spellStart"/>
      <w:r>
        <w:rPr>
          <w:rFonts w:ascii="GHEA Grapalat" w:hAnsi="GHEA Grapalat"/>
          <w:lang w:val="en-US"/>
        </w:rPr>
        <w:t>ապրանքներ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տրված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կանխավճարներ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դեբիտորական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վաճառքների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գծով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դեբիտորական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դեբիտորական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ներդրումներ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դրամական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միջոցներ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դրանց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համարժեքներ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ակտիվներ</w:t>
      </w:r>
      <w:proofErr w:type="spellEnd"/>
      <w:r>
        <w:rPr>
          <w:rFonts w:ascii="GHEA Grapalat" w:hAnsi="GHEA Grapalat"/>
          <w:lang w:val="en-US"/>
        </w:rPr>
        <w:t>).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բ) </w:t>
      </w:r>
      <w:proofErr w:type="spellStart"/>
      <w:proofErr w:type="gramStart"/>
      <w:r>
        <w:rPr>
          <w:rFonts w:ascii="GHEA Grapalat" w:hAnsi="GHEA Grapalat"/>
          <w:lang w:val="en-US"/>
        </w:rPr>
        <w:t>պարտավորությունները</w:t>
      </w:r>
      <w:proofErr w:type="spellEnd"/>
      <w:proofErr w:type="gram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թվում</w:t>
      </w:r>
      <w:proofErr w:type="spellEnd"/>
      <w:r>
        <w:rPr>
          <w:rFonts w:ascii="GHEA Grapalat" w:hAnsi="GHEA Grapalat"/>
          <w:lang w:val="en-US"/>
        </w:rPr>
        <w:t>`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ոչ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պարտավորություններ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երկարաժամկետ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բանկերի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վարկային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վարկեր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փոխառություններ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հետաձգված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հարկային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պարտավորություններ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ակտիվներին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շնորհներ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պահուստներ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ոչ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պարտավորություններ</w:t>
      </w:r>
      <w:proofErr w:type="spellEnd"/>
      <w:r>
        <w:rPr>
          <w:rFonts w:ascii="GHEA Grapalat" w:hAnsi="GHEA Grapalat"/>
          <w:lang w:val="en-US"/>
        </w:rPr>
        <w:t>),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պարտավորություններ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բանկերի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վարկային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վարկեր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փոխառություններ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կրեդիտորական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գծով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ստացված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կանխավճարներ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կրեդիտորական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բյուջեին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կրեդիտորական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սոցիալական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ապահովագրության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գծով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կրեդիտորական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աշխատավարձի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աշխատողների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հատուցումների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գծով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կարճաժամկետ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կրեդիտորական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մասնակիցներին</w:t>
      </w:r>
      <w:proofErr w:type="spellEnd"/>
      <w:r>
        <w:rPr>
          <w:rFonts w:ascii="GHEA Grapalat" w:hAnsi="GHEA Grapalat"/>
          <w:lang w:val="en-US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հիմնադիրներին</w:t>
      </w:r>
      <w:proofErr w:type="spellEnd"/>
      <w:r>
        <w:rPr>
          <w:rFonts w:ascii="GHEA Grapalat" w:hAnsi="GHEA Grapalat"/>
          <w:lang w:val="en-US"/>
        </w:rPr>
        <w:t xml:space="preserve">),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կրեդիտորական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պարտքեր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եկամուտներին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շնորհներ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պահուստներ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պարտավորություններ</w:t>
      </w:r>
      <w:proofErr w:type="spellEnd"/>
      <w:r>
        <w:rPr>
          <w:rFonts w:ascii="GHEA Grapalat" w:hAnsi="GHEA Grapalat"/>
          <w:lang w:val="en-US"/>
        </w:rPr>
        <w:t>):</w:t>
      </w:r>
    </w:p>
    <w:p w:rsidR="00BC4A5D" w:rsidRDefault="00BC4A5D" w:rsidP="00BC4A5D">
      <w:pPr>
        <w:pStyle w:val="a3"/>
        <w:rPr>
          <w:rFonts w:ascii="GHEA Grapalat" w:hAnsi="GHEA Grapalat"/>
          <w:lang w:val="en-US"/>
        </w:rPr>
      </w:pPr>
    </w:p>
    <w:p w:rsidR="00F30849" w:rsidRPr="00F30849" w:rsidRDefault="00F30849" w:rsidP="00F3084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F30849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</w:p>
    <w:p w:rsidR="00F30849" w:rsidRPr="00F30849" w:rsidRDefault="00F30849" w:rsidP="00F30849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վարչապետի</w:t>
      </w:r>
      <w:r w:rsidRPr="00F308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աշխատակազմի</w:t>
      </w:r>
    </w:p>
    <w:p w:rsidR="00051C59" w:rsidRPr="00F30849" w:rsidRDefault="00F30849" w:rsidP="00F30849">
      <w:pPr>
        <w:ind w:left="284" w:firstLine="283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ղեկավար</w:t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ab/>
      </w:r>
      <w:r w:rsidRPr="00F30849">
        <w:rPr>
          <w:rFonts w:ascii="GHEA Grapalat" w:hAnsi="GHEA Grapalat"/>
          <w:b/>
          <w:noProof/>
          <w:sz w:val="24"/>
          <w:szCs w:val="24"/>
          <w:lang w:val="hy-AM"/>
        </w:rPr>
        <w:t>Ա</w:t>
      </w:r>
      <w:r w:rsidRPr="00F30849">
        <w:rPr>
          <w:rFonts w:ascii="GHEA Grapalat" w:eastAsia="MS Mincho" w:hAnsi="MS Mincho" w:cs="MS Mincho"/>
          <w:b/>
          <w:noProof/>
          <w:sz w:val="24"/>
          <w:szCs w:val="24"/>
          <w:lang w:val="hy-AM"/>
        </w:rPr>
        <w:t>․</w:t>
      </w:r>
      <w:r w:rsidRPr="00F30849">
        <w:rPr>
          <w:rFonts w:ascii="GHEA Grapalat" w:hAnsi="GHEA Grapalat"/>
          <w:b/>
          <w:noProof/>
          <w:sz w:val="24"/>
          <w:szCs w:val="24"/>
          <w:lang w:val="hy-AM"/>
        </w:rPr>
        <w:t xml:space="preserve"> Հարությունյան</w:t>
      </w:r>
    </w:p>
    <w:sectPr w:rsidR="00051C59" w:rsidRPr="00F30849" w:rsidSect="0005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A5D"/>
    <w:rsid w:val="00051C59"/>
    <w:rsid w:val="00BB1076"/>
    <w:rsid w:val="00BC4A5D"/>
    <w:rsid w:val="00DA392D"/>
    <w:rsid w:val="00F0742A"/>
    <w:rsid w:val="00F3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A5D"/>
    <w:pPr>
      <w:spacing w:after="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hc">
    <w:name w:val="vhc"/>
    <w:basedOn w:val="a"/>
    <w:uiPriority w:val="99"/>
    <w:semiHidden/>
    <w:rsid w:val="00BC4A5D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changed">
    <w:name w:val="unchanged"/>
    <w:basedOn w:val="a"/>
    <w:uiPriority w:val="99"/>
    <w:semiHidden/>
    <w:rsid w:val="00BC4A5D"/>
    <w:pPr>
      <w:spacing w:after="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8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4291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a.avagyan</dc:creator>
  <cp:keywords/>
  <dc:description/>
  <cp:lastModifiedBy>a.avagyan</cp:lastModifiedBy>
  <cp:revision>5</cp:revision>
  <dcterms:created xsi:type="dcterms:W3CDTF">2025-07-22T11:28:00Z</dcterms:created>
  <dcterms:modified xsi:type="dcterms:W3CDTF">2025-07-22T11:33:00Z</dcterms:modified>
</cp:coreProperties>
</file>