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9" w:rsidRPr="00443064" w:rsidRDefault="00473EA9" w:rsidP="00473EA9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bookmarkStart w:id="0" w:name="_GoBack"/>
      <w:bookmarkEnd w:id="0"/>
      <w:r w:rsidRPr="00443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ՆԱԽԱԳԻԾ</w:t>
      </w:r>
    </w:p>
    <w:p w:rsidR="00473EA9" w:rsidRPr="00443064" w:rsidRDefault="00473EA9" w:rsidP="00473EA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 ԿԱՌԱՎԱՐՈՒԹՅՈՒՆ</w:t>
      </w:r>
    </w:p>
    <w:p w:rsidR="00473EA9" w:rsidRPr="00443064" w:rsidRDefault="00473EA9" w:rsidP="00473EA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:rsidR="00473EA9" w:rsidRPr="00443064" w:rsidRDefault="003E32F4" w:rsidP="00473EA9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2025 թվականի ____________ </w:t>
      </w:r>
      <w:r w:rsidR="00473EA9" w:rsidRPr="004430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 N _______-Ն</w:t>
      </w:r>
    </w:p>
    <w:p w:rsidR="006E1B93" w:rsidRPr="00443064" w:rsidRDefault="006E1B93" w:rsidP="00473EA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473EA9" w:rsidRPr="00443064" w:rsidRDefault="00473EA9" w:rsidP="00473EA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3064">
        <w:rPr>
          <w:rFonts w:ascii="GHEA Grapalat" w:hAnsi="GHEA Grapalat"/>
          <w:b/>
          <w:sz w:val="24"/>
          <w:szCs w:val="24"/>
          <w:lang w:val="hy-AM"/>
        </w:rPr>
        <w:t>ՄՇԱԿՈՒԹԱՅԻՆ ԱՐԺԵՔՆԵՐԻ ՓՈՐՁԱՔՆՆՈՒԹՅՈՒՆ ԻՐԱԿԱՆԱՑՆՈՂ ՄԱՍՆԱԳԵՏՆԵՐԻ ԳՈՐԾՈՒՆԵՈՒԹՅԱՆ ԱՊԱՀՈՎԱԳՐՈՒԹՅԱՆ ԿԱՐԳԸ ՀԱՍՏԱՏԵԼՈՒ ՄԱՍԻՆ</w:t>
      </w:r>
    </w:p>
    <w:p w:rsidR="00473EA9" w:rsidRPr="00443064" w:rsidRDefault="00473EA9" w:rsidP="00473EA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443064">
        <w:rPr>
          <w:rFonts w:ascii="GHEA Grapalat" w:hAnsi="GHEA Grapalat"/>
          <w:sz w:val="24"/>
          <w:szCs w:val="24"/>
          <w:lang w:val="hy-AM"/>
        </w:rPr>
        <w:tab/>
      </w:r>
    </w:p>
    <w:p w:rsidR="00473EA9" w:rsidRPr="00443064" w:rsidRDefault="00473EA9" w:rsidP="00BC11FB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</w:pPr>
      <w:r w:rsidRPr="00443064">
        <w:rPr>
          <w:rFonts w:ascii="GHEA Grapalat" w:hAnsi="GHEA Grapalat"/>
          <w:sz w:val="24"/>
          <w:szCs w:val="24"/>
          <w:lang w:val="hy-AM"/>
        </w:rPr>
        <w:t>«</w:t>
      </w: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Մշակութային արժեքների արտահանման և ներմուծման մասին» օրենքի 7-րդ հոդվածի 1-ին մասի 6.7</w:t>
      </w:r>
      <w:r w:rsidR="00EC3BE4"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կետին համ</w:t>
      </w:r>
      <w:r w:rsidR="00BC11F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EC3BE4"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պատասխան</w:t>
      </w: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 Հայաստանի Հանրապետության կառավարությունը</w:t>
      </w:r>
      <w:r w:rsidRPr="0044306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44306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473EA9" w:rsidRPr="00443064" w:rsidRDefault="00EC3BE4" w:rsidP="00BC11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3064">
        <w:rPr>
          <w:rFonts w:ascii="GHEA Grapalat" w:hAnsi="GHEA Grapalat"/>
          <w:color w:val="000000"/>
          <w:sz w:val="24"/>
          <w:szCs w:val="24"/>
          <w:lang w:val="hy-AM"/>
        </w:rPr>
        <w:t>Հաստատել մշակութային արժեքների փորձաքննություն իրականացնող մասնագետների գործունեության ապահովագրության կարգը՝  համաձայն հավելվածի:</w:t>
      </w:r>
    </w:p>
    <w:p w:rsidR="00EC3BE4" w:rsidRPr="00443064" w:rsidRDefault="00EC3BE4" w:rsidP="00BC11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Սույն որոշումն ուժի մեջ է մտնում պաշտոնական հրապարակման օրվան հաջորդող տասներորդ օրը:</w:t>
      </w:r>
    </w:p>
    <w:p w:rsidR="00EC3BE4" w:rsidRDefault="00EC3BE4" w:rsidP="00BC11FB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BC11FB" w:rsidRPr="00443064" w:rsidRDefault="00BC11FB" w:rsidP="00EC3BE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3BE4" w:rsidRPr="00443064" w:rsidRDefault="00EC3BE4" w:rsidP="00EC3BE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:rsidR="00EC3BE4" w:rsidRPr="00443064" w:rsidRDefault="00EC3BE4" w:rsidP="00EC3BE4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ՎԱՐՉԱՊԵՏ                                                       Ն.ՓԱՇԻՆՅԱՆ</w:t>
      </w:r>
    </w:p>
    <w:p w:rsidR="00EC3BE4" w:rsidRPr="00443064" w:rsidRDefault="00EC3BE4" w:rsidP="00EC3BE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EC3BE4" w:rsidRPr="00443064" w:rsidRDefault="00EC3BE4" w:rsidP="00EC3BE4">
      <w:pPr>
        <w:spacing w:after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5133B" w:rsidRPr="00443064" w:rsidRDefault="0035133B" w:rsidP="00EC3BE4">
      <w:pPr>
        <w:spacing w:after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5133B" w:rsidRPr="00443064" w:rsidRDefault="0035133B" w:rsidP="00EC3BE4">
      <w:pPr>
        <w:spacing w:after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5133B" w:rsidRPr="00443064" w:rsidRDefault="0035133B" w:rsidP="00EC3BE4">
      <w:pPr>
        <w:spacing w:after="0" w:line="360" w:lineRule="auto"/>
        <w:ind w:left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5133B" w:rsidRPr="00443064" w:rsidRDefault="0035133B" w:rsidP="0035133B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35133B" w:rsidRPr="00443064" w:rsidRDefault="0035133B" w:rsidP="0035133B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35133B" w:rsidRPr="00443064" w:rsidRDefault="0035133B" w:rsidP="0035133B">
      <w:pPr>
        <w:spacing w:line="360" w:lineRule="auto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35133B" w:rsidRPr="00443064" w:rsidRDefault="0035133B" w:rsidP="001725AE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lastRenderedPageBreak/>
        <w:t xml:space="preserve">Հավելված </w:t>
      </w:r>
    </w:p>
    <w:p w:rsidR="0035133B" w:rsidRPr="00443064" w:rsidRDefault="0035133B" w:rsidP="001725AE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Հայաստանի Հանրապետության կառավարության</w:t>
      </w:r>
    </w:p>
    <w:p w:rsidR="00D97AF6" w:rsidRPr="00443064" w:rsidRDefault="0035133B" w:rsidP="001725AE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 ________ թվականի</w:t>
      </w:r>
    </w:p>
    <w:p w:rsidR="0035133B" w:rsidRPr="00443064" w:rsidRDefault="00FB2D92" w:rsidP="001725AE">
      <w:pPr>
        <w:spacing w:after="0" w:line="240" w:lineRule="auto"/>
        <w:jc w:val="right"/>
        <w:rPr>
          <w:rFonts w:ascii="GHEA Grapalat" w:eastAsia="Times New Roman" w:hAnsi="GHEA Grapalat" w:cs="Times New Roman"/>
          <w:vanish/>
          <w:sz w:val="20"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2025 թ.</w:t>
      </w:r>
      <w:r w:rsidR="0035133B"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____________N</w:t>
      </w:r>
      <w:r w:rsidR="0035133B" w:rsidRPr="00443064">
        <w:rPr>
          <w:rFonts w:ascii="Calibri" w:eastAsia="Times New Roman" w:hAnsi="Calibri" w:cs="Calibri"/>
          <w:bCs/>
          <w:sz w:val="20"/>
          <w:szCs w:val="20"/>
          <w:lang w:val="hy-AM" w:eastAsia="ru-RU"/>
        </w:rPr>
        <w:t> </w:t>
      </w:r>
      <w:r w:rsidR="0035133B"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>______-</w:t>
      </w:r>
      <w:r w:rsidR="0035133B" w:rsidRPr="00443064">
        <w:rPr>
          <w:rFonts w:ascii="GHEA Grapalat" w:eastAsia="Times New Roman" w:hAnsi="GHEA Grapalat" w:cs="GHEA Grapalat"/>
          <w:bCs/>
          <w:sz w:val="20"/>
          <w:szCs w:val="20"/>
          <w:lang w:val="hy-AM" w:eastAsia="ru-RU"/>
        </w:rPr>
        <w:t>Ն</w:t>
      </w:r>
      <w:r w:rsidR="0035133B" w:rsidRPr="00443064"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  <w:t xml:space="preserve"> </w:t>
      </w:r>
      <w:r w:rsidR="0035133B" w:rsidRPr="00443064">
        <w:rPr>
          <w:rFonts w:ascii="GHEA Grapalat" w:eastAsia="Times New Roman" w:hAnsi="GHEA Grapalat" w:cs="GHEA Grapalat"/>
          <w:bCs/>
          <w:sz w:val="20"/>
          <w:szCs w:val="20"/>
          <w:lang w:val="hy-AM" w:eastAsia="ru-RU"/>
        </w:rPr>
        <w:t>որոշման</w:t>
      </w:r>
    </w:p>
    <w:p w:rsidR="0035133B" w:rsidRPr="00443064" w:rsidRDefault="0035133B" w:rsidP="00EC3BE4">
      <w:pPr>
        <w:spacing w:after="0" w:line="360" w:lineRule="auto"/>
        <w:ind w:left="708"/>
        <w:jc w:val="both"/>
        <w:rPr>
          <w:rFonts w:ascii="GHEA Grapalat" w:hAnsi="GHEA Grapalat"/>
          <w:sz w:val="20"/>
          <w:szCs w:val="20"/>
          <w:lang w:val="hy-AM"/>
        </w:rPr>
      </w:pPr>
    </w:p>
    <w:p w:rsidR="00FB2D92" w:rsidRDefault="00FB2D92" w:rsidP="00771EC7">
      <w:pPr>
        <w:spacing w:after="0"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2D92" w:rsidRDefault="00FB2D92" w:rsidP="00771EC7">
      <w:pPr>
        <w:spacing w:after="0"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2D92" w:rsidRDefault="00FB2D92" w:rsidP="00771EC7">
      <w:pPr>
        <w:spacing w:after="0"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5133B" w:rsidRPr="00443064" w:rsidRDefault="0035133B" w:rsidP="00771EC7">
      <w:pPr>
        <w:spacing w:after="0" w:line="360" w:lineRule="auto"/>
        <w:ind w:left="708"/>
        <w:jc w:val="center"/>
        <w:rPr>
          <w:rFonts w:ascii="GHEA Grapalat" w:hAnsi="GHEA Grapalat"/>
          <w:sz w:val="24"/>
          <w:szCs w:val="24"/>
          <w:lang w:val="hy-AM"/>
        </w:rPr>
      </w:pPr>
      <w:r w:rsidRPr="00443064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C9623A" w:rsidRPr="00443064" w:rsidRDefault="0035133B" w:rsidP="00771EC7">
      <w:pPr>
        <w:spacing w:after="0"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3064">
        <w:rPr>
          <w:rFonts w:ascii="GHEA Grapalat" w:hAnsi="GHEA Grapalat"/>
          <w:b/>
          <w:sz w:val="24"/>
          <w:szCs w:val="24"/>
          <w:lang w:val="hy-AM"/>
        </w:rPr>
        <w:t>ՄՇԱԿՈՒԹԱՅԻՆ ԱՐԺԵՔՆԵՐԻ ՓՈՐՁԱՔՆՆՈՒԹՅՈՒՆ ԻՐԱԿԱՆԱՑՆՈՂ ՄԱՍՆԱԳԵՏՆԵՐԻ ԳՈՐԾՈՒՆԵՈՒԹՅԱՆ ԱՊԱՀՈՎԱԳՐՈՒԹՅԱՆ</w:t>
      </w:r>
    </w:p>
    <w:p w:rsidR="00771EC7" w:rsidRPr="00443064" w:rsidRDefault="00771EC7" w:rsidP="00771EC7">
      <w:pPr>
        <w:spacing w:after="0"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3064">
        <w:rPr>
          <w:rFonts w:ascii="GHEA Grapalat" w:hAnsi="GHEA Grapalat"/>
          <w:b/>
          <w:sz w:val="24"/>
          <w:szCs w:val="24"/>
          <w:lang w:val="hy-AM"/>
        </w:rPr>
        <w:t xml:space="preserve">                 </w:t>
      </w:r>
    </w:p>
    <w:p w:rsidR="00443064" w:rsidRPr="00443064" w:rsidRDefault="00771EC7" w:rsidP="005F485A">
      <w:pPr>
        <w:pStyle w:val="ListParagraph"/>
        <w:numPr>
          <w:ilvl w:val="0"/>
          <w:numId w:val="15"/>
        </w:numPr>
        <w:spacing w:after="0" w:line="360" w:lineRule="auto"/>
        <w:ind w:left="180"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Սույն կարգով կարգավորվում են </w:t>
      </w:r>
      <w:r w:rsidR="008470A6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3A4D25">
        <w:rPr>
          <w:rStyle w:val="rynqvb"/>
          <w:rFonts w:ascii="GHEA Grapalat" w:hAnsi="GHEA Grapalat"/>
          <w:sz w:val="24"/>
          <w:szCs w:val="24"/>
          <w:lang w:val="hy-AM"/>
        </w:rPr>
        <w:t xml:space="preserve">այաստանի </w:t>
      </w:r>
      <w:r w:rsidR="008470A6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3A4D25">
        <w:rPr>
          <w:rStyle w:val="rynqvb"/>
          <w:rFonts w:ascii="GHEA Grapalat" w:hAnsi="GHEA Grapalat"/>
          <w:sz w:val="24"/>
          <w:szCs w:val="24"/>
          <w:lang w:val="hy-AM"/>
        </w:rPr>
        <w:t>անրապետության</w:t>
      </w:r>
      <w:r w:rsidR="008470A6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 կրթության</w:t>
      </w:r>
      <w:r w:rsidR="00D97AF6" w:rsidRPr="00443064">
        <w:rPr>
          <w:rStyle w:val="rynqvb"/>
          <w:rFonts w:ascii="GHEA Grapalat" w:hAnsi="GHEA Grapalat"/>
          <w:sz w:val="24"/>
          <w:szCs w:val="24"/>
          <w:lang w:val="hy-AM"/>
        </w:rPr>
        <w:t>,</w:t>
      </w:r>
      <w:r w:rsidR="008470A6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գիտության, մշակույթի և սպորտի  նախարարության (այսուհետ՝ Լիազորված պետական մարմին) կողմից հավատ</w:t>
      </w:r>
      <w:r w:rsidR="00A16044" w:rsidRPr="00443064">
        <w:rPr>
          <w:rStyle w:val="rynqvb"/>
          <w:rFonts w:ascii="GHEA Grapalat" w:hAnsi="GHEA Grapalat"/>
          <w:sz w:val="24"/>
          <w:szCs w:val="24"/>
          <w:lang w:val="hy-AM"/>
        </w:rPr>
        <w:t>ա</w:t>
      </w:r>
      <w:r w:rsidR="008470A6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րմագրված </w:t>
      </w:r>
      <w:r w:rsidRPr="00443064">
        <w:rPr>
          <w:rFonts w:ascii="GHEA Grapalat" w:hAnsi="GHEA Grapalat"/>
          <w:sz w:val="24"/>
          <w:szCs w:val="24"/>
          <w:lang w:val="hy-AM"/>
        </w:rPr>
        <w:t>մշակութային արժեքների</w:t>
      </w:r>
      <w:r w:rsidR="00A16044" w:rsidRPr="0044306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3064">
        <w:rPr>
          <w:rFonts w:ascii="GHEA Grapalat" w:hAnsi="GHEA Grapalat"/>
          <w:sz w:val="24"/>
          <w:szCs w:val="24"/>
          <w:lang w:val="hy-AM"/>
        </w:rPr>
        <w:t>փորձաքննություն իրականացնող մասնագետների (այսուհետ՝</w:t>
      </w:r>
      <w:r w:rsidR="00C805FA" w:rsidRPr="00443064">
        <w:rPr>
          <w:rFonts w:ascii="GHEA Grapalat" w:hAnsi="GHEA Grapalat"/>
          <w:sz w:val="24"/>
          <w:szCs w:val="24"/>
          <w:lang w:val="hy-AM"/>
        </w:rPr>
        <w:t xml:space="preserve"> Փորձագետ</w:t>
      </w:r>
      <w:r w:rsidRPr="00443064">
        <w:rPr>
          <w:rFonts w:ascii="GHEA Grapalat" w:hAnsi="GHEA Grapalat"/>
          <w:sz w:val="24"/>
          <w:szCs w:val="24"/>
          <w:lang w:val="hy-AM"/>
        </w:rPr>
        <w:t xml:space="preserve">) գործունեության ապահովագրության հետ կապված </w:t>
      </w: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հարաբերությունները: </w:t>
      </w:r>
    </w:p>
    <w:p w:rsidR="00443064" w:rsidRPr="00443064" w:rsidRDefault="00F10F2B" w:rsidP="003D7BFC">
      <w:pPr>
        <w:pStyle w:val="ListParagraph"/>
        <w:numPr>
          <w:ilvl w:val="0"/>
          <w:numId w:val="15"/>
        </w:numPr>
        <w:spacing w:after="0" w:line="360" w:lineRule="auto"/>
        <w:ind w:left="180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Փորձագետի </w:t>
      </w:r>
      <w:r w:rsidRPr="00443064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A03A8D" w:rsidRPr="00443064">
        <w:rPr>
          <w:rFonts w:ascii="GHEA Grapalat" w:hAnsi="GHEA Grapalat"/>
          <w:sz w:val="24"/>
          <w:szCs w:val="24"/>
          <w:lang w:val="hy-AM"/>
        </w:rPr>
        <w:t>ապահովագրությունն</w:t>
      </w:r>
      <w:r w:rsidR="00EF2CC9" w:rsidRPr="00443064">
        <w:rPr>
          <w:rFonts w:ascii="GHEA Grapalat" w:hAnsi="GHEA Grapalat"/>
          <w:sz w:val="24"/>
          <w:szCs w:val="24"/>
          <w:lang w:val="hy-AM"/>
        </w:rPr>
        <w:t xml:space="preserve"> իրականացվում </w:t>
      </w:r>
      <w:r w:rsidRPr="00443064">
        <w:rPr>
          <w:rFonts w:ascii="GHEA Grapalat" w:hAnsi="GHEA Grapalat"/>
          <w:sz w:val="24"/>
          <w:szCs w:val="24"/>
          <w:lang w:val="hy-AM"/>
        </w:rPr>
        <w:t>է</w:t>
      </w:r>
      <w:r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պաշտպանելու Փորձագետի </w:t>
      </w:r>
      <w:r w:rsidR="00D97AF6"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>և </w:t>
      </w:r>
      <w:r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="00D97AF6"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></w:t>
      </w:r>
      <w:r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պետության շահերը</w:t>
      </w:r>
      <w:r w:rsidR="00F927C1"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մշակութային արժեքների փորձաքննության</w:t>
      </w:r>
      <w:r w:rsidRPr="004430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արդյունքում առաջացած վնասներից, ինչպես նաև Փորձագետի </w:t>
      </w:r>
      <w:r w:rsidR="007B5F7E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7B5F7E">
        <w:rPr>
          <w:rStyle w:val="rynqvb"/>
          <w:rFonts w:ascii="GHEA Grapalat" w:hAnsi="GHEA Grapalat"/>
          <w:sz w:val="24"/>
          <w:szCs w:val="24"/>
          <w:lang w:val="hy-AM"/>
        </w:rPr>
        <w:t xml:space="preserve">այաստանի </w:t>
      </w:r>
      <w:r w:rsidR="007B5F7E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7B5F7E">
        <w:rPr>
          <w:rStyle w:val="rynqvb"/>
          <w:rFonts w:ascii="GHEA Grapalat" w:hAnsi="GHEA Grapalat"/>
          <w:sz w:val="24"/>
          <w:szCs w:val="24"/>
          <w:lang w:val="hy-AM"/>
        </w:rPr>
        <w:t>անրապետության</w:t>
      </w:r>
      <w:r w:rsidR="007B5F7E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 </w:t>
      </w:r>
      <w:r w:rsidRPr="00443064">
        <w:rPr>
          <w:rFonts w:ascii="GHEA Grapalat" w:hAnsi="GHEA Grapalat" w:cs="Sylfaen"/>
          <w:sz w:val="24"/>
          <w:szCs w:val="24"/>
          <w:lang w:val="hy-AM"/>
        </w:rPr>
        <w:t xml:space="preserve">օրենսդրությանը չհակասող գույքային շահերը, որոնք կապված </w:t>
      </w:r>
      <w:r w:rsidR="00F927C1" w:rsidRPr="00443064">
        <w:rPr>
          <w:rFonts w:ascii="GHEA Grapalat" w:hAnsi="GHEA Grapalat" w:cs="Sylfaen"/>
          <w:sz w:val="24"/>
          <w:szCs w:val="24"/>
          <w:lang w:val="hy-AM"/>
        </w:rPr>
        <w:t xml:space="preserve">են փորձաքննության </w:t>
      </w:r>
      <w:r w:rsidRPr="00443064">
        <w:rPr>
          <w:rFonts w:ascii="GHEA Grapalat" w:hAnsi="GHEA Grapalat" w:cs="Sylfaen"/>
          <w:sz w:val="24"/>
          <w:szCs w:val="24"/>
          <w:lang w:val="hy-AM"/>
        </w:rPr>
        <w:t xml:space="preserve"> արդյունքում ոչ կանխամտածված գործողությունների  (</w:t>
      </w:r>
      <w:r w:rsidR="00393C2D" w:rsidRPr="00443064">
        <w:rPr>
          <w:rFonts w:ascii="GHEA Grapalat" w:hAnsi="GHEA Grapalat" w:cs="Sylfaen"/>
          <w:sz w:val="24"/>
          <w:szCs w:val="24"/>
          <w:lang w:val="hy-AM"/>
        </w:rPr>
        <w:t>մասնագիտական անփութության</w:t>
      </w:r>
      <w:r w:rsidRPr="00443064">
        <w:rPr>
          <w:rFonts w:ascii="GHEA Grapalat" w:hAnsi="GHEA Grapalat" w:cs="Sylfaen"/>
          <w:sz w:val="24"/>
          <w:szCs w:val="24"/>
          <w:lang w:val="hy-AM"/>
        </w:rPr>
        <w:t xml:space="preserve">, սխալմունքի կամ բացթողման) կամ անգործության հետևանքով փորձաքննության պատվեր ներկայացնող անձին </w:t>
      </w:r>
      <w:r w:rsidR="00334CDE" w:rsidRPr="00443064">
        <w:rPr>
          <w:rFonts w:ascii="GHEA Grapalat" w:hAnsi="GHEA Grapalat" w:cs="Sylfaen"/>
          <w:sz w:val="24"/>
          <w:szCs w:val="24"/>
          <w:lang w:val="hy-AM"/>
        </w:rPr>
        <w:t xml:space="preserve">(այսուհետ՝ Հաճախորդ) </w:t>
      </w:r>
      <w:r w:rsidRPr="00443064">
        <w:rPr>
          <w:rFonts w:ascii="GHEA Grapalat" w:hAnsi="GHEA Grapalat" w:cs="Sylfaen"/>
          <w:sz w:val="24"/>
          <w:szCs w:val="24"/>
          <w:lang w:val="hy-AM"/>
        </w:rPr>
        <w:t>կամ պետությանը հասցված վնասի հատուցման հետ</w:t>
      </w:r>
      <w:r w:rsidR="00EF2CC9" w:rsidRPr="00443064">
        <w:rPr>
          <w:rFonts w:ascii="GHEA Grapalat" w:hAnsi="GHEA Grapalat" w:cs="Sylfaen"/>
          <w:sz w:val="24"/>
          <w:szCs w:val="24"/>
          <w:lang w:val="hy-AM"/>
        </w:rPr>
        <w:t>:</w:t>
      </w:r>
      <w:r w:rsidR="00443064" w:rsidRPr="004430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43064" w:rsidRPr="00443064" w:rsidRDefault="00334CDE" w:rsidP="00D437B7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43064">
        <w:rPr>
          <w:rFonts w:ascii="GHEA Grapalat" w:hAnsi="GHEA Grapalat"/>
          <w:sz w:val="24"/>
          <w:szCs w:val="24"/>
          <w:lang w:val="hy-AM"/>
        </w:rPr>
        <w:t xml:space="preserve">Փորձագետի գործունեության </w:t>
      </w:r>
      <w:r w:rsidRPr="00510D8A">
        <w:rPr>
          <w:rFonts w:ascii="GHEA Grapalat" w:hAnsi="GHEA Grapalat"/>
          <w:sz w:val="24"/>
          <w:szCs w:val="24"/>
          <w:lang w:val="hy-AM"/>
        </w:rPr>
        <w:t xml:space="preserve">ապահովագրումն իրականցվում է </w:t>
      </w:r>
      <w:r w:rsidR="00B95244" w:rsidRPr="00510D8A">
        <w:rPr>
          <w:rFonts w:ascii="GHEA Grapalat" w:hAnsi="GHEA Grapalat"/>
          <w:sz w:val="24"/>
          <w:szCs w:val="24"/>
          <w:lang w:val="hy-AM"/>
        </w:rPr>
        <w:t xml:space="preserve">իր միջոցների հաշվին </w:t>
      </w:r>
      <w:r w:rsidR="00F10F2B" w:rsidRPr="00510D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մասնագիտական պատասխանատվության ապահովագրության</w:t>
      </w:r>
      <w:r w:rsidR="00257FC3" w:rsidRPr="00510D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պայմանագիր կնքելով</w:t>
      </w:r>
      <w:r w:rsidR="00DE2651" w:rsidRPr="00510D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0B4A39" w:rsidRPr="00510D8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«Քաղաքացիական օրենսգրքի» </w:t>
      </w:r>
      <w:r w:rsidR="00EA271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</w:t>
      </w:r>
      <w:r w:rsidR="00257FC3" w:rsidRPr="0044306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F10F2B" w:rsidRPr="0044306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«Ապահովագրության և ապահովագրական գործունեության մասին»  </w:t>
      </w:r>
      <w:r w:rsidR="00EF2CC9" w:rsidRPr="0044306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օրենքի </w:t>
      </w:r>
      <w:r w:rsidR="00257FC3" w:rsidRPr="00443064">
        <w:rPr>
          <w:rFonts w:ascii="GHEA Grapalat" w:hAnsi="GHEA Grapalat"/>
          <w:sz w:val="24"/>
          <w:szCs w:val="24"/>
          <w:lang w:val="hy-AM"/>
        </w:rPr>
        <w:t xml:space="preserve"> համաձայն:</w:t>
      </w:r>
      <w:r w:rsidR="00F10F2B" w:rsidRPr="0044306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43064" w:rsidRPr="00510D8A" w:rsidRDefault="00DE2651" w:rsidP="008D42D5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Մասնագիտական պատասխանատվության ապահովագրության պայմանագիրը կնքվում է  Փորձագետի</w:t>
      </w:r>
      <w:r w:rsidRPr="00510D8A">
        <w:rPr>
          <w:rStyle w:val="jlqj4b"/>
          <w:rFonts w:ascii="GHEA Grapalat" w:hAnsi="GHEA Grapalat"/>
          <w:sz w:val="24"/>
          <w:szCs w:val="24"/>
          <w:lang w:val="hy-AM"/>
        </w:rPr>
        <w:t xml:space="preserve"> անուշադրության,</w:t>
      </w:r>
      <w:r w:rsidR="00393C2D" w:rsidRPr="00510D8A">
        <w:rPr>
          <w:rStyle w:val="jlqj4b"/>
          <w:rFonts w:ascii="GHEA Grapalat" w:hAnsi="GHEA Grapalat"/>
          <w:sz w:val="24"/>
          <w:szCs w:val="24"/>
          <w:lang w:val="hy-AM"/>
        </w:rPr>
        <w:t xml:space="preserve"> մասնագիտական </w:t>
      </w:r>
      <w:r w:rsidRPr="00510D8A">
        <w:rPr>
          <w:rFonts w:ascii="GHEA Grapalat" w:hAnsi="GHEA Grapalat" w:cs="Sylfaen"/>
          <w:sz w:val="24"/>
          <w:szCs w:val="24"/>
          <w:lang w:val="hy-AM"/>
        </w:rPr>
        <w:t>անփութ</w:t>
      </w:r>
      <w:r w:rsidR="00393C2D" w:rsidRPr="00510D8A">
        <w:rPr>
          <w:rFonts w:ascii="GHEA Grapalat" w:hAnsi="GHEA Grapalat" w:cs="Sylfaen"/>
          <w:sz w:val="24"/>
          <w:szCs w:val="24"/>
          <w:lang w:val="hy-AM"/>
        </w:rPr>
        <w:t>ության</w:t>
      </w:r>
      <w:r w:rsidRPr="00510D8A">
        <w:rPr>
          <w:rFonts w:ascii="GHEA Grapalat" w:hAnsi="GHEA Grapalat" w:cs="Sylfaen"/>
          <w:sz w:val="24"/>
          <w:szCs w:val="24"/>
          <w:lang w:val="hy-AM"/>
        </w:rPr>
        <w:t xml:space="preserve">, սխալմունքի կամ բացթողման </w:t>
      </w:r>
      <w:r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հետևանքով Հաճախորդին </w:t>
      </w:r>
      <w:r w:rsidRPr="00510D8A">
        <w:rPr>
          <w:rStyle w:val="jlqj4b"/>
          <w:rFonts w:ascii="GHEA Grapalat" w:hAnsi="GHEA Grapalat" w:cs="Sylfaen"/>
          <w:sz w:val="24"/>
          <w:szCs w:val="24"/>
          <w:lang w:val="hy-AM"/>
        </w:rPr>
        <w:t>ոչ</w:t>
      </w:r>
      <w:r w:rsidRPr="00510D8A">
        <w:rPr>
          <w:rStyle w:val="jlqj4b"/>
          <w:rFonts w:ascii="GHEA Grapalat" w:hAnsi="GHEA Grapalat"/>
          <w:sz w:val="24"/>
          <w:szCs w:val="24"/>
          <w:lang w:val="hy-AM"/>
        </w:rPr>
        <w:t xml:space="preserve"> </w:t>
      </w:r>
      <w:r w:rsidRPr="00510D8A">
        <w:rPr>
          <w:rStyle w:val="jlqj4b"/>
          <w:rFonts w:ascii="GHEA Grapalat" w:hAnsi="GHEA Grapalat" w:cs="Sylfaen"/>
          <w:sz w:val="24"/>
          <w:szCs w:val="24"/>
          <w:lang w:val="hy-AM"/>
        </w:rPr>
        <w:t>միտումնավոր</w:t>
      </w:r>
      <w:r w:rsidR="007B1378"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պատճառված վնասի</w:t>
      </w:r>
      <w:r w:rsidR="00DE3DF8"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գույքի թերագնահատման կամ գերագնահատման հետևանքով առաջացած </w:t>
      </w:r>
      <w:r w:rsidR="003C3ECB"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>վնասներ</w:t>
      </w:r>
      <w:r w:rsidRPr="00510D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հատուցելու նպատակով:  </w:t>
      </w:r>
    </w:p>
    <w:p w:rsidR="00443064" w:rsidRPr="003E32F4" w:rsidRDefault="00EF2CC9" w:rsidP="00FC7E55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Style w:val="rynqvb"/>
          <w:rFonts w:ascii="GHEA Grapalat" w:hAnsi="GHEA Grapalat"/>
          <w:sz w:val="24"/>
          <w:szCs w:val="24"/>
          <w:lang w:val="hy-AM"/>
        </w:rPr>
      </w:pPr>
      <w:r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EA271C">
        <w:rPr>
          <w:rStyle w:val="rynqvb"/>
          <w:rFonts w:ascii="GHEA Grapalat" w:hAnsi="GHEA Grapalat"/>
          <w:sz w:val="24"/>
          <w:szCs w:val="24"/>
          <w:lang w:val="hy-AM"/>
        </w:rPr>
        <w:t>4</w:t>
      </w:r>
      <w:r w:rsidR="00250964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-րդ կետի </w:t>
      </w:r>
      <w:r w:rsidR="0099533C">
        <w:rPr>
          <w:rStyle w:val="rynqvb"/>
          <w:rFonts w:ascii="GHEA Grapalat" w:hAnsi="GHEA Grapalat"/>
          <w:sz w:val="24"/>
          <w:szCs w:val="24"/>
          <w:lang w:val="hy-AM"/>
        </w:rPr>
        <w:t>վնաս</w:t>
      </w:r>
      <w:r w:rsidR="00250964" w:rsidRPr="00443064">
        <w:rPr>
          <w:rStyle w:val="rynqvb"/>
          <w:rFonts w:ascii="GHEA Grapalat" w:hAnsi="GHEA Grapalat"/>
          <w:sz w:val="24"/>
          <w:szCs w:val="24"/>
          <w:lang w:val="hy-AM"/>
        </w:rPr>
        <w:t>ներ</w:t>
      </w:r>
      <w:r w:rsidR="00DE2651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ի </w:t>
      </w:r>
      <w:r w:rsidR="00DE2651" w:rsidRPr="003E32F4">
        <w:rPr>
          <w:rStyle w:val="rynqvb"/>
          <w:rFonts w:ascii="GHEA Grapalat" w:hAnsi="GHEA Grapalat"/>
          <w:sz w:val="24"/>
          <w:szCs w:val="24"/>
          <w:lang w:val="hy-AM"/>
        </w:rPr>
        <w:t>դեպքում</w:t>
      </w:r>
      <w:r w:rsidR="00184571" w:rsidRPr="003E32F4">
        <w:rPr>
          <w:rFonts w:ascii="GHEA Grapalat" w:hAnsi="GHEA Grapalat"/>
          <w:sz w:val="24"/>
          <w:szCs w:val="24"/>
          <w:lang w:val="hy-AM"/>
        </w:rPr>
        <w:t xml:space="preserve"> ընդհանուր պատասխանատվության ապահովագրության լիզենզիա ունեցող ապահովագրական ընկերությունները (այսուհետ՝ Ապահովագրող)</w:t>
      </w:r>
      <w:r w:rsidR="00DE2651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կատարում է ապահովագրական հատուցման վճարում հաճախորդին և (կամ) երրորդ անձին պատճառված փաստացի վնասի չափով, որը </w:t>
      </w:r>
      <w:r w:rsidR="00DE2651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սահմանված է </w:t>
      </w:r>
      <w:r w:rsidR="00413291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Ապահովագրողի որոշմամբ կամ </w:t>
      </w:r>
      <w:r w:rsidR="00DE2651" w:rsidRPr="003E32F4">
        <w:rPr>
          <w:rStyle w:val="rynqvb"/>
          <w:rFonts w:ascii="GHEA Grapalat" w:hAnsi="GHEA Grapalat"/>
          <w:sz w:val="24"/>
          <w:szCs w:val="24"/>
          <w:lang w:val="hy-AM"/>
        </w:rPr>
        <w:t>դատարանի օրինական ուժի մեջ մտած որոշմամբ, բայց</w:t>
      </w:r>
      <w:r w:rsidR="00DE2651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ոչ ավելի քան </w:t>
      </w:r>
      <w:r w:rsidR="00DE2651" w:rsidRPr="003E32F4">
        <w:rPr>
          <w:rStyle w:val="rynqvb"/>
          <w:rFonts w:ascii="GHEA Grapalat" w:hAnsi="GHEA Grapalat"/>
          <w:sz w:val="24"/>
          <w:szCs w:val="24"/>
          <w:lang w:val="hy-AM"/>
        </w:rPr>
        <w:t>ապահովագրության պայմանագրով նախատեսված ապահովագրական գումարի չափը</w:t>
      </w:r>
      <w:r w:rsidR="00250964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: </w:t>
      </w:r>
    </w:p>
    <w:p w:rsidR="00443064" w:rsidRPr="003E32F4" w:rsidRDefault="00413291" w:rsidP="0099533C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Style w:val="rynqvb"/>
          <w:rFonts w:ascii="GHEA Grapalat" w:hAnsi="GHEA Grapalat"/>
          <w:sz w:val="24"/>
          <w:szCs w:val="24"/>
          <w:lang w:val="hy-AM"/>
        </w:rPr>
      </w:pPr>
      <w:r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Փորձագետն իր գործունեության իրականացման ողջ ընթացքում պետք է ունենա մասնագիտական գործունեության ապահովագրության գործող պայմանագիր: </w:t>
      </w:r>
    </w:p>
    <w:p w:rsidR="00FB2D92" w:rsidRDefault="00F927C1" w:rsidP="00FB2D92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Style w:val="rynqvb"/>
          <w:rFonts w:ascii="GHEA Grapalat" w:hAnsi="GHEA Grapalat"/>
          <w:sz w:val="24"/>
          <w:szCs w:val="24"/>
          <w:lang w:val="hy-AM"/>
        </w:rPr>
      </w:pPr>
      <w:r w:rsidRPr="003E32F4">
        <w:rPr>
          <w:rStyle w:val="rynqvb"/>
          <w:rFonts w:ascii="GHEA Grapalat" w:hAnsi="GHEA Grapalat"/>
          <w:sz w:val="24"/>
          <w:szCs w:val="24"/>
          <w:lang w:val="hy-AM"/>
        </w:rPr>
        <w:t>Փորձագետի գործունեության ապահովագրության տարեկան</w:t>
      </w:r>
      <w:r w:rsidR="00AF2C56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սահմանվող </w:t>
      </w:r>
      <w:r w:rsidR="001F5C8A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</w:t>
      </w:r>
      <w:r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ապահովագ</w:t>
      </w:r>
      <w:r w:rsidR="008E7E1E" w:rsidRPr="003E32F4">
        <w:rPr>
          <w:rStyle w:val="rynqvb"/>
          <w:rFonts w:ascii="GHEA Grapalat" w:hAnsi="GHEA Grapalat"/>
          <w:sz w:val="24"/>
          <w:szCs w:val="24"/>
          <w:lang w:val="hy-AM"/>
        </w:rPr>
        <w:t>րության</w:t>
      </w:r>
      <w:r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գումար</w:t>
      </w:r>
      <w:r w:rsidR="008E7E1E" w:rsidRPr="003E32F4">
        <w:rPr>
          <w:rStyle w:val="rynqvb"/>
          <w:rFonts w:ascii="GHEA Grapalat" w:hAnsi="GHEA Grapalat"/>
          <w:sz w:val="24"/>
          <w:szCs w:val="24"/>
          <w:lang w:val="hy-AM"/>
        </w:rPr>
        <w:t>ները</w:t>
      </w:r>
      <w:r w:rsidR="003E32F4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</w:t>
      </w:r>
      <w:r w:rsidR="008E7E1E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ձևավորվում են </w:t>
      </w:r>
      <w:r w:rsidR="008E7E1E" w:rsidRPr="003E32F4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Փորձագետի մատուցած ծառայությունների</w:t>
      </w:r>
      <w:r w:rsidR="003F699C" w:rsidRPr="003E32F4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նախորդ</w:t>
      </w:r>
      <w:r w:rsidR="008E7E1E" w:rsidRPr="003E32F4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</w:t>
      </w:r>
      <w:r w:rsidR="003E32F4" w:rsidRPr="003E32F4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տարվա</w:t>
      </w:r>
      <w:r w:rsidR="008E7E1E" w:rsidRPr="003E32F4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շրջանառության</w:t>
      </w:r>
      <w:r w:rsidR="008E7E1E"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="00BC11FB" w:rsidRPr="003E32F4">
        <w:rPr>
          <w:rStyle w:val="rynqvb"/>
          <w:rFonts w:ascii="GHEA Grapalat" w:hAnsi="GHEA Grapalat"/>
          <w:sz w:val="24"/>
          <w:szCs w:val="24"/>
          <w:lang w:val="hy-AM"/>
        </w:rPr>
        <w:t>՝</w:t>
      </w:r>
      <w:r w:rsidRPr="003E32F4">
        <w:rPr>
          <w:rStyle w:val="rynqvb"/>
          <w:rFonts w:ascii="GHEA Grapalat" w:hAnsi="GHEA Grapalat"/>
          <w:sz w:val="24"/>
          <w:szCs w:val="24"/>
          <w:lang w:val="hy-AM"/>
        </w:rPr>
        <w:t xml:space="preserve">  </w:t>
      </w:r>
    </w:p>
    <w:p w:rsidR="00FB2D92" w:rsidRPr="00FB2D92" w:rsidRDefault="00FB2D92" w:rsidP="00FB2D92">
      <w:pPr>
        <w:tabs>
          <w:tab w:val="left" w:pos="357"/>
        </w:tabs>
        <w:spacing w:after="0" w:line="360" w:lineRule="auto"/>
        <w:ind w:left="180"/>
        <w:jc w:val="both"/>
        <w:rPr>
          <w:rStyle w:val="rynqvb"/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8932" w:type="dxa"/>
        <w:tblInd w:w="423" w:type="dxa"/>
        <w:tblLayout w:type="fixed"/>
        <w:tblLook w:val="04A0" w:firstRow="1" w:lastRow="0" w:firstColumn="1" w:lastColumn="0" w:noHBand="0" w:noVBand="1"/>
      </w:tblPr>
      <w:tblGrid>
        <w:gridCol w:w="379"/>
        <w:gridCol w:w="4230"/>
        <w:gridCol w:w="4323"/>
      </w:tblGrid>
      <w:tr w:rsidR="003E32F4" w:rsidRPr="009B1A1E" w:rsidTr="006B439B">
        <w:tc>
          <w:tcPr>
            <w:tcW w:w="379" w:type="dxa"/>
          </w:tcPr>
          <w:p w:rsidR="003E32F4" w:rsidRPr="009B1A1E" w:rsidRDefault="003E32F4" w:rsidP="00564BE3">
            <w:pPr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</w:p>
          <w:p w:rsidR="003E32F4" w:rsidRPr="003E32F4" w:rsidRDefault="003E32F4" w:rsidP="00564BE3">
            <w:pPr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4230" w:type="dxa"/>
          </w:tcPr>
          <w:p w:rsidR="003E32F4" w:rsidRPr="003E32F4" w:rsidRDefault="003E32F4" w:rsidP="003C600A">
            <w:pPr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lang w:val="hy-AM"/>
              </w:rPr>
              <w:t>Փորձագետի մատուցած ծառայությունների նախորդ տարվա շրջանառություն</w:t>
            </w:r>
          </w:p>
        </w:tc>
        <w:tc>
          <w:tcPr>
            <w:tcW w:w="4323" w:type="dxa"/>
          </w:tcPr>
          <w:p w:rsidR="003E32F4" w:rsidRPr="003E32F4" w:rsidRDefault="003E32F4" w:rsidP="00722E22">
            <w:pPr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lang w:val="hy-AM"/>
              </w:rPr>
              <w:t>Տարեկան ապահովագրության գումար</w:t>
            </w:r>
          </w:p>
          <w:p w:rsidR="003E32F4" w:rsidRPr="003E32F4" w:rsidRDefault="003E32F4" w:rsidP="00722E22">
            <w:pPr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lang w:val="hy-AM"/>
              </w:rPr>
              <w:t>(տարեկան պատասխանատվության ընդհանուր սահմանաչափ)</w:t>
            </w:r>
          </w:p>
        </w:tc>
      </w:tr>
      <w:tr w:rsidR="003E32F4" w:rsidRPr="003E32F4" w:rsidTr="006B439B">
        <w:trPr>
          <w:trHeight w:val="526"/>
        </w:trPr>
        <w:tc>
          <w:tcPr>
            <w:tcW w:w="379" w:type="dxa"/>
          </w:tcPr>
          <w:p w:rsidR="003E32F4" w:rsidRPr="003E32F4" w:rsidRDefault="003E32F4" w:rsidP="00564BE3">
            <w:pPr>
              <w:spacing w:before="100" w:beforeAutospacing="1" w:after="100" w:afterAutospacing="1"/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4230" w:type="dxa"/>
          </w:tcPr>
          <w:p w:rsidR="003E32F4" w:rsidRPr="003E32F4" w:rsidRDefault="003E32F4" w:rsidP="00993E3E">
            <w:pPr>
              <w:ind w:left="125" w:firstLine="0"/>
              <w:jc w:val="left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sz w:val="24"/>
                <w:szCs w:val="24"/>
                <w:lang w:val="hy-AM"/>
              </w:rPr>
              <w:t>Մինչև 1000000 ՀՀ դրամ</w:t>
            </w:r>
          </w:p>
        </w:tc>
        <w:tc>
          <w:tcPr>
            <w:tcW w:w="4323" w:type="dxa"/>
          </w:tcPr>
          <w:p w:rsidR="003E32F4" w:rsidRPr="003E32F4" w:rsidRDefault="003E32F4" w:rsidP="00993E3E">
            <w:pPr>
              <w:spacing w:before="100" w:beforeAutospacing="1" w:after="100" w:afterAutospacing="1"/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>500000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 xml:space="preserve"> ՀՀ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դրամ</w:t>
            </w:r>
          </w:p>
        </w:tc>
      </w:tr>
      <w:tr w:rsidR="003E32F4" w:rsidRPr="003E32F4" w:rsidTr="006B439B">
        <w:trPr>
          <w:trHeight w:val="724"/>
        </w:trPr>
        <w:tc>
          <w:tcPr>
            <w:tcW w:w="379" w:type="dxa"/>
          </w:tcPr>
          <w:p w:rsidR="003E32F4" w:rsidRPr="003E32F4" w:rsidRDefault="003E32F4" w:rsidP="00564BE3">
            <w:pPr>
              <w:spacing w:before="100" w:beforeAutospacing="1" w:after="100" w:afterAutospacing="1"/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4230" w:type="dxa"/>
          </w:tcPr>
          <w:p w:rsidR="003E32F4" w:rsidRPr="003E32F4" w:rsidRDefault="003E32F4" w:rsidP="003E32F4">
            <w:pPr>
              <w:ind w:left="125" w:firstLine="0"/>
              <w:jc w:val="left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sz w:val="24"/>
                <w:szCs w:val="24"/>
                <w:lang w:val="hy-AM"/>
              </w:rPr>
              <w:t>1000001 ՀՀ դրամ մինչև 3000000  ՀՀ դրամ</w:t>
            </w:r>
          </w:p>
        </w:tc>
        <w:tc>
          <w:tcPr>
            <w:tcW w:w="4323" w:type="dxa"/>
          </w:tcPr>
          <w:p w:rsidR="003E32F4" w:rsidRPr="003E32F4" w:rsidRDefault="003E32F4" w:rsidP="00993E3E">
            <w:pPr>
              <w:spacing w:before="100" w:beforeAutospacing="1" w:after="100" w:afterAutospacing="1"/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>1000000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 xml:space="preserve"> ՀՀ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դրամ</w:t>
            </w:r>
          </w:p>
        </w:tc>
      </w:tr>
      <w:tr w:rsidR="003E32F4" w:rsidRPr="003E32F4" w:rsidTr="006B439B">
        <w:tc>
          <w:tcPr>
            <w:tcW w:w="379" w:type="dxa"/>
          </w:tcPr>
          <w:p w:rsidR="003E32F4" w:rsidRPr="003E32F4" w:rsidRDefault="003E32F4" w:rsidP="00564BE3">
            <w:pPr>
              <w:spacing w:before="100" w:beforeAutospacing="1" w:after="100" w:afterAutospacing="1"/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4230" w:type="dxa"/>
          </w:tcPr>
          <w:p w:rsidR="003E32F4" w:rsidRPr="003E32F4" w:rsidRDefault="003E32F4" w:rsidP="00993E3E">
            <w:pPr>
              <w:ind w:left="125" w:firstLine="0"/>
              <w:jc w:val="left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sz w:val="24"/>
                <w:szCs w:val="24"/>
                <w:lang w:val="hy-AM"/>
              </w:rPr>
              <w:t>3000001 ՀՀ դրամ մինչև 5000000 ՀՀ դրամ</w:t>
            </w:r>
          </w:p>
        </w:tc>
        <w:tc>
          <w:tcPr>
            <w:tcW w:w="4323" w:type="dxa"/>
          </w:tcPr>
          <w:p w:rsidR="003E32F4" w:rsidRPr="003E32F4" w:rsidRDefault="003E32F4" w:rsidP="00993E3E">
            <w:pPr>
              <w:spacing w:before="100" w:beforeAutospacing="1" w:after="100" w:afterAutospacing="1"/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</w:rPr>
              <w:t>3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 xml:space="preserve">000000 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ՀՀ դրամ</w:t>
            </w:r>
          </w:p>
        </w:tc>
      </w:tr>
      <w:tr w:rsidR="003E32F4" w:rsidRPr="003E32F4" w:rsidTr="006B439B">
        <w:trPr>
          <w:trHeight w:val="499"/>
        </w:trPr>
        <w:tc>
          <w:tcPr>
            <w:tcW w:w="379" w:type="dxa"/>
          </w:tcPr>
          <w:p w:rsidR="003E32F4" w:rsidRPr="003E32F4" w:rsidRDefault="003E32F4" w:rsidP="00564BE3">
            <w:pPr>
              <w:spacing w:before="100" w:beforeAutospacing="1" w:after="100" w:afterAutospacing="1"/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4230" w:type="dxa"/>
          </w:tcPr>
          <w:p w:rsidR="003E32F4" w:rsidRPr="003E32F4" w:rsidRDefault="003E32F4" w:rsidP="00993E3E">
            <w:pPr>
              <w:ind w:left="125" w:firstLine="0"/>
              <w:jc w:val="left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sz w:val="24"/>
                <w:szCs w:val="24"/>
                <w:lang w:val="hy-AM"/>
              </w:rPr>
              <w:t>5000000 ՀՀ դրամ մինչև 10000000 ՀՀ դրամ</w:t>
            </w:r>
          </w:p>
        </w:tc>
        <w:tc>
          <w:tcPr>
            <w:tcW w:w="4323" w:type="dxa"/>
          </w:tcPr>
          <w:p w:rsidR="003E32F4" w:rsidRPr="003E32F4" w:rsidRDefault="003E32F4" w:rsidP="00993E3E">
            <w:pPr>
              <w:spacing w:before="100" w:beforeAutospacing="1" w:after="100" w:afterAutospacing="1"/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</w:rPr>
              <w:t>5000000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ՀՀ դրամ</w:t>
            </w:r>
          </w:p>
        </w:tc>
      </w:tr>
      <w:tr w:rsidR="003E32F4" w:rsidRPr="00443064" w:rsidTr="006B439B">
        <w:trPr>
          <w:trHeight w:val="553"/>
        </w:trPr>
        <w:tc>
          <w:tcPr>
            <w:tcW w:w="379" w:type="dxa"/>
          </w:tcPr>
          <w:p w:rsidR="003E32F4" w:rsidRPr="003E32F4" w:rsidRDefault="003E32F4" w:rsidP="00564BE3">
            <w:pPr>
              <w:spacing w:before="100" w:beforeAutospacing="1" w:after="100" w:afterAutospacing="1"/>
              <w:ind w:left="0" w:firstLine="0"/>
              <w:jc w:val="both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5</w:t>
            </w:r>
          </w:p>
        </w:tc>
        <w:tc>
          <w:tcPr>
            <w:tcW w:w="4230" w:type="dxa"/>
          </w:tcPr>
          <w:p w:rsidR="003E32F4" w:rsidRPr="003E32F4" w:rsidRDefault="003E32F4" w:rsidP="00993E3E">
            <w:pPr>
              <w:ind w:left="0" w:firstLine="0"/>
              <w:jc w:val="left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sz w:val="24"/>
                <w:szCs w:val="24"/>
                <w:lang w:val="hy-AM"/>
              </w:rPr>
              <w:t>10000001 և ավել ՀՀ դրամ</w:t>
            </w:r>
          </w:p>
        </w:tc>
        <w:tc>
          <w:tcPr>
            <w:tcW w:w="4323" w:type="dxa"/>
          </w:tcPr>
          <w:p w:rsidR="003E32F4" w:rsidRPr="003E32F4" w:rsidRDefault="003E32F4" w:rsidP="00993E3E">
            <w:pPr>
              <w:spacing w:before="100" w:beforeAutospacing="1" w:after="100" w:afterAutospacing="1"/>
              <w:ind w:left="0" w:firstLine="0"/>
              <w:jc w:val="left"/>
              <w:outlineLvl w:val="2"/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</w:pPr>
            <w:r w:rsidRPr="003E32F4">
              <w:rPr>
                <w:rFonts w:ascii="GHEA Grapalat" w:eastAsia="Times New Roman" w:hAnsi="GHEA Grapalat" w:cstheme="minorHAnsi"/>
                <w:bCs/>
                <w:sz w:val="24"/>
                <w:szCs w:val="24"/>
                <w:lang w:val="hy-AM"/>
              </w:rPr>
              <w:t>15000000 ՀՀ դրամ</w:t>
            </w:r>
          </w:p>
        </w:tc>
      </w:tr>
    </w:tbl>
    <w:p w:rsidR="006B439B" w:rsidRPr="006B439B" w:rsidRDefault="006B439B" w:rsidP="006B439B">
      <w:pPr>
        <w:pStyle w:val="ListParagraph"/>
        <w:tabs>
          <w:tab w:val="left" w:pos="357"/>
        </w:tabs>
        <w:spacing w:after="0" w:line="360" w:lineRule="auto"/>
        <w:ind w:left="888"/>
        <w:jc w:val="both"/>
        <w:rPr>
          <w:rStyle w:val="rynqvb"/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71EC7" w:rsidRDefault="00A16044" w:rsidP="006B439B">
      <w:pPr>
        <w:pStyle w:val="ListParagraph"/>
        <w:numPr>
          <w:ilvl w:val="0"/>
          <w:numId w:val="15"/>
        </w:numPr>
        <w:tabs>
          <w:tab w:val="left" w:pos="357"/>
        </w:tabs>
        <w:spacing w:after="0" w:line="360" w:lineRule="auto"/>
        <w:ind w:left="180"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231F1">
        <w:rPr>
          <w:rStyle w:val="rynqvb"/>
          <w:rFonts w:ascii="GHEA Grapalat" w:hAnsi="GHEA Grapalat"/>
          <w:sz w:val="24"/>
          <w:szCs w:val="24"/>
          <w:lang w:val="hy-AM"/>
        </w:rPr>
        <w:lastRenderedPageBreak/>
        <w:t>Նոր</w:t>
      </w:r>
      <w:r w:rsidRPr="006B439B">
        <w:rPr>
          <w:rStyle w:val="rynqvb"/>
          <w:rFonts w:ascii="GHEA Grapalat" w:hAnsi="GHEA Grapalat"/>
          <w:sz w:val="24"/>
          <w:szCs w:val="24"/>
          <w:lang w:val="hy-AM"/>
        </w:rPr>
        <w:t xml:space="preserve"> գրանցված</w:t>
      </w:r>
      <w:r w:rsidRPr="004430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փորձ</w:t>
      </w:r>
      <w:r w:rsidR="008E7E1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ագետների համար  սահմանվում է  հինգ միլիոն </w:t>
      </w:r>
      <w:r w:rsidR="003A37AF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3A37AF">
        <w:rPr>
          <w:rStyle w:val="rynqvb"/>
          <w:rFonts w:ascii="GHEA Grapalat" w:hAnsi="GHEA Grapalat"/>
          <w:sz w:val="24"/>
          <w:szCs w:val="24"/>
          <w:lang w:val="hy-AM"/>
        </w:rPr>
        <w:t xml:space="preserve">այաստանի </w:t>
      </w:r>
      <w:r w:rsidR="003A37AF" w:rsidRPr="00443064">
        <w:rPr>
          <w:rStyle w:val="rynqvb"/>
          <w:rFonts w:ascii="GHEA Grapalat" w:hAnsi="GHEA Grapalat"/>
          <w:sz w:val="24"/>
          <w:szCs w:val="24"/>
          <w:lang w:val="hy-AM"/>
        </w:rPr>
        <w:t>Հ</w:t>
      </w:r>
      <w:r w:rsidR="003A37AF">
        <w:rPr>
          <w:rStyle w:val="rynqvb"/>
          <w:rFonts w:ascii="GHEA Grapalat" w:hAnsi="GHEA Grapalat"/>
          <w:sz w:val="24"/>
          <w:szCs w:val="24"/>
          <w:lang w:val="hy-AM"/>
        </w:rPr>
        <w:t>անրապետության</w:t>
      </w:r>
      <w:r w:rsidR="003A37AF" w:rsidRPr="00443064">
        <w:rPr>
          <w:rStyle w:val="rynqvb"/>
          <w:rFonts w:ascii="GHEA Grapalat" w:hAnsi="GHEA Grapalat"/>
          <w:sz w:val="24"/>
          <w:szCs w:val="24"/>
          <w:lang w:val="hy-AM"/>
        </w:rPr>
        <w:t xml:space="preserve">  </w:t>
      </w:r>
      <w:r w:rsidRPr="0044306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դրամ սահմանաչափ:</w:t>
      </w:r>
    </w:p>
    <w:p w:rsidR="006B439B" w:rsidRDefault="006B439B" w:rsidP="006B439B">
      <w:pPr>
        <w:tabs>
          <w:tab w:val="left" w:pos="357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B439B" w:rsidRDefault="006B439B" w:rsidP="006B439B">
      <w:pPr>
        <w:tabs>
          <w:tab w:val="left" w:pos="357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6B439B" w:rsidRPr="006B439B" w:rsidRDefault="006B439B" w:rsidP="006B439B">
      <w:pPr>
        <w:tabs>
          <w:tab w:val="left" w:pos="357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934B2A" w:rsidRPr="00443064" w:rsidRDefault="00934B2A" w:rsidP="00934B2A">
      <w:pPr>
        <w:spacing w:after="0" w:line="30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</w:p>
    <w:p w:rsidR="00934B2A" w:rsidRPr="00443064" w:rsidRDefault="00934B2A" w:rsidP="00934B2A">
      <w:pPr>
        <w:spacing w:after="0" w:line="30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ՎԱՐՉԱՊԵՏԻ ԱՇԽԱՏԱԿԱԶՄԻ </w:t>
      </w:r>
    </w:p>
    <w:p w:rsidR="00934B2A" w:rsidRPr="00443064" w:rsidRDefault="00934B2A" w:rsidP="00934B2A">
      <w:pPr>
        <w:spacing w:after="0" w:line="30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ՂԵԿԱՎԱՐ՝                                      </w:t>
      </w: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44306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  <w:t xml:space="preserve">    Ա. ՀԱՐՈՒԹՅՈՒՆՅԱՆ</w:t>
      </w:r>
    </w:p>
    <w:p w:rsidR="00771EC7" w:rsidRPr="00443064" w:rsidRDefault="00771EC7" w:rsidP="00771EC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771EC7" w:rsidRPr="00443064" w:rsidSect="00400DFE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FD7"/>
    <w:multiLevelType w:val="hybridMultilevel"/>
    <w:tmpl w:val="5150E5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D45A3"/>
    <w:multiLevelType w:val="hybridMultilevel"/>
    <w:tmpl w:val="3DA65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D7076"/>
    <w:multiLevelType w:val="hybridMultilevel"/>
    <w:tmpl w:val="A1DA995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F59551F"/>
    <w:multiLevelType w:val="hybridMultilevel"/>
    <w:tmpl w:val="002C0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82466"/>
    <w:multiLevelType w:val="hybridMultilevel"/>
    <w:tmpl w:val="4010122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6B52B80"/>
    <w:multiLevelType w:val="hybridMultilevel"/>
    <w:tmpl w:val="327644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74ABB"/>
    <w:multiLevelType w:val="hybridMultilevel"/>
    <w:tmpl w:val="1F3229B0"/>
    <w:lvl w:ilvl="0" w:tplc="FE40831A">
      <w:start w:val="8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D3BB3"/>
    <w:multiLevelType w:val="hybridMultilevel"/>
    <w:tmpl w:val="0F4A0EF0"/>
    <w:lvl w:ilvl="0" w:tplc="D3A4BA6A">
      <w:start w:val="8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90988"/>
    <w:multiLevelType w:val="hybridMultilevel"/>
    <w:tmpl w:val="39BA13B4"/>
    <w:lvl w:ilvl="0" w:tplc="26FCD516">
      <w:start w:val="1"/>
      <w:numFmt w:val="decimal"/>
      <w:lvlText w:val="%1."/>
      <w:lvlJc w:val="left"/>
      <w:pPr>
        <w:ind w:left="1866" w:hanging="450"/>
      </w:pPr>
      <w:rPr>
        <w:rFonts w:eastAsiaTheme="minorHAnsi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19B7B52"/>
    <w:multiLevelType w:val="hybridMultilevel"/>
    <w:tmpl w:val="BA9EF2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1129C"/>
    <w:multiLevelType w:val="multilevel"/>
    <w:tmpl w:val="D3366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1" w15:restartNumberingAfterBreak="0">
    <w:nsid w:val="5710534B"/>
    <w:multiLevelType w:val="hybridMultilevel"/>
    <w:tmpl w:val="6B262F46"/>
    <w:lvl w:ilvl="0" w:tplc="20E2F800">
      <w:start w:val="1"/>
      <w:numFmt w:val="decimal"/>
      <w:lvlText w:val="%1."/>
      <w:lvlJc w:val="left"/>
      <w:pPr>
        <w:ind w:left="1068" w:hanging="360"/>
      </w:pPr>
      <w:rPr>
        <w:rFonts w:ascii="GHEA Grapalat" w:eastAsiaTheme="minorHAnsi" w:hAnsi="GHEA Grapalat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C76ADC"/>
    <w:multiLevelType w:val="hybridMultilevel"/>
    <w:tmpl w:val="C25CEC7E"/>
    <w:lvl w:ilvl="0" w:tplc="3D12653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34852"/>
    <w:multiLevelType w:val="hybridMultilevel"/>
    <w:tmpl w:val="4010122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72128F8"/>
    <w:multiLevelType w:val="hybridMultilevel"/>
    <w:tmpl w:val="483EC4FA"/>
    <w:lvl w:ilvl="0" w:tplc="9BF0E6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01DAE"/>
    <w:multiLevelType w:val="hybridMultilevel"/>
    <w:tmpl w:val="D44AA7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FF"/>
    <w:rsid w:val="00067127"/>
    <w:rsid w:val="000B4A39"/>
    <w:rsid w:val="000E369E"/>
    <w:rsid w:val="00154A91"/>
    <w:rsid w:val="001725AE"/>
    <w:rsid w:val="00180E9A"/>
    <w:rsid w:val="00184571"/>
    <w:rsid w:val="001A475E"/>
    <w:rsid w:val="001B7F0D"/>
    <w:rsid w:val="001F5C8A"/>
    <w:rsid w:val="00250964"/>
    <w:rsid w:val="00257FC3"/>
    <w:rsid w:val="002C2C16"/>
    <w:rsid w:val="00334CDE"/>
    <w:rsid w:val="0035133B"/>
    <w:rsid w:val="00393C2D"/>
    <w:rsid w:val="003A37AF"/>
    <w:rsid w:val="003A4D25"/>
    <w:rsid w:val="003B15EE"/>
    <w:rsid w:val="003C3ECB"/>
    <w:rsid w:val="003C600A"/>
    <w:rsid w:val="003E32F4"/>
    <w:rsid w:val="003F699C"/>
    <w:rsid w:val="00400DFE"/>
    <w:rsid w:val="00413291"/>
    <w:rsid w:val="00443064"/>
    <w:rsid w:val="00473EA9"/>
    <w:rsid w:val="004A002C"/>
    <w:rsid w:val="00510D8A"/>
    <w:rsid w:val="005266DE"/>
    <w:rsid w:val="00683D77"/>
    <w:rsid w:val="006B2D9F"/>
    <w:rsid w:val="006B439B"/>
    <w:rsid w:val="006E1B93"/>
    <w:rsid w:val="007064DD"/>
    <w:rsid w:val="00722E22"/>
    <w:rsid w:val="007346AA"/>
    <w:rsid w:val="00740653"/>
    <w:rsid w:val="00771EC7"/>
    <w:rsid w:val="007B1378"/>
    <w:rsid w:val="007B5F7E"/>
    <w:rsid w:val="007E1F47"/>
    <w:rsid w:val="008231F1"/>
    <w:rsid w:val="00825D90"/>
    <w:rsid w:val="008415F2"/>
    <w:rsid w:val="008470A6"/>
    <w:rsid w:val="00887967"/>
    <w:rsid w:val="00892BFA"/>
    <w:rsid w:val="008C7434"/>
    <w:rsid w:val="008E1199"/>
    <w:rsid w:val="008E7E1E"/>
    <w:rsid w:val="00934B2A"/>
    <w:rsid w:val="00993E3E"/>
    <w:rsid w:val="0099533C"/>
    <w:rsid w:val="009B1A1E"/>
    <w:rsid w:val="00A03A8D"/>
    <w:rsid w:val="00A16044"/>
    <w:rsid w:val="00A4485E"/>
    <w:rsid w:val="00AF2C56"/>
    <w:rsid w:val="00B95244"/>
    <w:rsid w:val="00BA418E"/>
    <w:rsid w:val="00BC11FB"/>
    <w:rsid w:val="00C73A28"/>
    <w:rsid w:val="00C805FA"/>
    <w:rsid w:val="00C83ABD"/>
    <w:rsid w:val="00C9623A"/>
    <w:rsid w:val="00CB01F1"/>
    <w:rsid w:val="00CD64F5"/>
    <w:rsid w:val="00D43A46"/>
    <w:rsid w:val="00D46290"/>
    <w:rsid w:val="00D940FF"/>
    <w:rsid w:val="00D97AF6"/>
    <w:rsid w:val="00DC54E9"/>
    <w:rsid w:val="00DE2651"/>
    <w:rsid w:val="00DE3DF8"/>
    <w:rsid w:val="00E04004"/>
    <w:rsid w:val="00E3775B"/>
    <w:rsid w:val="00EA271C"/>
    <w:rsid w:val="00EC3BE4"/>
    <w:rsid w:val="00EC6BFF"/>
    <w:rsid w:val="00EF2CC9"/>
    <w:rsid w:val="00F03290"/>
    <w:rsid w:val="00F10F2B"/>
    <w:rsid w:val="00F22C95"/>
    <w:rsid w:val="00F927C1"/>
    <w:rsid w:val="00FB1BE9"/>
    <w:rsid w:val="00F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B808E-F03F-49B6-A850-A8707157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3BE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71EC7"/>
  </w:style>
  <w:style w:type="character" w:customStyle="1" w:styleId="jlqj4b">
    <w:name w:val="jlqj4b"/>
    <w:basedOn w:val="DefaultParagraphFont"/>
    <w:rsid w:val="00DE2651"/>
  </w:style>
  <w:style w:type="character" w:customStyle="1" w:styleId="rynqvb">
    <w:name w:val="rynqvb"/>
    <w:basedOn w:val="DefaultParagraphFont"/>
    <w:rsid w:val="00DE2651"/>
  </w:style>
  <w:style w:type="table" w:styleId="TableGrid">
    <w:name w:val="Table Grid"/>
    <w:basedOn w:val="TableNormal"/>
    <w:uiPriority w:val="59"/>
    <w:rsid w:val="00F927C1"/>
    <w:pPr>
      <w:spacing w:after="0" w:line="240" w:lineRule="auto"/>
      <w:ind w:left="714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3C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160FD-8869-41FE-B66E-B9F8459B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harutskype</dc:creator>
  <cp:keywords/>
  <dc:description/>
  <cp:lastModifiedBy>Пользователь Windows</cp:lastModifiedBy>
  <cp:revision>2</cp:revision>
  <dcterms:created xsi:type="dcterms:W3CDTF">2025-05-02T06:06:00Z</dcterms:created>
  <dcterms:modified xsi:type="dcterms:W3CDTF">2025-05-02T06:06:00Z</dcterms:modified>
</cp:coreProperties>
</file>