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D7" w:rsidRPr="00544E7A" w:rsidRDefault="00765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GoBack"/>
      <w:bookmarkEnd w:id="0"/>
    </w:p>
    <w:p w:rsidR="007651D7" w:rsidRPr="00544E7A" w:rsidRDefault="009B5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</w:p>
    <w:p w:rsidR="007651D7" w:rsidRPr="00544E7A" w:rsidRDefault="009B5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60" w:lineRule="auto"/>
        <w:ind w:firstLine="567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Ր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Ք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</w:p>
    <w:p w:rsidR="007651D7" w:rsidRPr="00544E7A" w:rsidRDefault="009B5669">
      <w:pPr>
        <w:widowControl w:val="0"/>
        <w:spacing w:after="200" w:line="360" w:lineRule="auto"/>
        <w:ind w:firstLine="567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>«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ՎԱՐՈՒՅԹՆԵՐՈՎ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ԻՐԱՎԱԿԱՆ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ՕԳՆՈՒԹՅԱՆ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ԼՐԱՑՈՒՄՆԵՐ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ԵՎ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ՓՈՓՈԽՈՒԹՅՈՒՆՆԵՐ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ՄԱՍԻՆ</w:t>
      </w:r>
    </w:p>
    <w:p w:rsidR="007651D7" w:rsidRPr="00544E7A" w:rsidRDefault="009B5669">
      <w:pPr>
        <w:widowControl w:val="0"/>
        <w:tabs>
          <w:tab w:val="left" w:pos="1985"/>
        </w:tabs>
        <w:spacing w:after="20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1.</w:t>
      </w:r>
      <w:r w:rsidRPr="00544E7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544E7A">
        <w:rPr>
          <w:rFonts w:ascii="GHEA Grapalat" w:eastAsia="GHEA Grapalat" w:hAnsi="GHEA Grapalat" w:cs="GHEA Grapalat"/>
          <w:sz w:val="24"/>
          <w:szCs w:val="24"/>
        </w:rPr>
        <w:t>«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վարույթներով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օգնության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2024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թվականի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նոյեմբերի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15-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ՀՕ</w:t>
      </w:r>
      <w:r w:rsidRPr="00544E7A">
        <w:rPr>
          <w:rFonts w:ascii="GHEA Grapalat" w:eastAsia="GHEA Grapalat" w:hAnsi="GHEA Grapalat" w:cs="GHEA Grapalat"/>
          <w:sz w:val="24"/>
          <w:szCs w:val="24"/>
        </w:rPr>
        <w:t>-464-</w:t>
      </w:r>
      <w:r w:rsidRPr="00544E7A">
        <w:rPr>
          <w:rFonts w:ascii="GHEA Grapalat" w:eastAsia="GHEA Grapalat" w:hAnsi="GHEA Grapalat" w:cs="GHEA Grapalat"/>
          <w:sz w:val="24"/>
          <w:szCs w:val="24"/>
        </w:rPr>
        <w:t>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այսուհետ՝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վերնագրում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ՕԳՆՈՒԹՅԱՆ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ԵՎ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բառերը։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2.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1)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մասում՝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ա</w:t>
      </w:r>
      <w:r w:rsidRPr="00544E7A">
        <w:rPr>
          <w:rFonts w:ascii="GHEA Grapalat" w:eastAsia="GHEA Grapalat" w:hAnsi="GHEA Grapalat" w:cs="GHEA Grapalat"/>
          <w:sz w:val="24"/>
          <w:szCs w:val="24"/>
        </w:rPr>
        <w:t>.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>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բ</w:t>
      </w:r>
      <w:r w:rsidRPr="00544E7A">
        <w:rPr>
          <w:rFonts w:ascii="GHEA Grapalat" w:eastAsia="GHEA Grapalat" w:hAnsi="GHEA Grapalat" w:cs="GHEA Grapalat"/>
          <w:sz w:val="24"/>
          <w:szCs w:val="24"/>
        </w:rPr>
        <w:t>.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օգնության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>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«3.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ընդգրկում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է՝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1) 1998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թվականի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հուլիսի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17-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ստորագրված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`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</w:t>
      </w:r>
      <w:r w:rsidRPr="00544E7A">
        <w:rPr>
          <w:rFonts w:ascii="GHEA Grapalat" w:eastAsia="GHEA Grapalat" w:hAnsi="GHEA Grapalat" w:cs="GHEA Grapalat"/>
          <w:sz w:val="24"/>
          <w:szCs w:val="24"/>
        </w:rPr>
        <w:t>ռոմի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այսուհետ՝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իրավազորության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ներքո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հանցագործությունների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րականցումը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թվում՝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դատախազին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իրավիճակ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ընթացակարգերի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ձերբակալման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ընթացակարգերը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ընդունելիության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իրավազորության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վիճարկումը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(surrender)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տարանցիկ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տեղափոխումը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Հանր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պետությունից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լուծելը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1985"/>
        </w:tabs>
        <w:spacing w:after="20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ձևերի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>:»</w:t>
      </w:r>
      <w:r w:rsidRPr="00544E7A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3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վերնագրում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օգնությունը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>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20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«3.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կանոնակարգող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օրենսդրությունը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ներառո</w:t>
      </w:r>
      <w:r w:rsidRPr="00544E7A">
        <w:rPr>
          <w:rFonts w:ascii="GHEA Grapalat" w:eastAsia="GHEA Grapalat" w:hAnsi="GHEA Grapalat" w:cs="GHEA Grapalat"/>
          <w:sz w:val="24"/>
          <w:szCs w:val="24"/>
        </w:rPr>
        <w:t>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վավերացրած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ընթացակարգի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հանցագործությունների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տարրերը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>,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օրենսգիրք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սահմանադրական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>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դատավարության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օրենսգիրքը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օրենսգիրքը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>,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ներկայացուցչի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>:»</w:t>
      </w:r>
      <w:r w:rsidRPr="00544E7A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7651D7" w:rsidRPr="00544E7A" w:rsidRDefault="009B5669">
      <w:pPr>
        <w:widowControl w:val="0"/>
        <w:tabs>
          <w:tab w:val="left" w:pos="1985"/>
        </w:tabs>
        <w:spacing w:after="20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4.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կազմակերպումն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փոխարինել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իրավազորության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ներքո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հանցագործությունների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պայքարում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կազմակերպումն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բառերով։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5.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1) 3-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«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իրականացնելիս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>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2) 5-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օգնության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>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3)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20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«6.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իրավազորության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ներքո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հանցագործությունների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համագործակցությունն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փոխլրա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>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բազմակողմանիության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գաղտնիության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տուժողների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վկաների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նրանց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ընտանիքի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անդամների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պաշտպանության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ապահովման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խտրականության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միջազգայնորեն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ճանաչված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մարդու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իրավունքներին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միջնորդությունների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բողոքների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ացքում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կիրառելի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սկզբունքների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>:»</w:t>
      </w:r>
      <w:r w:rsidRPr="00544E7A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6.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5-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վերնագրում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օգնության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>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20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«4.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րջանակներում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փաստաթղթերը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գրավոր՝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լեզուներից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որևէ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մեկով։</w:t>
      </w:r>
      <w:r w:rsidRPr="00544E7A">
        <w:rPr>
          <w:rFonts w:ascii="GHEA Grapalat" w:eastAsia="GHEA Grapalat" w:hAnsi="GHEA Grapalat" w:cs="GHEA Grapalat"/>
          <w:sz w:val="24"/>
          <w:szCs w:val="24"/>
        </w:rPr>
        <w:t>»</w:t>
      </w:r>
      <w:r w:rsidRPr="00544E7A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7.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1) 3-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ուղարկելու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այդպիսի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փոխարինել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ուղարկելու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այդպիսի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դիմումներ։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մարմիններից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7-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>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3.1-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«3.1)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մարմին՝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ներկայացուցիչը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ապահովում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հաղորդակցությունը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թվում՝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իրավազորության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ներքո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հանցանքների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</w:t>
      </w:r>
      <w:r w:rsidRPr="00544E7A">
        <w:rPr>
          <w:rFonts w:ascii="GHEA Grapalat" w:eastAsia="GHEA Grapalat" w:hAnsi="GHEA Grapalat" w:cs="GHEA Grapalat"/>
          <w:sz w:val="24"/>
          <w:szCs w:val="24"/>
        </w:rPr>
        <w:t>ևերի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>.»,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3)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4.1-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«4.1)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դիմում՝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իրավազորության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ներքո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հանցանքների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հետապնդմա</w:t>
      </w:r>
      <w:r w:rsidRPr="00544E7A">
        <w:rPr>
          <w:rFonts w:ascii="GHEA Grapalat" w:eastAsia="GHEA Grapalat" w:hAnsi="GHEA Grapalat" w:cs="GHEA Grapalat"/>
          <w:sz w:val="24"/>
          <w:szCs w:val="24"/>
        </w:rPr>
        <w:t>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ձևերի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ցույց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>:»,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4) 5-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նպատակով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բառերը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>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5)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6.1-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«6.1)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փոխանցում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(surrender)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՝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հիմնավորող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փաստաթղթերի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հայտնաբերված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ընթացակարգ</w:t>
      </w:r>
      <w:r w:rsidRPr="00544E7A">
        <w:rPr>
          <w:rFonts w:ascii="GHEA Grapalat" w:eastAsia="GHEA Grapalat" w:hAnsi="GHEA Grapalat" w:cs="GHEA Grapalat"/>
          <w:sz w:val="24"/>
          <w:szCs w:val="24"/>
        </w:rPr>
        <w:t>.»,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6)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8.1-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բովանդակությամբ՝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«8.1)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նախնական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կալանավորում՝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անազատության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մեջ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պահելը՝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անհետաձգելի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քննարկելու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փոխանցումն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ապահովելու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նպատակով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>.»,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7)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9.1-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բովանդակությամբ՝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«9.1)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կալանավորում՝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անազատության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մեջ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հիմնավորող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նյութերը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ստանալու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>.»,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8)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12.1-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բովանդակությամբ՝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«12.1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իրավիճակի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ներկայացում՝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ազորության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ներքո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հանցանքներ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ենթադրաբար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իրավիճակի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դատախազին՝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խնդրելով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իրավիճակը՝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հանցագործությունների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մեղադրանք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նպատակով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>.»,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9)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25-28-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կետեր՝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«25)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դատարան՝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1998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թվականի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հուլիսի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17-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Հռոմում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ստորագրված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26)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Կանոնադրություն՝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1998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վականի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հուլիսի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17-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Հռոմում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ստորագրված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`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1985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27)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ընթացակարգի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ապացուցման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կանոններ՝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51-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ընդունված՝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կիրառումն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ապահովող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փաստաթուղթ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tabs>
          <w:tab w:val="left" w:pos="1985"/>
        </w:tabs>
        <w:spacing w:after="20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28)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Մի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ջազգային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հանցագործությունների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տարրեր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`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ընդունված՝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>, 7-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8-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մեկնաբանման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կիրառման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ուղղորդող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փաստաթուղթ</w:t>
      </w:r>
      <w:r w:rsidRPr="00544E7A">
        <w:rPr>
          <w:rFonts w:ascii="GHEA Grapalat" w:eastAsia="GHEA Grapalat" w:hAnsi="GHEA Grapalat" w:cs="GHEA Grapalat"/>
          <w:sz w:val="24"/>
          <w:szCs w:val="24"/>
        </w:rPr>
        <w:t>:»</w:t>
      </w:r>
      <w:r w:rsidRPr="00544E7A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8.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9.1-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գլուխ՝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«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Գ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Լ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Խ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>9.1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center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i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i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i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i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/>
          <w:i/>
          <w:sz w:val="24"/>
          <w:szCs w:val="24"/>
        </w:rPr>
        <w:t>ՀԱՄԱԳՈՐԾԱԿՑՈՒԹՈՒՆԸ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3"/>
        <w:gridCol w:w="7151"/>
      </w:tblGrid>
      <w:tr w:rsidR="007651D7" w:rsidRPr="00544E7A">
        <w:trPr>
          <w:trHeight w:val="1080"/>
        </w:trPr>
        <w:tc>
          <w:tcPr>
            <w:tcW w:w="220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93.1.</w:t>
            </w:r>
          </w:p>
        </w:tc>
        <w:tc>
          <w:tcPr>
            <w:tcW w:w="71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ind w:firstLine="5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Միջազգային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քրեական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դատարանի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հետ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համագործակցության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շրջանակներում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լիազոր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մարմնի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իրավասությունը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1.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համագործակցություն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իրականացնելիս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լիազորությունները՝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շահագրգիռ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պահանջի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հաղորդում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հանցագործության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նախաձեռնված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վարույթի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հավաքված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ապացույցները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ապացույցներն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ակցել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դատախազի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սկսելուն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արդեն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Հիշյալ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հաղորդումը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վերանայման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2)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դատախազին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իրավիճակը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(State Referra</w:t>
      </w:r>
      <w:r w:rsidRPr="00544E7A">
        <w:rPr>
          <w:rFonts w:ascii="GHEA Grapalat" w:eastAsia="GHEA Grapalat" w:hAnsi="GHEA Grapalat" w:cs="GHEA Grapalat"/>
          <w:sz w:val="24"/>
          <w:szCs w:val="24"/>
        </w:rPr>
        <w:t>l).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3)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շահագրգիռ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վիճարկում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իրավազորության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ընդունելիության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հարցը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4)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ստացված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վերահասցեագրում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դրանց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ունեցող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5)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արդյունքների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անհրաժեշտ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տեղեկատվություն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MS Mincho" w:hAnsi="GHEA Grapalat" w:cs="MS Mincho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6)</w:t>
      </w:r>
      <w:r w:rsidR="00544E7A"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խորհրդակցություններ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անցկացնում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ըստ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անհրաժեշտության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շահագրգիռ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MS Mincho" w:eastAsia="MS Mincho" w:hAnsi="MS Mincho" w:cs="MS Mincho" w:hint="eastAsia"/>
          <w:sz w:val="24"/>
          <w:szCs w:val="24"/>
        </w:rPr>
        <w:t>․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7)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8)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ստացված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ընթացքն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ապահովելու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նպատակով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շրջանակն</w:t>
      </w:r>
      <w:r w:rsidRPr="00544E7A">
        <w:rPr>
          <w:rFonts w:ascii="GHEA Grapalat" w:eastAsia="GHEA Grapalat" w:hAnsi="GHEA Grapalat" w:cs="GHEA Grapalat"/>
          <w:sz w:val="24"/>
          <w:szCs w:val="24"/>
        </w:rPr>
        <w:t>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9)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Հռոմի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վարույթներով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օգնության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լիազորություններ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լիազորութ</w:t>
      </w:r>
      <w:r w:rsidRPr="00544E7A">
        <w:rPr>
          <w:rFonts w:ascii="GHEA Grapalat" w:eastAsia="GHEA Grapalat" w:hAnsi="GHEA Grapalat" w:cs="GHEA Grapalat"/>
          <w:sz w:val="24"/>
          <w:szCs w:val="24"/>
        </w:rPr>
        <w:t>յունների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որոշմամբ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i/>
          <w:sz w:val="24"/>
          <w:szCs w:val="24"/>
        </w:rPr>
        <w:lastRenderedPageBreak/>
        <w:t xml:space="preserve"> </w:t>
      </w:r>
    </w:p>
    <w:tbl>
      <w:tblPr>
        <w:tblStyle w:val="a0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18"/>
        <w:gridCol w:w="7136"/>
      </w:tblGrid>
      <w:tr w:rsidR="007651D7" w:rsidRPr="00544E7A">
        <w:trPr>
          <w:trHeight w:val="360"/>
        </w:trPr>
        <w:tc>
          <w:tcPr>
            <w:tcW w:w="221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93.2.</w:t>
            </w:r>
          </w:p>
        </w:tc>
        <w:tc>
          <w:tcPr>
            <w:tcW w:w="713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ind w:firstLine="5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Զուգահեռ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դիմումների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ընթացքը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որոշելը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1.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արարքի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որևէ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պետությունից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զուգահեռ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ստանալու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տվյալ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ծանուցում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պետությանը։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2.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արարքի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</w:t>
      </w:r>
      <w:r w:rsidRPr="00544E7A">
        <w:rPr>
          <w:rFonts w:ascii="GHEA Grapalat" w:eastAsia="GHEA Grapalat" w:hAnsi="GHEA Grapalat" w:cs="GHEA Grapalat"/>
          <w:sz w:val="24"/>
          <w:szCs w:val="24"/>
        </w:rPr>
        <w:t>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մասնակից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պետությունից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զուգահեռ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ստանալու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նախապատվություն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18-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19-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համաձայն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ընդունելի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ճանաչել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տվյալ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ներկայացրել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հաշվի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առնվել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քննությունն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ընդունելիության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ծանուցմ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երբ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ընդունելիության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նախքան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ենթակետով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ընդունելիության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սկսել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քննարկել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սակայն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նախքան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անընդունելիության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արագա</w:t>
      </w:r>
      <w:r w:rsidRPr="00544E7A">
        <w:rPr>
          <w:rFonts w:ascii="GHEA Grapalat" w:eastAsia="GHEA Grapalat" w:hAnsi="GHEA Grapalat" w:cs="GHEA Grapalat"/>
          <w:sz w:val="24"/>
          <w:szCs w:val="24"/>
        </w:rPr>
        <w:t>ցված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ընթացակարգով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4.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արարքի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ոչ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մասնակից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պետությունից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զուգահեռ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ստանալու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>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նախապատվություն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ընդունելիության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5.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անընդունելիության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սկսել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քննարկել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ոչ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մասնակից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պետությունից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ստացված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զուգահեռ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6.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Հանրապետությունն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պարտավորություն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ոչ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մասնակից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հանդեպ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ստացել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զուգա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հեռ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ոչ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մասնակից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կայացնելիս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բոլոր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հանգամանքերը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ներառյալ՝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1)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ոչ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մասնակից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ամսաթվերը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</w:t>
      </w:r>
      <w:r w:rsidRPr="00544E7A">
        <w:rPr>
          <w:rFonts w:ascii="GHEA Grapalat" w:eastAsia="GHEA Grapalat" w:hAnsi="GHEA Grapalat" w:cs="GHEA Grapalat"/>
          <w:sz w:val="24"/>
          <w:szCs w:val="24"/>
        </w:rPr>
        <w:t>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ներկայացրած՝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ոչ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մասնակից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շահերը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ներառյալ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հանցագործությունը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տվյալ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տուժողների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քաղաքացիության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հանգամանքը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3)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հետագայում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հնարավորությունը։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7.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որևէ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սակայն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հանցագործությունից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տարբեր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հանցագործության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ստանալու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նախապատվ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բացառությամբ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հանդեպ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չունի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պարտավորություն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2)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հանդեպ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պարտավորություն։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կայացնելիս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հաշվի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բոլոր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գործոնները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ներառյալ՝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հանգամանքները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հատկապես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բնույթն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ծանրության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աստիճանը։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8.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անընդունելիության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կայացնելուց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մերժելու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ծանուցում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tbl>
      <w:tblPr>
        <w:tblStyle w:val="a1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73"/>
        <w:gridCol w:w="7481"/>
      </w:tblGrid>
      <w:tr w:rsidR="007651D7" w:rsidRPr="00544E7A">
        <w:trPr>
          <w:trHeight w:val="1440"/>
        </w:trPr>
        <w:tc>
          <w:tcPr>
            <w:tcW w:w="187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93.3.</w:t>
            </w:r>
          </w:p>
        </w:tc>
        <w:tc>
          <w:tcPr>
            <w:tcW w:w="748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 w:rsidP="00544E7A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Միջազգային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քրեական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դատարանի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կողմից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հետախուզվող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և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Հայաստանի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Հանրապետության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տարածքում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հայտնաբերված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անձի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ձերբակալման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կարգը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1.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կայացրել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(arrest warrant)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բավարարված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(request for provisional arrest)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հայտնաբերման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ձերբակալման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2.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հետախուզվող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հայտնաբերված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ներկայացնելուց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անմիջապես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ձերբակալումն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բակալումն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պաշտոնատար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կազմում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արձանագրություն՝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40-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3-8-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3.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ձերբակալելու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ձերբակալումն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>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մարմնին։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4.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հայտնաբերված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փաստացի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72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ժամվա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</w:t>
      </w:r>
      <w:r w:rsidRPr="00544E7A">
        <w:rPr>
          <w:rFonts w:ascii="GHEA Grapalat" w:eastAsia="GHEA Grapalat" w:hAnsi="GHEA Grapalat" w:cs="GHEA Grapalat"/>
          <w:sz w:val="24"/>
          <w:szCs w:val="24"/>
        </w:rPr>
        <w:t>ցքում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(arrest warrant)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բավարարված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(request for provisional arrest),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ազատ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արձակման։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խոչընդոտ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ժամկետի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ավարտից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ստանալու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5.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հետախուզվող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հայտնաբերված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չառարկելու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կիրառվում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93.4-93.6-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հոդվածներով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ընթացակարգերը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tbl>
      <w:tblPr>
        <w:tblStyle w:val="a2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3"/>
        <w:gridCol w:w="7151"/>
      </w:tblGrid>
      <w:tr w:rsidR="007651D7" w:rsidRPr="00544E7A">
        <w:trPr>
          <w:trHeight w:val="1080"/>
        </w:trPr>
        <w:tc>
          <w:tcPr>
            <w:tcW w:w="220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93.4.</w:t>
            </w:r>
          </w:p>
        </w:tc>
        <w:tc>
          <w:tcPr>
            <w:tcW w:w="71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 w:rsidP="00544E7A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Միջազգային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քրեական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դատարանի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կողմից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հետախուզվող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և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Հայաստանի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Հանրապետության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տարածքում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հայտնաբերված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անձի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իրավունքները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հետախուզվող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հայտնաբերված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իրավունքները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(mutatis mutandis)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41-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tbl>
      <w:tblPr>
        <w:tblStyle w:val="a3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554"/>
      </w:tblGrid>
      <w:tr w:rsidR="007651D7" w:rsidRPr="00544E7A" w:rsidTr="00544E7A">
        <w:trPr>
          <w:trHeight w:val="1440"/>
        </w:trPr>
        <w:tc>
          <w:tcPr>
            <w:tcW w:w="180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93.5.</w:t>
            </w:r>
          </w:p>
        </w:tc>
        <w:tc>
          <w:tcPr>
            <w:tcW w:w="75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 w:rsidP="00544E7A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Միջազգային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քրեական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դատարանի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կողմից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հետախուզվող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և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Հայաստանի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Հանրապետության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տարածքում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հայտնաբերված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անձի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նախնական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կալանավորումը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Անհետաձգելի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մինչև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պայմաններին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բավարարելու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ուղարկում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մարմնին։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նկատմամբ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կիրառելի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43-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դրույթները։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կցվում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93.6-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փաստաթղթերը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պայմաններին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բավարարելու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որոշումը։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4.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պահանջում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</w:t>
      </w:r>
      <w:r w:rsidRPr="00544E7A">
        <w:rPr>
          <w:rFonts w:ascii="GHEA Grapalat" w:eastAsia="GHEA Grapalat" w:hAnsi="GHEA Grapalat" w:cs="GHEA Grapalat"/>
          <w:sz w:val="24"/>
          <w:szCs w:val="24"/>
        </w:rPr>
        <w:t>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5.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պահից՝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60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օրվա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չստանալու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ազատվում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կալանքից։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Կալանքից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հիմքով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ազատելը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խոչընդոտ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հետագայո</w:t>
      </w:r>
      <w:r w:rsidRPr="00544E7A">
        <w:rPr>
          <w:rFonts w:ascii="GHEA Grapalat" w:eastAsia="GHEA Grapalat" w:hAnsi="GHEA Grapalat" w:cs="GHEA Grapalat"/>
          <w:sz w:val="24"/>
          <w:szCs w:val="24"/>
        </w:rPr>
        <w:t>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4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7464"/>
      </w:tblGrid>
      <w:tr w:rsidR="007651D7" w:rsidRPr="00544E7A" w:rsidTr="00544E7A">
        <w:trPr>
          <w:trHeight w:val="720"/>
        </w:trPr>
        <w:tc>
          <w:tcPr>
            <w:tcW w:w="189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93.6.</w:t>
            </w:r>
          </w:p>
        </w:tc>
        <w:tc>
          <w:tcPr>
            <w:tcW w:w="746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 w:rsidP="00544E7A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Անձին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Միջազգային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քրեական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դատարանին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փոխանցելու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(surrender)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համար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կալանավորելու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կարգը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1.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ստանալուց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վայրի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կցվում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փաստաթղթրը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      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նկարագրող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որոնք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բավարար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նրան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նույնականացնելու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2)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հնարավոր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վայրի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3)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պատճենը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(a</w:t>
      </w:r>
      <w:r w:rsidRPr="00544E7A">
        <w:rPr>
          <w:rFonts w:ascii="GHEA Grapalat" w:eastAsia="GHEA Grapalat" w:hAnsi="GHEA Grapalat" w:cs="GHEA Grapalat"/>
          <w:sz w:val="24"/>
          <w:szCs w:val="24"/>
        </w:rPr>
        <w:t>rrest warrant).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4)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5)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արարքի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գնահատականի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բավարար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մանրամասն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շարադրանքը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>,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6)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քաղվածք՝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ընթացակարգի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դրույքների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արդեն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դատապարտված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թյանը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կցվում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փաստաթղթերը՝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մեղադրական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դատավճռի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պատճենը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2)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վկայում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մեղադրական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դատավճռում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3)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նկատմամբ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նշանակվել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պատիժ</w:t>
      </w:r>
      <w:r w:rsidRPr="00544E7A">
        <w:rPr>
          <w:rFonts w:ascii="GHEA Grapalat" w:eastAsia="GHEA Grapalat" w:hAnsi="GHEA Grapalat" w:cs="GHEA Grapalat"/>
          <w:sz w:val="24"/>
          <w:szCs w:val="24"/>
        </w:rPr>
        <w:t>,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պատիժ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նշանակելու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դատավճռի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պատճենը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իսկ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նշանակվել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ազատությունից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զրկելու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կապված</w:t>
      </w:r>
      <w:r w:rsidRPr="00544E7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պատիժ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պատժի՝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արդեն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իսկ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ժամկետի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դեռևս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մնացած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ժամկետի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   4.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քննարկելիս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նդրադառնալ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հանցանք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հիմնավոր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կասկածին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կերպ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վիճարկելու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որոշումը։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անդրադառնում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1)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պահանջվող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նույնականացումը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ձերբակալված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2)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ձերբակալ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ձերբակալված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իրավունքների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խախտման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առկայությունը։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5.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հետախուզվող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հայտնաբերված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վերջինս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ցանկություն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հայտնել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մասնակցել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նիստին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փաստաբանի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թարգմանչի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դռնփակ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նիստում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6.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բավարարում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հետախուզվող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հայտնաբերված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մեջ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7.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մերժում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նիստերի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դահլիճից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ազատ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արձակում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մեջ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չէ։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8.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խախտում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հայտնաբերելու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գործողությունները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9.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քննարկման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արդյունքով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կիրառելու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ներկայացրած՝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32-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հանձնարարում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քրեակատարողական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հիմնարկին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10.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կալանավորումը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կիրառվում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երկու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>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ժամկետով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երկարաձգվել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45-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11.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ընդհանուր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ժամկետը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գերազանցել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10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ամիս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60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12.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11-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առավելագույն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ժամկետում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չլուծելու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ազատ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արձակման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13.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վերանայվել՝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48-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կարգով։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14.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պարտավոր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արդյունքների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5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18"/>
        <w:gridCol w:w="7136"/>
      </w:tblGrid>
      <w:tr w:rsidR="007651D7" w:rsidRPr="00544E7A">
        <w:trPr>
          <w:trHeight w:val="720"/>
        </w:trPr>
        <w:tc>
          <w:tcPr>
            <w:tcW w:w="221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93.7.</w:t>
            </w:r>
          </w:p>
        </w:tc>
        <w:tc>
          <w:tcPr>
            <w:tcW w:w="713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 w:rsidP="00544E7A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Անձին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Միջազգային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քրեական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դատարանին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փոխանցելու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կարգը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1.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93.6-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օրինական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ուժի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մեջ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մտնելուց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93.9-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բոլոր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պայմանների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առկայության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>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2.</w:t>
      </w:r>
      <w:r w:rsidRPr="00544E7A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համակարգում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գործընթացը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6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3"/>
        <w:gridCol w:w="7151"/>
      </w:tblGrid>
      <w:tr w:rsidR="007651D7" w:rsidRPr="00544E7A">
        <w:trPr>
          <w:trHeight w:val="1080"/>
        </w:trPr>
        <w:tc>
          <w:tcPr>
            <w:tcW w:w="220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93.8.</w:t>
            </w:r>
          </w:p>
        </w:tc>
        <w:tc>
          <w:tcPr>
            <w:tcW w:w="71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 w:rsidP="00544E7A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Միջազգային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քրեական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դատարանին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փոխանցվող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անձի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տարանցիկ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տեղափոխումը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Հայաստանի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նրապետության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տարածքով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թույլատրում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տարանցիկ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տեղափոխումը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բացառությամբ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տարանցիկ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տեղափոխումը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խոչընդոտել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ձգձգել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Տեղափոխվող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տարանցիկ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տեղափոխման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տակ։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2.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տարանցիկ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փոխադրելու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հարցո</w:t>
      </w:r>
      <w:r w:rsidRPr="00544E7A">
        <w:rPr>
          <w:rFonts w:ascii="GHEA Grapalat" w:eastAsia="GHEA Grapalat" w:hAnsi="GHEA Grapalat" w:cs="GHEA Grapalat"/>
          <w:sz w:val="24"/>
          <w:szCs w:val="24"/>
        </w:rPr>
        <w:t>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օտարերկրյա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խնդրանքով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երաշխիքներ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հետապնդվի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կերպ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ենթարկվի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ազատության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սահմանափ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ակման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մինչև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տվյալ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օտարերկրյա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մեկնելը՝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տեղափոխվում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օդային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տարածքով՝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վայրէջք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թույլտվություն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պահանջվում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4.  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ունենում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վայրէջք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ՀՀ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օրենսդրությամբ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ձերբակալվում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տեղափոխվում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ՀՀ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օրենսդրությամբ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ձերբակալվածներին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վայր։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պահանջելով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տարանցիկ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տեղափոխման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Վայրէջքի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96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ժամվա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այդպիսի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չներկայացվելու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ազատ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արձակման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հանդիսանում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կրկին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ժամկետից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տարանցիկ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տեղափոխման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ստանալու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7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3"/>
        <w:gridCol w:w="7151"/>
      </w:tblGrid>
      <w:tr w:rsidR="007651D7" w:rsidRPr="00544E7A">
        <w:trPr>
          <w:trHeight w:val="360"/>
        </w:trPr>
        <w:tc>
          <w:tcPr>
            <w:tcW w:w="220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93.9.</w:t>
            </w:r>
          </w:p>
        </w:tc>
        <w:tc>
          <w:tcPr>
            <w:tcW w:w="71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 w:rsidP="00544E7A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Համագործակցության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այլ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ձևերը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1.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բավարարում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դիմումները՝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ստորև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թվարկված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</w:t>
      </w:r>
      <w:r w:rsidRPr="00544E7A">
        <w:rPr>
          <w:rFonts w:ascii="GHEA Grapalat" w:eastAsia="GHEA Grapalat" w:hAnsi="GHEA Grapalat" w:cs="GHEA Grapalat"/>
          <w:sz w:val="24"/>
          <w:szCs w:val="24"/>
        </w:rPr>
        <w:t>ևերը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1)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առարկաների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վայրը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պարզելը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նույնականացնելը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ապացույցներ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հավաքելը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ստուգելը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թվում՝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անհրաժեշտ՝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փորձագետների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կարծիքները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փորձագիտական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եզրակացությունները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3)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հարցաքննելը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նկատմամբ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4)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փաստաթղթերի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ներառյալ՝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նյութերի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պատճենը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5)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անձանց՝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փորձագետ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ներկայանալուն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վարութային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ություններ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պահպանվում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երաշխիքները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6)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նույնականացման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ցուցմունք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նպատակով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ժամանակավոր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խանցվել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ազատ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արտահայտմամբ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տեղեկացված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համաձայնությունը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համաձայնությունը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ներառել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համաձայնեցված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հատուկ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պայմաններ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7)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զննում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արտաշիրմում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խուզարկություն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առգրավում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օբյեկտների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տեղակայումը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հստակեցնելը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8)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տուժողներին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վկաներին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պաշտպանություն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ապացույցները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պահպանելը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9)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ճանապարհով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ձեռք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բերված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օգուտը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գույքը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թվում՝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ակտիվները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հանցագործության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գործիքները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հայտնաբերելը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նույնականացնելն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արգելադրելը՝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հետագա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բռնագրավման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նպատակով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երրորդ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իրավունքները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խախտելու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10)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օրենսդրությ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ցանկացած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տեսակ՝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ուղղված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իրավազորության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ներքո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գնտվող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հանցագործությունների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առնչությամբ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իրականացմանն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աջակցելուն։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 </w:t>
      </w:r>
    </w:p>
    <w:tbl>
      <w:tblPr>
        <w:tblStyle w:val="a8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3"/>
        <w:gridCol w:w="7181"/>
      </w:tblGrid>
      <w:tr w:rsidR="007651D7" w:rsidRPr="00544E7A">
        <w:trPr>
          <w:trHeight w:val="720"/>
        </w:trPr>
        <w:tc>
          <w:tcPr>
            <w:tcW w:w="217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93.10.</w:t>
            </w:r>
          </w:p>
        </w:tc>
        <w:tc>
          <w:tcPr>
            <w:tcW w:w="718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 w:rsidP="00544E7A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Համագործակցության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այլ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ձևերի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վերաբերյալ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իմումների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բովանդակությունը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1.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93.9-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ըստ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անհրաժեշտության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ներառում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1)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հայցվող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նպատակի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համառոտ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շարադրանքը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հիմնավորումները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մանրամասն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շարադրանքը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գործողությունների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նկարագրությունը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2)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վայրի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ինքնության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պարզման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>յնականացման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վայրի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հնարավորինս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մանրամասն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3)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առնչվող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ցանկացած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անհրաժեշտ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հայցվող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9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3"/>
        <w:gridCol w:w="7151"/>
      </w:tblGrid>
      <w:tr w:rsidR="007651D7" w:rsidRPr="00544E7A">
        <w:trPr>
          <w:trHeight w:val="720"/>
        </w:trPr>
        <w:tc>
          <w:tcPr>
            <w:tcW w:w="220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93.11.</w:t>
            </w:r>
          </w:p>
        </w:tc>
        <w:tc>
          <w:tcPr>
            <w:tcW w:w="715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 w:rsidP="00544E7A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Համագործակցության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այլ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ձևերի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վերաբերյալ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դիմումի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կատարումը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      1.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93.9-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ծանուցում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նպատակով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մարմիններին։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ստացած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պարտավոր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անալու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5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օրվա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հայտնել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Կենտրանական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8-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>, 11-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93.12-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նախատեսվածհնարավոր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խոչընդոտների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առկայության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4.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</w:t>
      </w:r>
      <w:r w:rsidRPr="00544E7A">
        <w:rPr>
          <w:rFonts w:ascii="GHEA Grapalat" w:eastAsia="GHEA Grapalat" w:hAnsi="GHEA Grapalat" w:cs="GHEA Grapalat"/>
          <w:sz w:val="24"/>
          <w:szCs w:val="24"/>
        </w:rPr>
        <w:t>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8-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>, 11-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93.12-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գործողությունները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5.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խոչընդոտների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բացակայության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ողջ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ամիտ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ժամկետում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ներակայցում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արդյունքները՝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անհրաժեշտության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փաստաթղթեր։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6.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արդյունքները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ստանալուց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5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օրվա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7.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արդյունքները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8.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երբ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93.9-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խոչընդոտել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ընթացիկ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վարույթին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</w:t>
      </w:r>
      <w:r w:rsidRPr="00544E7A">
        <w:rPr>
          <w:rFonts w:ascii="GHEA Grapalat" w:eastAsia="GHEA Grapalat" w:hAnsi="GHEA Grapalat" w:cs="GHEA Grapalat"/>
          <w:sz w:val="24"/>
          <w:szCs w:val="24"/>
        </w:rPr>
        <w:t>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Times New Roman" w:eastAsia="Times New Roman" w:hAnsi="Times New Roman" w:cs="Times New Roman"/>
          <w:sz w:val="24"/>
          <w:szCs w:val="24"/>
        </w:rPr>
        <w:t>​​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տարբերվում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մատնանշված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հետաձգելու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համաձայնեցված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ժամկետով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   9.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հետաձգելու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երբ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18-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19-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հոդվածներով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վիճարկվում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ընդունելիության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հարցը՝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մինչև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դատախազի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ապացույցներ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հավաքել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թույլատրելու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կայացնելը։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10.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խնդրանքով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93.9-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տրամադրելու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կատարվի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պահանջներին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մասնավորապես՝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1)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վկայի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ցուցմունքը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փորձագետի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եզրակացությունը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փորձագետի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կարծիքը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բավարարեն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ընթացակարգի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պահանջներին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ձեռնարկվեն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բոլոր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միջոցները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ապահովելու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տուժողների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վկաների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նրանց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ընտանիքի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անդամների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անվտանգությունը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ֆիզիկան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հոգեկան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վիճա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կը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11.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10-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պահանջների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անհնարինության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քերական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12.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ապացույցների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թույլատրելիությունը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որոշվի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ձեռք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բերելու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13.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մեջ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թույլատրվել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մասնակցելու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ընթացքին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ծանոթանալ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արձանագրություններին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shd w:val="clear" w:color="auto" w:fill="FFFFFF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14.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93.9-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ձևերն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օրենսդրությամբ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a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3"/>
        <w:gridCol w:w="7181"/>
      </w:tblGrid>
      <w:tr w:rsidR="007651D7" w:rsidRPr="00544E7A">
        <w:trPr>
          <w:trHeight w:val="720"/>
        </w:trPr>
        <w:tc>
          <w:tcPr>
            <w:tcW w:w="217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93.12.</w:t>
            </w:r>
          </w:p>
        </w:tc>
        <w:tc>
          <w:tcPr>
            <w:tcW w:w="718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 w:rsidP="00544E7A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Համագործակցության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այլ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ձևերի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վերաբերյալ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դիմումի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կատարման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շուրջ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բանակցությունն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երը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նախաձեռնությամբ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միջնորդության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բավարար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հիմքեր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կարծելու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93.9-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</w:t>
      </w:r>
      <w:r w:rsidRPr="00544E7A">
        <w:rPr>
          <w:rFonts w:ascii="GHEA Grapalat" w:eastAsia="GHEA Grapalat" w:hAnsi="GHEA Grapalat" w:cs="GHEA Grapalat"/>
          <w:sz w:val="24"/>
          <w:szCs w:val="24"/>
        </w:rPr>
        <w:t>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վնասել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անվտանգությանը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անհապաղ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ծանուցում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անվտանգության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72-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համաձայն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Անվտանգության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խորհուրդը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կասեցնելու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72-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բոլոր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ողջամիտ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հնարավորությունները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սպառվել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Անվտանգության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խորհուրդը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ոչ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միջոցի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պայմանի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առկայության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անվտանգությանը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վնաս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հասցնելու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մերժում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քննություն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93.9-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կատարումը։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4.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հիմք</w:t>
      </w:r>
      <w:r w:rsidRPr="00544E7A">
        <w:rPr>
          <w:rFonts w:ascii="GHEA Grapalat" w:eastAsia="GHEA Grapalat" w:hAnsi="GHEA Grapalat" w:cs="GHEA Grapalat"/>
          <w:sz w:val="24"/>
          <w:szCs w:val="24"/>
        </w:rPr>
        <w:t>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հրաժարվում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ապացույց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Անվտանգության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արդյունքում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առկայությունը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հաստատվելուց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կիրառվում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կարգավորումները։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b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3"/>
        <w:gridCol w:w="7121"/>
      </w:tblGrid>
      <w:tr w:rsidR="007651D7" w:rsidRPr="00544E7A">
        <w:trPr>
          <w:trHeight w:val="360"/>
        </w:trPr>
        <w:tc>
          <w:tcPr>
            <w:tcW w:w="223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93.13.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 w:rsidP="00544E7A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Ժամանակավոր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միջոցները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1.   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Վտանգի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ապացույցները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պահպանելու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նպատակով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18-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համաձայն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կիրառվող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ժամանակավոր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միջոցները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ձեռնարկելու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2.  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Անհետաձգելի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ստանալուց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բավարար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հիմքերի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առկայության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կայացնե</w:t>
      </w:r>
      <w:r w:rsidRPr="00544E7A">
        <w:rPr>
          <w:rFonts w:ascii="GHEA Grapalat" w:eastAsia="GHEA Grapalat" w:hAnsi="GHEA Grapalat" w:cs="GHEA Grapalat"/>
          <w:sz w:val="24"/>
          <w:szCs w:val="24"/>
        </w:rPr>
        <w:t>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19-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8-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համաձայն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կիրառվող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ժամանակավոր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միջոցներ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ձեռնարկելու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միջոցները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վերացվում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ժամկետում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չի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ներկայացնում։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c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88"/>
        <w:gridCol w:w="7166"/>
      </w:tblGrid>
      <w:tr w:rsidR="007651D7" w:rsidRPr="00544E7A">
        <w:trPr>
          <w:trHeight w:val="360"/>
        </w:trPr>
        <w:tc>
          <w:tcPr>
            <w:tcW w:w="218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93.14.</w:t>
            </w:r>
          </w:p>
        </w:tc>
        <w:tc>
          <w:tcPr>
            <w:tcW w:w="716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ind w:firstLine="5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Ապացույցների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փոխ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անցումը</w:t>
            </w:r>
          </w:p>
          <w:p w:rsidR="007651D7" w:rsidRPr="00544E7A" w:rsidRDefault="007651D7">
            <w:pPr>
              <w:widowControl w:val="0"/>
              <w:tabs>
                <w:tab w:val="left" w:pos="559"/>
              </w:tabs>
              <w:spacing w:after="0" w:line="360" w:lineRule="auto"/>
              <w:ind w:firstLine="5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1.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պահանջով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որոշմամբ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ցանկացած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ակտիվ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փաստաթուղթ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գրավոր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նյութ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առարկաներ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որոնք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համաձայն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օրենսդրության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օգտագործվել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ապացույց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2.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երրորդ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տուժողը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պահանջում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պաշտպանել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արգելադրված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գույքի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ապացույցների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նկատմամբ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իրավունքները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երբ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պարտավորվում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վարույթն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ավարտելուց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գույքը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ապացույցն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անվճար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վերադարձնել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3.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գույքի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հետաձգվել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գույքը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որևէ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ապացույց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անհրաժեշտ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</w:t>
      </w:r>
      <w:r w:rsidRPr="00544E7A">
        <w:rPr>
          <w:rFonts w:ascii="GHEA Grapalat" w:eastAsia="GHEA Grapalat" w:hAnsi="GHEA Grapalat" w:cs="GHEA Grapalat"/>
          <w:sz w:val="24"/>
          <w:szCs w:val="24"/>
        </w:rPr>
        <w:t>ցքի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մեջ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վարույթի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խորհրդակցություններից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համաձայնում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հետաձգմանը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4.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Պետական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գաղտնիք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պարունակող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նշված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օգտագործման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</w:t>
      </w:r>
      <w:r w:rsidRPr="00544E7A">
        <w:rPr>
          <w:rFonts w:ascii="GHEA Grapalat" w:eastAsia="GHEA Grapalat" w:hAnsi="GHEA Grapalat" w:cs="GHEA Grapalat"/>
          <w:sz w:val="24"/>
          <w:szCs w:val="24"/>
        </w:rPr>
        <w:t>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հարաբերությունները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կարգավորվում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օրենսդրությամբ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պայմանագրերով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5.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անհրաժեշտության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փաստաթղթերն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դատախազին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գաղտնիության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պայմանով։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հայեցողությամբ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դատախազի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պահանջով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հետագայում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համաձայնություն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փաստաթղթերն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տեղեկությունները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բացահայտելուն։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d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88"/>
        <w:gridCol w:w="7166"/>
      </w:tblGrid>
      <w:tr w:rsidR="007651D7" w:rsidRPr="00544E7A">
        <w:trPr>
          <w:trHeight w:val="1080"/>
        </w:trPr>
        <w:tc>
          <w:tcPr>
            <w:tcW w:w="218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93.15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.</w:t>
            </w:r>
          </w:p>
        </w:tc>
        <w:tc>
          <w:tcPr>
            <w:tcW w:w="716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ind w:firstLine="5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Միջազգային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քրեական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դատարանին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համագործակցելու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և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աջակցություն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տրամադրելու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մասին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դիմում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ներկայացնելը</w:t>
            </w:r>
          </w:p>
        </w:tc>
      </w:tr>
    </w:tbl>
    <w:p w:rsidR="007651D7" w:rsidRPr="00544E7A" w:rsidRDefault="007651D7">
      <w:pPr>
        <w:pStyle w:val="Heading2"/>
        <w:keepNext w:val="0"/>
        <w:keepLines w:val="0"/>
        <w:widowControl w:val="0"/>
        <w:tabs>
          <w:tab w:val="left" w:pos="559"/>
        </w:tabs>
        <w:spacing w:line="254" w:lineRule="auto"/>
        <w:ind w:firstLine="570"/>
        <w:jc w:val="both"/>
        <w:rPr>
          <w:rFonts w:ascii="GHEA Grapalat" w:eastAsia="GHEA Grapalat" w:hAnsi="GHEA Grapalat" w:cs="GHEA Grapalat"/>
          <w:sz w:val="34"/>
          <w:szCs w:val="34"/>
        </w:rPr>
      </w:pPr>
      <w:bookmarkStart w:id="1" w:name="_heading=h.honufn1kxg92" w:colFirst="0" w:colLast="0"/>
      <w:bookmarkEnd w:id="1"/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1.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տրամադրելու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ներկայացնում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արարքի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նախաձեռնված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վարույթի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համարվում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իրավազորության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ներքո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հանցագործություն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օրենսդրությամբ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ծանր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հանցա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գործություն։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>2.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համագործակցությունն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աջակցությունը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ներառում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93-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10-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գործողությունները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e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7651D7" w:rsidRPr="00544E7A">
        <w:trPr>
          <w:trHeight w:val="1080"/>
        </w:trPr>
        <w:tc>
          <w:tcPr>
            <w:tcW w:w="217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93.16.</w:t>
            </w:r>
          </w:p>
        </w:tc>
        <w:tc>
          <w:tcPr>
            <w:tcW w:w="719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ind w:firstLine="5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Միջազգային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քրեական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դատարանի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դատախազի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գործողությունները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Հայաստանի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Հանր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ապետության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տարածքում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   1.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խորհրդակցելով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հիման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վրա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ապահովում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դատախազի՝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տարածքում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Կանոնադրությամբ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նախատեսված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վարութային</w:t>
      </w: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գործողություններ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իրականացնելը։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2.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ծանուցում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Կենտրոնական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օրենսդրությամբ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վարութային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գործողություններ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իրականացնելու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ունեցող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f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3"/>
        <w:gridCol w:w="7181"/>
      </w:tblGrid>
      <w:tr w:rsidR="007651D7" w:rsidRPr="00544E7A">
        <w:trPr>
          <w:trHeight w:val="720"/>
        </w:trPr>
        <w:tc>
          <w:tcPr>
            <w:tcW w:w="217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93.17.</w:t>
            </w:r>
          </w:p>
        </w:tc>
        <w:tc>
          <w:tcPr>
            <w:tcW w:w="718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ind w:firstLine="5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Անձեռնմխելիության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հաղթահարումը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և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խորհրդակցությունները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</w:tbl>
    <w:p w:rsidR="007651D7" w:rsidRPr="00544E7A" w:rsidRDefault="009B5669">
      <w:pPr>
        <w:pStyle w:val="Heading2"/>
        <w:keepNext w:val="0"/>
        <w:keepLines w:val="0"/>
        <w:widowControl w:val="0"/>
        <w:tabs>
          <w:tab w:val="left" w:pos="559"/>
        </w:tabs>
        <w:spacing w:line="360" w:lineRule="auto"/>
        <w:ind w:firstLine="570"/>
        <w:jc w:val="both"/>
        <w:rPr>
          <w:rFonts w:ascii="GHEA Grapalat" w:eastAsia="GHEA Grapalat" w:hAnsi="GHEA Grapalat" w:cs="GHEA Grapalat"/>
          <w:b w:val="0"/>
          <w:sz w:val="24"/>
          <w:szCs w:val="24"/>
        </w:rPr>
      </w:pPr>
      <w:bookmarkStart w:id="2" w:name="_heading=h.53xx2fpcpini" w:colFirst="0" w:colLast="0"/>
      <w:bookmarkEnd w:id="2"/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1.  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կատարումը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հանգեցնել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պարտավորության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խախտմանը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ապա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մարմինն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անհապաղ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տեղեկացնում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դատարանին՝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համագործակցելու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b w:val="0"/>
          <w:sz w:val="24"/>
          <w:szCs w:val="24"/>
        </w:rPr>
        <w:t>նպատակով։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Եթե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հետապնդմանը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Սահմանադրությանը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օրենքներին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օգտվում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անձեռնմխելիո</w:t>
      </w:r>
      <w:r w:rsidRPr="00544E7A">
        <w:rPr>
          <w:rFonts w:ascii="GHEA Grapalat" w:eastAsia="GHEA Grapalat" w:hAnsi="GHEA Grapalat" w:cs="GHEA Grapalat"/>
          <w:sz w:val="24"/>
          <w:szCs w:val="24"/>
        </w:rPr>
        <w:t>ւթյունից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մարմինն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անձեռնմխելիությունից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զրկելու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ընթացակարգ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նախաձեռնելու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իրավասություն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ունեցող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իրազեկում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գործինկատմամբ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իրավազորության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առկայության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f0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3"/>
        <w:gridCol w:w="7181"/>
      </w:tblGrid>
      <w:tr w:rsidR="007651D7" w:rsidRPr="00544E7A">
        <w:trPr>
          <w:trHeight w:val="720"/>
        </w:trPr>
        <w:tc>
          <w:tcPr>
            <w:tcW w:w="217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93. 18.</w:t>
            </w:r>
          </w:p>
        </w:tc>
        <w:tc>
          <w:tcPr>
            <w:tcW w:w="718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ind w:firstLine="5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Միջազգայ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քրեական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դատարանի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հետ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համագործակցության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հետ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ծախսերը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</w:tbl>
    <w:p w:rsidR="007651D7" w:rsidRPr="00544E7A" w:rsidRDefault="009B5669">
      <w:pPr>
        <w:pStyle w:val="Heading2"/>
        <w:keepNext w:val="0"/>
        <w:keepLines w:val="0"/>
        <w:widowControl w:val="0"/>
        <w:tabs>
          <w:tab w:val="left" w:pos="559"/>
        </w:tabs>
        <w:spacing w:line="254" w:lineRule="auto"/>
        <w:ind w:firstLine="570"/>
        <w:jc w:val="both"/>
        <w:rPr>
          <w:rFonts w:ascii="GHEA Grapalat" w:eastAsia="GHEA Grapalat" w:hAnsi="GHEA Grapalat" w:cs="GHEA Grapalat"/>
          <w:sz w:val="34"/>
          <w:szCs w:val="34"/>
        </w:rPr>
      </w:pPr>
      <w:bookmarkStart w:id="3" w:name="_heading=h.1vwl1klgco6y" w:colFirst="0" w:colLast="0"/>
      <w:bookmarkEnd w:id="3"/>
      <w:r w:rsidRPr="00544E7A">
        <w:rPr>
          <w:rFonts w:ascii="GHEA Grapalat" w:eastAsia="GHEA Grapalat" w:hAnsi="GHEA Grapalat" w:cs="GHEA Grapalat"/>
          <w:sz w:val="34"/>
          <w:szCs w:val="34"/>
        </w:rPr>
        <w:t xml:space="preserve">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       1.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Հանրապետությունը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դիումների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ծախսերը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բացառություն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կազմում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544E7A">
        <w:rPr>
          <w:rFonts w:ascii="GHEA Grapalat" w:eastAsia="GHEA Grapalat" w:hAnsi="GHEA Grapalat" w:cs="GHEA Grapalat"/>
          <w:sz w:val="24"/>
          <w:szCs w:val="24"/>
        </w:rPr>
        <w:t>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1- 6-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կետերով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ծախսերը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որոնք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կրում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դատարանը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1)   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վկանե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փորձագետների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ուղևորության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նրանց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անվտանգության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ապահովման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արգելանքի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տակ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գտնվող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ժամանակավոր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ծախսերը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2)  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գրավոր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բանավոր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թարգմանության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սղագրության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lastRenderedPageBreak/>
        <w:t>ծախսերը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3)  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դատավո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դատախազի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դատախազի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տեղակալների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քարտուղարի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քարտուղարի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տեղակալի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ցանկացած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մարմնի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աշխատակիցների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ուղևորության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դրանից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բխող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ծախսերը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4)  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պահանջվող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փորձագիտական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կարծիքի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փորձագիտական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եզրակացութ</w:t>
      </w:r>
      <w:r w:rsidRPr="00544E7A">
        <w:rPr>
          <w:rFonts w:ascii="GHEA Grapalat" w:eastAsia="GHEA Grapalat" w:hAnsi="GHEA Grapalat" w:cs="GHEA Grapalat"/>
          <w:sz w:val="24"/>
          <w:szCs w:val="24"/>
        </w:rPr>
        <w:t>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ծախսերը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5)  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ենթակա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տեղափոխման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ծախսերը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6)       </w:t>
      </w:r>
      <w:r w:rsidRPr="00544E7A">
        <w:rPr>
          <w:rFonts w:ascii="GHEA Grapalat" w:eastAsia="GHEA Grapalat" w:hAnsi="GHEA Grapalat" w:cs="GHEA Grapalat"/>
          <w:sz w:val="24"/>
          <w:szCs w:val="24"/>
        </w:rPr>
        <w:t>խորհրդակցություններից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հետո՝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ցանկացած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ծախս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544E7A">
        <w:rPr>
          <w:rFonts w:ascii="GHEA Grapalat" w:eastAsia="GHEA Grapalat" w:hAnsi="GHEA Grapalat" w:cs="GHEA Grapalat"/>
          <w:sz w:val="24"/>
          <w:szCs w:val="24"/>
        </w:rPr>
        <w:t>որը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է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առաջանալ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դիմումի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կատարման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արդյունքում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tbl>
      <w:tblPr>
        <w:tblStyle w:val="af1"/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3"/>
        <w:gridCol w:w="7121"/>
      </w:tblGrid>
      <w:tr w:rsidR="007651D7" w:rsidRPr="00544E7A">
        <w:trPr>
          <w:trHeight w:val="1440"/>
        </w:trPr>
        <w:tc>
          <w:tcPr>
            <w:tcW w:w="223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Հոդ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ված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93.19.</w:t>
            </w:r>
          </w:p>
        </w:tc>
        <w:tc>
          <w:tcPr>
            <w:tcW w:w="712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1D7" w:rsidRPr="00544E7A" w:rsidRDefault="009B5669" w:rsidP="00544E7A">
            <w:pPr>
              <w:widowControl w:val="0"/>
              <w:tabs>
                <w:tab w:val="left" w:pos="559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Միջազգային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քրեական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դատարանին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անձին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փոխանցելու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ընթացակարգին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օժանդակող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անձինք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և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այդ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ընթացակարգին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մասնակցության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544E7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անհնարինությունը</w:t>
            </w:r>
          </w:p>
        </w:tc>
      </w:tr>
    </w:tbl>
    <w:p w:rsidR="007651D7" w:rsidRPr="00544E7A" w:rsidRDefault="009B5669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7651D7" w:rsidRDefault="009B5669" w:rsidP="00544E7A">
      <w:pPr>
        <w:widowControl w:val="0"/>
        <w:tabs>
          <w:tab w:val="left" w:pos="559"/>
        </w:tabs>
        <w:spacing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1.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Միջազգային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դատարանին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փոխանցելու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ընթացակարգին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օժանդակող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անձանց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այդ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ընթացակարգին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մասնակցության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անհնարինության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հետ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կապված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իրավահարաբերությունների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նկատմամբ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վերաբերելի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մասով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(mutatis mutandis)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կիրառվում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են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և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 w:rsidRPr="00544E7A">
        <w:rPr>
          <w:rFonts w:ascii="GHEA Grapalat" w:eastAsia="GHEA Grapalat" w:hAnsi="GHEA Grapalat" w:cs="GHEA Grapalat"/>
          <w:sz w:val="24"/>
          <w:szCs w:val="24"/>
        </w:rPr>
        <w:t>րդ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գլուխների</w:t>
      </w:r>
      <w:r w:rsidRPr="00544E7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44E7A">
        <w:rPr>
          <w:rFonts w:ascii="GHEA Grapalat" w:eastAsia="GHEA Grapalat" w:hAnsi="GHEA Grapalat" w:cs="GHEA Grapalat"/>
          <w:sz w:val="24"/>
          <w:szCs w:val="24"/>
        </w:rPr>
        <w:t>կարգավորումները։</w:t>
      </w:r>
      <w:r w:rsidRPr="00544E7A">
        <w:rPr>
          <w:rFonts w:ascii="GHEA Grapalat" w:eastAsia="GHEA Grapalat" w:hAnsi="GHEA Grapalat" w:cs="GHEA Grapalat"/>
          <w:sz w:val="24"/>
          <w:szCs w:val="24"/>
        </w:rPr>
        <w:t>»</w:t>
      </w:r>
      <w:r w:rsidRPr="00544E7A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544E7A" w:rsidRPr="00544E7A" w:rsidRDefault="00544E7A">
      <w:pPr>
        <w:widowControl w:val="0"/>
        <w:tabs>
          <w:tab w:val="left" w:pos="559"/>
        </w:tabs>
        <w:spacing w:after="0" w:line="360" w:lineRule="auto"/>
        <w:ind w:firstLine="57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44E7A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Հոդված 9. </w:t>
      </w:r>
      <w:r>
        <w:rPr>
          <w:rFonts w:ascii="GHEA Grapalat" w:eastAsia="GHEA Grapalat" w:hAnsi="GHEA Grapalat" w:cs="GHEA Grapalat"/>
          <w:sz w:val="24"/>
          <w:szCs w:val="24"/>
        </w:rPr>
        <w:t>Սույն օրենքն ուժի մեջ է մտնում պաշտոնական հրապարակման օրվան հաջորդող տասներորդ օրը։</w:t>
      </w:r>
    </w:p>
    <w:sectPr w:rsidR="00544E7A" w:rsidRPr="00544E7A">
      <w:headerReference w:type="default" r:id="rId7"/>
      <w:footerReference w:type="default" r:id="rId8"/>
      <w:headerReference w:type="first" r:id="rId9"/>
      <w:pgSz w:w="11906" w:h="16838"/>
      <w:pgMar w:top="1134" w:right="850" w:bottom="709" w:left="1701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69" w:rsidRDefault="009B5669">
      <w:pPr>
        <w:spacing w:after="0" w:line="240" w:lineRule="auto"/>
      </w:pPr>
      <w:r>
        <w:separator/>
      </w:r>
    </w:p>
  </w:endnote>
  <w:endnote w:type="continuationSeparator" w:id="0">
    <w:p w:rsidR="009B5669" w:rsidRDefault="009B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D7" w:rsidRDefault="009B56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HEA Grapalat" w:eastAsia="GHEA Grapalat" w:hAnsi="GHEA Grapalat" w:cs="GHEA Grapalat"/>
        <w:color w:val="000000"/>
        <w:sz w:val="24"/>
        <w:szCs w:val="24"/>
      </w:rPr>
    </w:pPr>
    <w:r>
      <w:rPr>
        <w:rFonts w:ascii="GHEA Grapalat" w:eastAsia="GHEA Grapalat" w:hAnsi="GHEA Grapalat" w:cs="GHEA Grapalat"/>
        <w:color w:val="000000"/>
        <w:sz w:val="24"/>
        <w:szCs w:val="24"/>
      </w:rPr>
      <w:fldChar w:fldCharType="begin"/>
    </w:r>
    <w:r>
      <w:rPr>
        <w:rFonts w:ascii="GHEA Grapalat" w:eastAsia="GHEA Grapalat" w:hAnsi="GHEA Grapalat" w:cs="GHEA Grapalat"/>
        <w:color w:val="000000"/>
        <w:sz w:val="24"/>
        <w:szCs w:val="24"/>
      </w:rPr>
      <w:instrText>PAGE</w:instrText>
    </w:r>
    <w:r>
      <w:rPr>
        <w:rFonts w:ascii="GHEA Grapalat" w:eastAsia="GHEA Grapalat" w:hAnsi="GHEA Grapalat" w:cs="GHEA Grapalat"/>
        <w:color w:val="000000"/>
        <w:sz w:val="24"/>
        <w:szCs w:val="24"/>
      </w:rPr>
      <w:fldChar w:fldCharType="separate"/>
    </w:r>
    <w:r w:rsidR="006C65DA">
      <w:rPr>
        <w:rFonts w:ascii="GHEA Grapalat" w:eastAsia="GHEA Grapalat" w:hAnsi="GHEA Grapalat" w:cs="GHEA Grapalat"/>
        <w:noProof/>
        <w:color w:val="000000"/>
        <w:sz w:val="24"/>
        <w:szCs w:val="24"/>
      </w:rPr>
      <w:t>2</w:t>
    </w:r>
    <w:r>
      <w:rPr>
        <w:rFonts w:ascii="GHEA Grapalat" w:eastAsia="GHEA Grapalat" w:hAnsi="GHEA Grapalat" w:cs="GHEA Grapalat"/>
        <w:color w:val="000000"/>
        <w:sz w:val="24"/>
        <w:szCs w:val="24"/>
      </w:rPr>
      <w:fldChar w:fldCharType="end"/>
    </w:r>
  </w:p>
  <w:p w:rsidR="007651D7" w:rsidRDefault="007651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69" w:rsidRDefault="009B5669">
      <w:pPr>
        <w:spacing w:after="0" w:line="240" w:lineRule="auto"/>
      </w:pPr>
      <w:r>
        <w:separator/>
      </w:r>
    </w:p>
  </w:footnote>
  <w:footnote w:type="continuationSeparator" w:id="0">
    <w:p w:rsidR="009B5669" w:rsidRDefault="009B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D7" w:rsidRDefault="007651D7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D7" w:rsidRDefault="009B5669">
    <w:pPr>
      <w:shd w:val="clear" w:color="auto" w:fill="FFFFFF"/>
      <w:spacing w:after="0" w:line="360" w:lineRule="auto"/>
      <w:ind w:firstLine="567"/>
      <w:jc w:val="right"/>
      <w:rPr>
        <w:rFonts w:ascii="GHEA Grapalat" w:eastAsia="GHEA Grapalat" w:hAnsi="GHEA Grapalat" w:cs="GHEA Grapalat"/>
        <w:b/>
        <w:i/>
      </w:rPr>
    </w:pPr>
    <w:r>
      <w:rPr>
        <w:rFonts w:ascii="GHEA Grapalat" w:eastAsia="GHEA Grapalat" w:hAnsi="GHEA Grapalat" w:cs="GHEA Grapalat"/>
        <w:b/>
        <w:i/>
      </w:rPr>
      <w:t>ՆԱԽԱԳԻԾ</w:t>
    </w:r>
  </w:p>
  <w:p w:rsidR="007651D7" w:rsidRDefault="007651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D7"/>
    <w:rsid w:val="000A107A"/>
    <w:rsid w:val="00544E7A"/>
    <w:rsid w:val="006C65DA"/>
    <w:rsid w:val="007651D7"/>
    <w:rsid w:val="009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4135CE-3F73-9C42-8ED0-6F1C5286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587"/>
  </w:style>
  <w:style w:type="paragraph" w:styleId="Heading1">
    <w:name w:val="heading 1"/>
    <w:basedOn w:val="Normal"/>
    <w:next w:val="Normal"/>
    <w:uiPriority w:val="9"/>
    <w:qFormat/>
    <w:rsid w:val="002F1C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2F1C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F1C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F1C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F1CD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F1C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F1CD7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NoList1">
    <w:name w:val="No List1"/>
    <w:next w:val="NoList"/>
    <w:uiPriority w:val="99"/>
    <w:semiHidden/>
    <w:unhideWhenUsed/>
    <w:rsid w:val="004A3A2E"/>
  </w:style>
  <w:style w:type="paragraph" w:styleId="Header">
    <w:name w:val="header"/>
    <w:basedOn w:val="Normal"/>
    <w:link w:val="HeaderChar"/>
    <w:uiPriority w:val="99"/>
    <w:unhideWhenUsed/>
    <w:rsid w:val="004A3A2E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A3A2E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4A3A2E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4A3A2E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A2E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2E"/>
    <w:rPr>
      <w:rFonts w:ascii="Tahoma" w:eastAsia="Calibri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A3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A2E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A2E"/>
    <w:rPr>
      <w:rFonts w:ascii="Calibri" w:eastAsia="Calibri" w:hAnsi="Calibri" w:cs="Calibri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A2E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4A3A2E"/>
    <w:pPr>
      <w:spacing w:after="0" w:line="240" w:lineRule="auto"/>
    </w:pPr>
    <w:rPr>
      <w:lang w:val="ru-RU"/>
    </w:rPr>
  </w:style>
  <w:style w:type="character" w:styleId="Strong">
    <w:name w:val="Strong"/>
    <w:basedOn w:val="DefaultParagraphFont"/>
    <w:uiPriority w:val="22"/>
    <w:qFormat/>
    <w:rsid w:val="004A3A2E"/>
    <w:rPr>
      <w:b/>
      <w:bCs/>
    </w:rPr>
  </w:style>
  <w:style w:type="table" w:styleId="TableGrid">
    <w:name w:val="Table Grid"/>
    <w:basedOn w:val="TableNormal"/>
    <w:rsid w:val="004A3A2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Абзац списка1,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uiPriority w:val="34"/>
    <w:qFormat/>
    <w:rsid w:val="004A3A2E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Абзац списка1 Char,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qFormat/>
    <w:locked/>
    <w:rsid w:val="004A3A2E"/>
    <w:rPr>
      <w:rFonts w:ascii="Calibri" w:eastAsia="Calibri" w:hAnsi="Calibri" w:cs="Calibri"/>
      <w:lang w:val="ru-RU"/>
    </w:rPr>
  </w:style>
  <w:style w:type="paragraph" w:styleId="FootnoteText">
    <w:name w:val="footnote text"/>
    <w:aliases w:val="single space,ft,ALTS FOOTNOTE,fn,Footnote Text Char Char,FOOTNOTES,ADB,Fußnote,footnote text Char,Footnote Text Char1 Char,Footnote Text Char1,Footnote Text Char2 Char,f,footnote text,Geneva 9,Font: Geneva 9,ft1,12pt,Footnote"/>
    <w:basedOn w:val="Normal"/>
    <w:link w:val="FootnoteTextChar"/>
    <w:uiPriority w:val="99"/>
    <w:unhideWhenUsed/>
    <w:qFormat/>
    <w:rsid w:val="004A3A2E"/>
    <w:pPr>
      <w:spacing w:after="0" w:line="240" w:lineRule="auto"/>
    </w:pPr>
    <w:rPr>
      <w:rFonts w:ascii="Times Armenian" w:eastAsia="MS Mincho" w:hAnsi="Times Armenian" w:cs="Sylfaen"/>
      <w:sz w:val="20"/>
      <w:szCs w:val="20"/>
      <w:lang w:eastAsia="ja-JP"/>
    </w:rPr>
  </w:style>
  <w:style w:type="character" w:customStyle="1" w:styleId="FootnoteTextChar">
    <w:name w:val="Footnote Text Char"/>
    <w:aliases w:val="single space Char,ft Char,ALTS FOOTNOTE Char,fn Char,Footnote Text Char Char Char,FOOTNOTES Char,ADB Char,Fußnote Char,footnote text Char Char,Footnote Text Char1 Char Char,Footnote Text Char1 Char1,Footnote Text Char2 Char Char"/>
    <w:basedOn w:val="DefaultParagraphFont"/>
    <w:link w:val="FootnoteText"/>
    <w:uiPriority w:val="99"/>
    <w:rsid w:val="004A3A2E"/>
    <w:rPr>
      <w:rFonts w:ascii="Times Armenian" w:eastAsia="MS Mincho" w:hAnsi="Times Armenian" w:cs="Sylfaen"/>
      <w:sz w:val="20"/>
      <w:szCs w:val="20"/>
      <w:lang w:eastAsia="ja-JP"/>
    </w:rPr>
  </w:style>
  <w:style w:type="character" w:styleId="FootnoteReference">
    <w:name w:val="footnote reference"/>
    <w:aliases w:val="ftref,16 Point,Superscript 6 Point,Ref,de nota al pie"/>
    <w:basedOn w:val="DefaultParagraphFont"/>
    <w:uiPriority w:val="99"/>
    <w:semiHidden/>
    <w:unhideWhenUsed/>
    <w:rsid w:val="004A3A2E"/>
    <w:rPr>
      <w:vertAlign w:val="superscript"/>
    </w:rPr>
  </w:style>
  <w:style w:type="character" w:customStyle="1" w:styleId="Bodytext5">
    <w:name w:val="Body text (5)_"/>
    <w:basedOn w:val="DefaultParagraphFont"/>
    <w:link w:val="Bodytext50"/>
    <w:rsid w:val="004A3A2E"/>
    <w:rPr>
      <w:sz w:val="16"/>
      <w:szCs w:val="16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A3A2E"/>
    <w:pPr>
      <w:widowControl w:val="0"/>
      <w:shd w:val="clear" w:color="auto" w:fill="FFFFFF"/>
      <w:spacing w:before="5520" w:after="0" w:line="0" w:lineRule="atLeast"/>
      <w:jc w:val="both"/>
    </w:pPr>
    <w:rPr>
      <w:sz w:val="16"/>
      <w:szCs w:val="16"/>
    </w:rPr>
  </w:style>
  <w:style w:type="character" w:customStyle="1" w:styleId="Heading10">
    <w:name w:val="Heading #1"/>
    <w:basedOn w:val="Heading11"/>
    <w:rsid w:val="004A3A2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Heading11">
    <w:name w:val="Heading #1_"/>
    <w:basedOn w:val="DefaultParagraphFont"/>
    <w:rsid w:val="004A3A2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0">
    <w:name w:val="Heading #3"/>
    <w:basedOn w:val="Heading31"/>
    <w:rsid w:val="004A3A2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Heading31">
    <w:name w:val="Heading #3_"/>
    <w:basedOn w:val="DefaultParagraphFont"/>
    <w:rsid w:val="004A3A2E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"/>
    <w:basedOn w:val="Bodytext20"/>
    <w:rsid w:val="004A3A2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0">
    <w:name w:val="Body text (2)_"/>
    <w:basedOn w:val="DefaultParagraphFont"/>
    <w:rsid w:val="004A3A2E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0">
    <w:name w:val="Heading #2"/>
    <w:basedOn w:val="Heading21"/>
    <w:rsid w:val="004A3A2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Heading21">
    <w:name w:val="Heading #2_"/>
    <w:basedOn w:val="DefaultParagraphFont"/>
    <w:rsid w:val="004A3A2E"/>
    <w:rPr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Bodytext3">
    <w:name w:val="Body text (3)"/>
    <w:basedOn w:val="Bodytext30"/>
    <w:rsid w:val="004A3A2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30">
    <w:name w:val="Body text (3)_"/>
    <w:basedOn w:val="DefaultParagraphFont"/>
    <w:rsid w:val="004A3A2E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"/>
    <w:basedOn w:val="Bodytext40"/>
    <w:rsid w:val="004A3A2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40">
    <w:name w:val="Body text (4)_"/>
    <w:basedOn w:val="DefaultParagraphFont"/>
    <w:rsid w:val="004A3A2E"/>
    <w:rPr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Bodytext49pt">
    <w:name w:val="Body text (4) + 9 pt"/>
    <w:aliases w:val="Bold,Not Italic,Heading #2 + 9 pt"/>
    <w:basedOn w:val="Bodytext40"/>
    <w:rsid w:val="004A3A2E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Headingnumber3">
    <w:name w:val="Heading number #3"/>
    <w:basedOn w:val="Headingnumber30"/>
    <w:rsid w:val="004A3A2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Headingnumber30">
    <w:name w:val="Heading number #3_"/>
    <w:basedOn w:val="DefaultParagraphFont"/>
    <w:rsid w:val="004A3A2E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110493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q4zkBihbqyCmD1YtvJbAwWPnZQ==">CgMxLjAyDmguaG9udWZuMWt4ZzkyMg5oLjUzeHgyZnBjcGluaTIOaC4xdndsMWtsZ2NvNnk4AHIhMUcyR3FKTFJGVWZHdlFmSUtpWHRWSF90X2h0NlItX3pa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5698</Words>
  <Characters>32485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</dc:creator>
  <cp:lastModifiedBy>Ministry of Justice of Armenia</cp:lastModifiedBy>
  <cp:revision>3</cp:revision>
  <dcterms:created xsi:type="dcterms:W3CDTF">2025-03-24T06:23:00Z</dcterms:created>
  <dcterms:modified xsi:type="dcterms:W3CDTF">2025-03-24T06:23:00Z</dcterms:modified>
</cp:coreProperties>
</file>