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7277" w14:textId="77777777" w:rsidR="00A06122" w:rsidRPr="00281289" w:rsidRDefault="00A06122" w:rsidP="00A06122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  <w:r w:rsidRPr="0028128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en-US" w:eastAsia="ru-RU"/>
        </w:rPr>
        <w:t>ՆԱԽԱԳԻԾ</w:t>
      </w:r>
    </w:p>
    <w:p w14:paraId="40F937A4" w14:textId="77777777" w:rsidR="00A06122" w:rsidRPr="00666A47" w:rsidRDefault="00A06122" w:rsidP="00271EEF">
      <w:pPr>
        <w:shd w:val="clear" w:color="auto" w:fill="FFFFFF"/>
        <w:spacing w:after="0" w:line="240" w:lineRule="auto"/>
        <w:ind w:left="-360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66A4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ՀԱՅԱՍՏԱՆԻ ՀԱՆՐԱՊԵՏՈՒԹՅԱՆ</w:t>
      </w:r>
    </w:p>
    <w:p w14:paraId="33D86486" w14:textId="77777777" w:rsidR="00A06122" w:rsidRPr="00666A47" w:rsidRDefault="00A06122" w:rsidP="00271EEF">
      <w:pPr>
        <w:shd w:val="clear" w:color="auto" w:fill="FFFFFF"/>
        <w:spacing w:after="0" w:line="240" w:lineRule="auto"/>
        <w:ind w:left="-360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0F952945" w14:textId="77777777" w:rsidR="00A06122" w:rsidRPr="00666A47" w:rsidRDefault="00A06122" w:rsidP="00271EEF">
      <w:pPr>
        <w:shd w:val="clear" w:color="auto" w:fill="FFFFFF"/>
        <w:spacing w:after="0" w:line="240" w:lineRule="auto"/>
        <w:ind w:left="-360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66A4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Օ Ր Ե Ն Ք Ը</w:t>
      </w:r>
    </w:p>
    <w:p w14:paraId="685D0592" w14:textId="77777777" w:rsidR="00A06122" w:rsidRPr="00666A47" w:rsidRDefault="00A06122" w:rsidP="00271EEF">
      <w:pPr>
        <w:shd w:val="clear" w:color="auto" w:fill="FFFFFF"/>
        <w:spacing w:after="0" w:line="240" w:lineRule="auto"/>
        <w:ind w:left="-360"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53AB9325" w14:textId="77777777" w:rsidR="00A06122" w:rsidRPr="00666A47" w:rsidRDefault="00A06122" w:rsidP="00271EEF">
      <w:pPr>
        <w:shd w:val="clear" w:color="auto" w:fill="FFFFFF"/>
        <w:spacing w:after="0" w:line="240" w:lineRule="auto"/>
        <w:ind w:left="-360"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7838DBDD" w14:textId="77777777" w:rsidR="00861EA7" w:rsidRPr="00666A47" w:rsidRDefault="00A06122" w:rsidP="00271EEF">
      <w:pPr>
        <w:shd w:val="clear" w:color="auto" w:fill="FFFFFF"/>
        <w:spacing w:after="0" w:line="240" w:lineRule="auto"/>
        <w:ind w:left="-360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eastAsia="ru-RU"/>
        </w:rPr>
      </w:pPr>
      <w:r w:rsidRPr="00666A4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«ՈՍՏԻԿԱՆՈՒԹՅՈՒՆՈՒՄ</w:t>
      </w:r>
      <w:r w:rsidRPr="00666A47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 </w:t>
      </w:r>
      <w:r w:rsidRPr="00666A47">
        <w:rPr>
          <w:rFonts w:ascii="GHEA Grapalat" w:eastAsia="Times New Roman" w:hAnsi="GHEA Grapalat" w:cs="Arial Unicode"/>
          <w:b/>
          <w:bCs/>
          <w:sz w:val="24"/>
          <w:szCs w:val="24"/>
          <w:lang w:eastAsia="ru-RU"/>
        </w:rPr>
        <w:t>ԾԱՌԱՅՈՒԹՅԱՆ</w:t>
      </w:r>
      <w:r w:rsidRPr="00666A47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 </w:t>
      </w:r>
      <w:r w:rsidRPr="00666A47">
        <w:rPr>
          <w:rFonts w:ascii="GHEA Grapalat" w:eastAsia="Times New Roman" w:hAnsi="GHEA Grapalat" w:cs="Arial Unicode"/>
          <w:b/>
          <w:bCs/>
          <w:sz w:val="24"/>
          <w:szCs w:val="24"/>
          <w:lang w:eastAsia="ru-RU"/>
        </w:rPr>
        <w:t>ՄԱՍԻՆ»</w:t>
      </w:r>
      <w:r w:rsidRPr="00666A47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 </w:t>
      </w:r>
      <w:r w:rsidRPr="00666A47">
        <w:rPr>
          <w:rFonts w:ascii="GHEA Grapalat" w:eastAsia="Times New Roman" w:hAnsi="GHEA Grapalat" w:cs="Arial Unicode"/>
          <w:b/>
          <w:bCs/>
          <w:sz w:val="24"/>
          <w:szCs w:val="24"/>
          <w:lang w:eastAsia="ru-RU"/>
        </w:rPr>
        <w:t>ՕՐԵՆՔՈՒՄ</w:t>
      </w:r>
      <w:r w:rsidRPr="00666A47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 </w:t>
      </w:r>
    </w:p>
    <w:p w14:paraId="38579CEE" w14:textId="77777777" w:rsidR="00A06122" w:rsidRPr="00666A47" w:rsidRDefault="00A06122" w:rsidP="00271EEF">
      <w:pPr>
        <w:shd w:val="clear" w:color="auto" w:fill="FFFFFF"/>
        <w:spacing w:after="0" w:line="240" w:lineRule="auto"/>
        <w:ind w:left="-360"/>
        <w:jc w:val="center"/>
        <w:rPr>
          <w:rFonts w:ascii="GHEA Grapalat" w:eastAsia="Times New Roman" w:hAnsi="GHEA Grapalat" w:cs="Arial Unicode"/>
          <w:b/>
          <w:bCs/>
          <w:sz w:val="24"/>
          <w:szCs w:val="24"/>
          <w:lang w:eastAsia="ru-RU"/>
        </w:rPr>
      </w:pPr>
      <w:r w:rsidRPr="00666A47">
        <w:rPr>
          <w:rFonts w:ascii="GHEA Grapalat" w:eastAsia="Times New Roman" w:hAnsi="GHEA Grapalat" w:cs="Arial Unicode"/>
          <w:b/>
          <w:bCs/>
          <w:sz w:val="24"/>
          <w:szCs w:val="24"/>
          <w:lang w:eastAsia="ru-RU"/>
        </w:rPr>
        <w:t>ՓՈՓՈԽՈՒԹՅՈՒՆՆԵՐ</w:t>
      </w:r>
      <w:r w:rsidRPr="00666A47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 </w:t>
      </w:r>
      <w:r w:rsidR="002B2530" w:rsidRPr="00666A47">
        <w:rPr>
          <w:rFonts w:ascii="GHEA Grapalat" w:eastAsia="Times New Roman" w:hAnsi="GHEA Grapalat" w:cs="Arial Unicode"/>
          <w:b/>
          <w:bCs/>
          <w:sz w:val="24"/>
          <w:szCs w:val="24"/>
          <w:lang w:eastAsia="ru-RU"/>
        </w:rPr>
        <w:t>ԵՎ</w:t>
      </w:r>
      <w:r w:rsidR="002B2530" w:rsidRPr="00666A47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 </w:t>
      </w:r>
      <w:r w:rsidR="002B2530" w:rsidRPr="00666A47">
        <w:rPr>
          <w:rFonts w:ascii="GHEA Grapalat" w:eastAsia="Times New Roman" w:hAnsi="GHEA Grapalat" w:cs="Arial Unicode"/>
          <w:b/>
          <w:bCs/>
          <w:sz w:val="24"/>
          <w:szCs w:val="24"/>
          <w:lang w:eastAsia="ru-RU"/>
        </w:rPr>
        <w:t>ԼՐԱՑՈՒՄՆԵՐ</w:t>
      </w:r>
      <w:r w:rsidR="002B2530" w:rsidRPr="00666A47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 xml:space="preserve"> </w:t>
      </w:r>
      <w:r w:rsidRPr="00666A47">
        <w:rPr>
          <w:rFonts w:ascii="GHEA Grapalat" w:eastAsia="Times New Roman" w:hAnsi="GHEA Grapalat" w:cs="Arial Unicode"/>
          <w:b/>
          <w:bCs/>
          <w:sz w:val="24"/>
          <w:szCs w:val="24"/>
          <w:lang w:eastAsia="ru-RU"/>
        </w:rPr>
        <w:t>ԿԱՏԱՐԵԼՈՒ</w:t>
      </w:r>
      <w:r w:rsidRPr="00666A47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 </w:t>
      </w:r>
      <w:r w:rsidRPr="00666A47">
        <w:rPr>
          <w:rFonts w:ascii="GHEA Grapalat" w:eastAsia="Times New Roman" w:hAnsi="GHEA Grapalat" w:cs="Arial Unicode"/>
          <w:b/>
          <w:bCs/>
          <w:sz w:val="24"/>
          <w:szCs w:val="24"/>
          <w:lang w:eastAsia="ru-RU"/>
        </w:rPr>
        <w:t>ՄԱՍԻՆ</w:t>
      </w:r>
    </w:p>
    <w:p w14:paraId="142C22D1" w14:textId="77777777" w:rsidR="00271DE2" w:rsidRPr="00666A47" w:rsidRDefault="00271DE2" w:rsidP="00271EEF">
      <w:pPr>
        <w:shd w:val="clear" w:color="auto" w:fill="FFFFFF"/>
        <w:spacing w:after="0" w:line="240" w:lineRule="auto"/>
        <w:ind w:left="-360"/>
        <w:jc w:val="center"/>
        <w:rPr>
          <w:rFonts w:ascii="GHEA Grapalat" w:eastAsia="Times New Roman" w:hAnsi="GHEA Grapalat" w:cs="Arial Unicode"/>
          <w:b/>
          <w:bCs/>
          <w:sz w:val="24"/>
          <w:szCs w:val="24"/>
          <w:lang w:eastAsia="ru-RU"/>
        </w:rPr>
      </w:pPr>
    </w:p>
    <w:p w14:paraId="08859C09" w14:textId="77777777" w:rsidR="006020A4" w:rsidRDefault="00271DE2" w:rsidP="00271EEF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 w:cs="Arial Unicode"/>
          <w:sz w:val="24"/>
          <w:szCs w:val="24"/>
          <w:lang w:val="hy-AM" w:eastAsia="ru-RU"/>
        </w:rPr>
      </w:pPr>
      <w:proofErr w:type="spellStart"/>
      <w:r w:rsidRPr="00666A4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Հոդված</w:t>
      </w:r>
      <w:proofErr w:type="spellEnd"/>
      <w:r w:rsidRPr="00666A47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 </w:t>
      </w:r>
      <w:r w:rsidRPr="00666A4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</w:t>
      </w:r>
      <w:r w:rsidRPr="00666A47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 </w:t>
      </w:r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«Ոստիկանությունում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ծառայության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մասին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» 2002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թվականի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հուլիսի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3-ի ՀՕ-401-Ն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օրենքի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այսուհետ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Օրենք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) 1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-</w:t>
      </w:r>
      <w:proofErr w:type="spellStart"/>
      <w:r w:rsidRPr="00666A47">
        <w:rPr>
          <w:rFonts w:ascii="GHEA Grapalat" w:eastAsia="Times New Roman" w:hAnsi="GHEA Grapalat" w:cs="Arial Unicode"/>
          <w:sz w:val="24"/>
          <w:szCs w:val="24"/>
          <w:lang w:eastAsia="ru-RU"/>
        </w:rPr>
        <w:t>րդ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Arial Unicode"/>
          <w:sz w:val="24"/>
          <w:szCs w:val="24"/>
          <w:lang w:eastAsia="ru-RU"/>
        </w:rPr>
        <w:t>հոդված</w:t>
      </w:r>
      <w:proofErr w:type="spellEnd"/>
      <w:r w:rsidR="006020A4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ում՝</w:t>
      </w:r>
      <w:r w:rsidR="00281289" w:rsidRPr="00666A47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 </w:t>
      </w:r>
    </w:p>
    <w:p w14:paraId="727297BE" w14:textId="026D9F85" w:rsidR="00281289" w:rsidRPr="006020A4" w:rsidRDefault="00281289" w:rsidP="006020A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6020A4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1-ին մասը շարադրել հետևյալ խմբագրությամբ</w:t>
      </w:r>
      <w:r w:rsidRPr="006020A4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</w:p>
    <w:p w14:paraId="3C7A64AE" w14:textId="1688D424" w:rsidR="00281289" w:rsidRPr="00666A47" w:rsidRDefault="00271DE2" w:rsidP="00281289">
      <w:pPr>
        <w:spacing w:line="360" w:lineRule="auto"/>
        <w:ind w:left="-360"/>
        <w:jc w:val="both"/>
        <w:rPr>
          <w:rFonts w:ascii="GHEA Grapalat" w:hAnsi="GHEA Grapalat"/>
          <w:sz w:val="24"/>
          <w:szCs w:val="24"/>
          <w:lang w:val="hy-AM"/>
        </w:rPr>
      </w:pP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</w:t>
      </w:r>
      <w:r w:rsidR="00281289" w:rsidRPr="00666A47">
        <w:rPr>
          <w:rFonts w:ascii="GHEA Grapalat" w:hAnsi="GHEA Grapalat"/>
          <w:sz w:val="24"/>
          <w:szCs w:val="24"/>
          <w:lang w:val="hy-AM"/>
        </w:rPr>
        <w:t xml:space="preserve">1. </w:t>
      </w:r>
      <w:r w:rsidR="00666A47" w:rsidRPr="00666A47">
        <w:rPr>
          <w:rFonts w:ascii="GHEA Grapalat" w:hAnsi="GHEA Grapalat"/>
          <w:sz w:val="24"/>
          <w:szCs w:val="24"/>
          <w:lang w:val="hy-AM"/>
        </w:rPr>
        <w:t>Ո</w:t>
      </w:r>
      <w:r w:rsidR="00281289" w:rsidRPr="00666A47">
        <w:rPr>
          <w:rFonts w:ascii="GHEA Grapalat" w:hAnsi="GHEA Grapalat"/>
          <w:sz w:val="24"/>
          <w:szCs w:val="24"/>
          <w:lang w:val="hy-AM"/>
        </w:rPr>
        <w:t>ստիկանությունում ծառայության կարող է անցնել Հայաստանի Հանրապետության 18 տարին լրացած (բացառությամբ Լիազոր մարմնի ուսումնական հաստատության իգական սեռի դիմորդների) այն քաղաքացին, որը`</w:t>
      </w:r>
    </w:p>
    <w:p w14:paraId="3E7548C5" w14:textId="77777777" w:rsidR="00281289" w:rsidRPr="00666A47" w:rsidRDefault="00281289" w:rsidP="00281289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 անցել է պարտադիր զինվորական ծառայություն (բացառությամբ իգական սեռի քաղաքացիների և «Զինվորական ծառայության և զինծառայողի կարգավիճակի մասին» օրենքով սահմանված կարգով զինվորական ծառայությունից ազատվելու դեպքերի).</w:t>
      </w:r>
    </w:p>
    <w:p w14:paraId="7C4062EB" w14:textId="03F9356F" w:rsidR="00271DE2" w:rsidRDefault="00281289" w:rsidP="00281289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2) տիրապետում է հայերենին և իր անձնական, գործնական հատկանիշներով, կրթությամբ, ֆիզիկական պատրաստականությամբ և առողջական վիճակով </w:t>
      </w:r>
      <w:r w:rsidR="00666A47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կարող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կատարել ոստիկանության գործառույթները</w:t>
      </w:r>
      <w:r w:rsidR="00271DE2" w:rsidRPr="00666A47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  <w:r w:rsidR="00666A47" w:rsidRPr="00666A47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6020A4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14:paraId="74EC8BC3" w14:textId="258E236D" w:rsidR="006020A4" w:rsidRPr="006020A4" w:rsidRDefault="006020A4" w:rsidP="00281289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2) 2-րդ մասն ուժը կորցրած ճանաչել։</w:t>
      </w:r>
    </w:p>
    <w:p w14:paraId="4D1FDE03" w14:textId="77777777" w:rsidR="00A06122" w:rsidRPr="00666A47" w:rsidRDefault="00A06122" w:rsidP="00271EEF">
      <w:pPr>
        <w:shd w:val="clear" w:color="auto" w:fill="FFFFFF"/>
        <w:spacing w:after="0" w:line="240" w:lineRule="auto"/>
        <w:ind w:left="-36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66A4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5A94F0AE" w14:textId="2DE4B607" w:rsidR="00A06122" w:rsidRPr="00666A47" w:rsidRDefault="00A06122" w:rsidP="00271EEF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66A4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Հոդված</w:t>
      </w:r>
      <w:r w:rsidR="00297BD4" w:rsidRPr="00666A4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2</w:t>
      </w:r>
      <w:r w:rsidRPr="00666A4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</w:t>
      </w:r>
      <w:r w:rsidRPr="00666A47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  <w:r w:rsidR="008428F8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րենքի 14-</w:t>
      </w:r>
      <w:r w:rsidRPr="00666A47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րդ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66A47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հոդվածում՝</w:t>
      </w:r>
    </w:p>
    <w:p w14:paraId="1EE22A04" w14:textId="77777777" w:rsidR="00A06122" w:rsidRPr="00666A47" w:rsidRDefault="00A06122" w:rsidP="00271EEF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66A4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 6-</w:t>
      </w:r>
      <w:r w:rsidRPr="00666A47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րդ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66A47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մաս</w:t>
      </w:r>
      <w:r w:rsidR="000E78DA" w:rsidRPr="00666A47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ը </w:t>
      </w:r>
      <w:r w:rsidRPr="00666A47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«հատկապես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66A47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րևոր գործերո</w:t>
      </w:r>
      <w:r w:rsidR="000E78DA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 ավագ քրեական ոստիկանի» բառերից հետո լրացնել </w:t>
      </w:r>
      <w:r w:rsidR="000E78DA" w:rsidRPr="00666A47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 xml:space="preserve">«, </w:t>
      </w:r>
      <w:r w:rsidR="000E78DA" w:rsidRPr="00666A4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համայնքային ոստիկանի, ավագ համայնքային ոստիկանի և հատկապես կարևոր գործերով ավագ համայնքային ոստիկանի</w:t>
      </w:r>
      <w:r w:rsidR="000E78DA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բառերով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0E78DA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</w:p>
    <w:p w14:paraId="65729705" w14:textId="77777777" w:rsidR="00A06122" w:rsidRPr="00666A47" w:rsidRDefault="00A06122" w:rsidP="00271EEF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 լրա</w:t>
      </w:r>
      <w:r w:rsidR="000E78DA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ցնել հետևյալ բովանդակությամբ 6.3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մասով.</w:t>
      </w:r>
    </w:p>
    <w:p w14:paraId="7818842A" w14:textId="3A125383" w:rsidR="00A06122" w:rsidRPr="00666A47" w:rsidRDefault="00A06122" w:rsidP="00271EEF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«6.</w:t>
      </w:r>
      <w:r w:rsidR="000E78DA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0E78DA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Համայնքային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ոստիկանի պաշտոնում կարող են նշանակվել միայն այն անձինք, որոնք ունեն առնվազն բակալավրի որակավորում և Լիազոր մարմնի ուսումնական հաստատությունում ստացել են </w:t>
      </w:r>
      <w:r w:rsidR="000E78DA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համայնքային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ոստիկանի </w:t>
      </w:r>
      <w:r w:rsidR="002C1EE5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արհեստագործական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կրթություն: Ոստիկանության ստորաբաժանումների՝ առնվազն բակալավրի որակավորում ունեցող ծառայողների նշանակումը </w:t>
      </w:r>
      <w:r w:rsidR="000E78DA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համայնքային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ոստիկանության միջին, ավագ և գլխավոր խմբերի պաշտոններում կատարվում է </w:t>
      </w:r>
      <w:r w:rsidR="00271EEF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միայն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Լիազոր մարմնի ուսումնական հաստատությունում վերապատրաստման դասընթացն ավարտելուց հետո:»:</w:t>
      </w:r>
    </w:p>
    <w:p w14:paraId="5F9327EE" w14:textId="77777777" w:rsidR="002C1EE5" w:rsidRPr="00666A47" w:rsidRDefault="002C1EE5" w:rsidP="00271EEF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B6FCC39" w14:textId="77777777" w:rsidR="00392533" w:rsidRPr="00666A47" w:rsidRDefault="00392533" w:rsidP="00271EEF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66A4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Հոդված</w:t>
      </w:r>
      <w:r w:rsidR="00297BD4" w:rsidRPr="00666A4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3</w:t>
      </w:r>
      <w:r w:rsidRPr="00666A4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Օրենքի </w:t>
      </w:r>
      <w:r w:rsidR="002C1EE5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14-րդ հոդվածի 6.1-ին, 6.2-րդ, 8-րդ մասերում, </w:t>
      </w:r>
      <w:r w:rsidR="00B33B76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40-րդ հոդվածի 2-րդ մասի 1-ին կետում, 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55.1-ին հոդվածի 1-ին</w:t>
      </w:r>
      <w:r w:rsidR="00163F3A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5-րդ և 6-րդ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մաս</w:t>
      </w:r>
      <w:r w:rsidR="00163F3A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</w:t>
      </w:r>
      <w:r w:rsidRPr="00666A47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«նախնական մասնագիտական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բառերը փոխարինել </w:t>
      </w:r>
      <w:r w:rsidRPr="00666A47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«արհեստագործական</w:t>
      </w:r>
      <w:r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բառով: </w:t>
      </w:r>
    </w:p>
    <w:p w14:paraId="53EA723D" w14:textId="77777777" w:rsidR="00271EEF" w:rsidRPr="00666A47" w:rsidRDefault="00271EEF" w:rsidP="00271EEF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AFA7CB9" w14:textId="77777777" w:rsidR="00A06122" w:rsidRPr="00666A47" w:rsidRDefault="00A06122" w:rsidP="00271EEF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66A47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614938" w:rsidRPr="00666A4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Հոդված </w:t>
      </w:r>
      <w:r w:rsidR="00297BD4" w:rsidRPr="00666A4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4</w:t>
      </w:r>
      <w:r w:rsidR="00614938" w:rsidRPr="00666A47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</w:t>
      </w:r>
      <w:r w:rsidR="00614938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Օրենքի 15-րդ հոդվածի 7-րդ մասը ուժը կորցրած ճանաչել։</w:t>
      </w:r>
    </w:p>
    <w:p w14:paraId="51E2A0D0" w14:textId="77777777" w:rsidR="00271EEF" w:rsidRPr="00666A47" w:rsidRDefault="00271EEF" w:rsidP="00271EEF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8160"/>
      </w:tblGrid>
      <w:tr w:rsidR="00666A47" w:rsidRPr="00666A47" w14:paraId="4CB203F0" w14:textId="77777777" w:rsidTr="00A06122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14:paraId="768FB320" w14:textId="77777777" w:rsidR="00A06122" w:rsidRPr="00666A47" w:rsidRDefault="00206546" w:rsidP="00271EEF">
            <w:pPr>
              <w:spacing w:after="0" w:line="360" w:lineRule="auto"/>
              <w:ind w:left="-36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66A4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   </w:t>
            </w:r>
            <w:r w:rsidR="00614938" w:rsidRPr="00666A4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 </w:t>
            </w:r>
            <w:proofErr w:type="spellStart"/>
            <w:r w:rsidR="00A06122" w:rsidRPr="00666A4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Հոդված</w:t>
            </w:r>
            <w:proofErr w:type="spellEnd"/>
            <w:r w:rsidR="00297BD4" w:rsidRPr="00666A4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5</w:t>
            </w:r>
            <w:r w:rsidR="00A06122" w:rsidRPr="00666A4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14:paraId="01D7BE73" w14:textId="7E401A3C" w:rsidR="00A06122" w:rsidRPr="00666A47" w:rsidRDefault="00A06122" w:rsidP="00271EEF">
            <w:pPr>
              <w:spacing w:after="0" w:line="360" w:lineRule="auto"/>
              <w:ind w:left="-36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1E07437C" w14:textId="77777777" w:rsidR="00A06122" w:rsidRPr="00666A47" w:rsidRDefault="00A06122" w:rsidP="00271EEF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1.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Սույն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օրենքն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ուժի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մեջ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մտնում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պաշտոնական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հրապարակմանը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հաջորդող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օրվանից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17B4ADE9" w14:textId="77777777" w:rsidR="00A06122" w:rsidRPr="00666A47" w:rsidRDefault="00A06122" w:rsidP="00271EEF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2.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Սույն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օրենքի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297BD4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CC7565"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-</w:t>
      </w:r>
      <w:r w:rsidR="00297BD4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հոդվածի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2-րդ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կետով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նախատեսված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պայմանը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կիրառելի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միայն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Լիազոր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մարմնի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ուսումնական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հաստատությունում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C7565" w:rsidRPr="00666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համայնքային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ոստիկանի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B33B76" w:rsidRPr="00666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արհեստագործական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կրթություն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ստացած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առաջին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հոսքի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շրջանավարտների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նկատմամբ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որոնց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շնորհվում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առնվազն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ոստիկանության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լեյտենանտի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կոչում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ինչպես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նաև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Լիազոր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մարմնի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ուսումնական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հաստատությունում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վերապատրաստման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դասընթացն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ավարտած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="00CC7565" w:rsidRPr="00666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համայնքային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ոստիկանության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միջին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ավագ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գլխավոր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խմբերի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պաշտոններում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նշանակվող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ոստիկանության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ծառայողների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նկատմամբ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Այդ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շրջանավարտները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ծառայողները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համարվում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հավելավճար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նախատեսող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ատեստավորում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անցած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Մինչև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C7565" w:rsidRPr="00666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համայնքային</w:t>
      </w:r>
      <w:proofErr w:type="spellEnd"/>
      <w:r w:rsidR="00CC7565"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ոստիկանության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միջին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ավագ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գլխավոր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խմբերի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պաշտոններում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նշանակվելը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ատեստավորում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անցած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ծառայողների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ատեստավորման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արդյունքները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պահպանվում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մինչև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C7565" w:rsidRPr="00666A47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համայնքային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ոստիկանության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համապատասխան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խմբերի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պաշտոններում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նշանակվելը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CC7565"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14:paraId="09809086" w14:textId="77777777" w:rsidR="000E78DA" w:rsidRPr="00666A47" w:rsidRDefault="00A06122" w:rsidP="00271EEF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3.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Սույն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օրենքի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297BD4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CC7565"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-</w:t>
      </w:r>
      <w:r w:rsidR="00297BD4" w:rsidRPr="00666A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հոդվածի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2-րդ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կետով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նախատեսված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պայմանը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չի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տարածվում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Լիազոր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մարմնի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ուսումնական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հաստատությունում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պետական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պատվերի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շրջան</w:t>
      </w:r>
      <w:r w:rsidR="00802656"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ակում</w:t>
      </w:r>
      <w:proofErr w:type="spellEnd"/>
      <w:r w:rsidR="00802656"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«</w:t>
      </w:r>
      <w:proofErr w:type="spellStart"/>
      <w:r w:rsidR="00802656"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Իրավագիտության</w:t>
      </w:r>
      <w:proofErr w:type="spellEnd"/>
      <w:r w:rsidR="00802656"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802656"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բակալավր</w:t>
      </w:r>
      <w:proofErr w:type="spellEnd"/>
      <w:r w:rsidR="00802656"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»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մասնագիտական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որակավորում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ստացած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այն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շրջանավարտների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վրա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որոնք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նշված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որակավորումներն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ստացել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սույն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օրենքն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ուժի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մեջ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մտնելուց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հետո</w:t>
      </w:r>
      <w:proofErr w:type="spellEnd"/>
      <w:r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>։</w:t>
      </w:r>
      <w:r w:rsidR="00B33B76" w:rsidRPr="00666A4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14:paraId="24352618" w14:textId="77777777" w:rsidR="002865C2" w:rsidRPr="00281289" w:rsidRDefault="002865C2" w:rsidP="00271EEF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26033026" w14:textId="77777777" w:rsidR="002865C2" w:rsidRPr="00281289" w:rsidRDefault="002865C2" w:rsidP="00271EEF">
      <w:pPr>
        <w:shd w:val="clear" w:color="auto" w:fill="FFFFFF"/>
        <w:spacing w:after="0" w:line="360" w:lineRule="auto"/>
        <w:ind w:left="-36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tbl>
      <w:tblPr>
        <w:tblW w:w="10620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4326"/>
        <w:gridCol w:w="6294"/>
      </w:tblGrid>
      <w:tr w:rsidR="002865C2" w:rsidRPr="00281289" w14:paraId="364199FD" w14:textId="77777777" w:rsidTr="00271EEF">
        <w:tc>
          <w:tcPr>
            <w:tcW w:w="432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AFBF1" w14:textId="77777777" w:rsidR="002865C2" w:rsidRPr="00281289" w:rsidRDefault="002865C2" w:rsidP="00271EEF">
            <w:pPr>
              <w:spacing w:line="240" w:lineRule="auto"/>
              <w:ind w:left="74" w:hanging="2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281289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Հայաստանի </w:t>
            </w:r>
            <w:proofErr w:type="spellStart"/>
            <w:r w:rsidRPr="0028128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Հանրապետության</w:t>
            </w:r>
            <w:proofErr w:type="spellEnd"/>
            <w:r w:rsidRPr="0028128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8128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նախագահ</w:t>
            </w:r>
            <w:proofErr w:type="spellEnd"/>
          </w:p>
        </w:tc>
        <w:tc>
          <w:tcPr>
            <w:tcW w:w="629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6CB4C" w14:textId="77777777" w:rsidR="00271EEF" w:rsidRPr="00281289" w:rsidRDefault="002865C2" w:rsidP="00271EEF">
            <w:pPr>
              <w:spacing w:line="240" w:lineRule="auto"/>
              <w:ind w:left="-360" w:hanging="2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281289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                                  </w:t>
            </w:r>
          </w:p>
          <w:p w14:paraId="34803A19" w14:textId="3100F1F5" w:rsidR="002865C2" w:rsidRPr="00281289" w:rsidRDefault="00271EEF" w:rsidP="00271EEF">
            <w:pPr>
              <w:spacing w:line="240" w:lineRule="auto"/>
              <w:ind w:left="-360" w:hanging="2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281289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                                                         </w:t>
            </w:r>
            <w:r w:rsidR="002865C2" w:rsidRPr="00281289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 </w:t>
            </w:r>
            <w:r w:rsidR="002865C2" w:rsidRPr="0028128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Վ.</w:t>
            </w:r>
            <w:r w:rsidR="002865C2" w:rsidRPr="00281289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="002865C2" w:rsidRPr="00281289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Խաչատուրյան</w:t>
            </w:r>
            <w:proofErr w:type="spellEnd"/>
          </w:p>
        </w:tc>
      </w:tr>
    </w:tbl>
    <w:p w14:paraId="0DBD4EA3" w14:textId="77777777" w:rsidR="002865C2" w:rsidRPr="00281289" w:rsidRDefault="002865C2" w:rsidP="002865C2">
      <w:pPr>
        <w:rPr>
          <w:rFonts w:ascii="GHEA Grapalat" w:hAnsi="GHEA Grapalat"/>
          <w:sz w:val="24"/>
          <w:szCs w:val="24"/>
        </w:rPr>
      </w:pPr>
    </w:p>
    <w:p w14:paraId="327E80E2" w14:textId="77777777" w:rsidR="002865C2" w:rsidRPr="00281289" w:rsidRDefault="002865C2" w:rsidP="00FA266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sectPr w:rsidR="002865C2" w:rsidRPr="00281289" w:rsidSect="00271EEF">
      <w:pgSz w:w="11906" w:h="16838"/>
      <w:pgMar w:top="568" w:right="566" w:bottom="4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E56D8"/>
    <w:multiLevelType w:val="hybridMultilevel"/>
    <w:tmpl w:val="FE525774"/>
    <w:lvl w:ilvl="0" w:tplc="64EE9480">
      <w:start w:val="1"/>
      <w:numFmt w:val="decimal"/>
      <w:lvlText w:val="%1)"/>
      <w:lvlJc w:val="left"/>
      <w:pPr>
        <w:ind w:left="375" w:hanging="360"/>
      </w:pPr>
      <w:rPr>
        <w:rFonts w:eastAsia="Times New Rom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num w:numId="1" w16cid:durableId="42874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EFE"/>
    <w:rsid w:val="000D284E"/>
    <w:rsid w:val="000E78DA"/>
    <w:rsid w:val="00163F3A"/>
    <w:rsid w:val="00167A39"/>
    <w:rsid w:val="001C0004"/>
    <w:rsid w:val="00206546"/>
    <w:rsid w:val="00271DE2"/>
    <w:rsid w:val="00271EDA"/>
    <w:rsid w:val="00271EEF"/>
    <w:rsid w:val="00281289"/>
    <w:rsid w:val="002865C2"/>
    <w:rsid w:val="00297BD4"/>
    <w:rsid w:val="002B2530"/>
    <w:rsid w:val="002B3D3D"/>
    <w:rsid w:val="002C1EE5"/>
    <w:rsid w:val="00392533"/>
    <w:rsid w:val="003F7309"/>
    <w:rsid w:val="004E1EFE"/>
    <w:rsid w:val="006020A4"/>
    <w:rsid w:val="00614938"/>
    <w:rsid w:val="00666A47"/>
    <w:rsid w:val="00802656"/>
    <w:rsid w:val="008428F8"/>
    <w:rsid w:val="00861EA7"/>
    <w:rsid w:val="00910936"/>
    <w:rsid w:val="009B1E78"/>
    <w:rsid w:val="00A06122"/>
    <w:rsid w:val="00A33E18"/>
    <w:rsid w:val="00AD37CB"/>
    <w:rsid w:val="00B03A14"/>
    <w:rsid w:val="00B33B76"/>
    <w:rsid w:val="00C62719"/>
    <w:rsid w:val="00CB1E87"/>
    <w:rsid w:val="00CC7565"/>
    <w:rsid w:val="00DB2A4F"/>
    <w:rsid w:val="00ED7C9E"/>
    <w:rsid w:val="00FA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70A1"/>
  <w15:chartTrackingRefBased/>
  <w15:docId w15:val="{CB332196-C6A5-44F8-9BBA-64E991E2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A06122"/>
    <w:rPr>
      <w:b/>
      <w:bCs/>
    </w:rPr>
  </w:style>
  <w:style w:type="paragraph" w:styleId="ListParagraph">
    <w:name w:val="List Paragraph"/>
    <w:basedOn w:val="Normal"/>
    <w:uiPriority w:val="34"/>
    <w:qFormat/>
    <w:rsid w:val="00602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383</Words>
  <Characters>2800</Characters>
  <Application>Microsoft Office Word</Application>
  <DocSecurity>0</DocSecurity>
  <Lines>68</Lines>
  <Paragraphs>23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>https://mul2-mia.gov.am/tasks/3981115/oneclick?token=e294ac81e714c2cdd8944e86eb785826</cp:keywords>
  <dc:description/>
  <cp:lastModifiedBy>Ruslan Marandyan</cp:lastModifiedBy>
  <cp:revision>41</cp:revision>
  <dcterms:created xsi:type="dcterms:W3CDTF">2024-12-23T05:25:00Z</dcterms:created>
  <dcterms:modified xsi:type="dcterms:W3CDTF">2025-03-19T14:55:00Z</dcterms:modified>
</cp:coreProperties>
</file>