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4A35" w14:textId="77777777" w:rsidR="005D790A" w:rsidRPr="00EB04B8" w:rsidRDefault="005D790A" w:rsidP="00EB04B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4619651" w14:textId="77777777" w:rsidR="005A667C" w:rsidRPr="00EB04B8" w:rsidRDefault="005A667C" w:rsidP="00EB04B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04B8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1ED06AB5" w14:textId="4A0C8C8D" w:rsidR="005A667C" w:rsidRPr="00EB04B8" w:rsidRDefault="005A667C" w:rsidP="00EB04B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B04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2020 ԹՎԱԿԱՆԻ ՀՈՒԼԻՍԻ 9-Ի N 1159-Ն ՈՐՈՇՄԱՆ ՄԵՋ </w:t>
      </w:r>
      <w:r w:rsidR="00D25C49" w:rsidRPr="00EB04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ԼՐԱՑՈՒՄ ԵՎ </w:t>
      </w:r>
      <w:r w:rsidRPr="00EB04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 ԿԱՏԱՐԵԼՈՒ ՄԱՍԻՆ» ՀՀ ԿԱՌԱՎԱՐՈՒԹՅԱՆ ՈՐՈՇՄԱՆ ՆԱԽԱԳԾԻ ՎԵՐԱԲԵՐՅԱԼ</w:t>
      </w:r>
    </w:p>
    <w:p w14:paraId="3C9A6DF5" w14:textId="77777777" w:rsidR="005A667C" w:rsidRPr="00EB04B8" w:rsidRDefault="005A667C" w:rsidP="00EB04B8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B791F6E" w14:textId="5E78D2DD" w:rsidR="0093199E" w:rsidRPr="0033310C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33310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14:paraId="40B7871E" w14:textId="5C3E59BA" w:rsidR="00451656" w:rsidRPr="00EB04B8" w:rsidRDefault="006E34E4" w:rsidP="00EB04B8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«Կառավարության կառուցվածքի և գործունեության մասին» օրենքում փոփոխություններ և լրացումներ կատարելու մասին» 2022 թվականի դեկտեմբերի 16-ի ՀՕ-457-Ն օրենքի 1-ին հոդվածի 1-ին կետով ՀՀ արտակարգ իրավիճակների նախարարության գործունեությունը դադարեցվեց, իսկ 2-րդ կետով ստեղծվեց ՀՀ ներքին գործերի նախարարությունը</w:t>
      </w:r>
      <w:r w:rsidR="003E4922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Նախարարություն)</w:t>
      </w:r>
      <w:r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3E4922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63F3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Նշված օ</w:t>
      </w:r>
      <w:r w:rsidR="003E4922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րենքի 2-րդ հոդվածի 2-րդ կետով Նախարարությանը </w:t>
      </w:r>
      <w:r w:rsidR="00363F3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վերապահվեց </w:t>
      </w:r>
      <w:r w:rsidR="003E4922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գործունեության հիմնական ոլորտները։ Միաժամանակ </w:t>
      </w:r>
      <w:r w:rsidR="00CD163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Ազգային ժողովի կողմից ընդունվեց </w:t>
      </w:r>
      <w:r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«Պետական կառավարման համակարգի մարմինների մասին» օրենքում փոփոխություններ և լրացում կատարելու մասին» 2022 թվականի</w:t>
      </w:r>
      <w:r w:rsidR="00CD163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դեկտեմբերի 16-ի ՀՕ-458-Ն օրենքը</w:t>
      </w:r>
      <w:r w:rsidR="00363F3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Օրենք)</w:t>
      </w:r>
      <w:r w:rsidR="00CD163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r w:rsidR="00363F3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CD163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րենքով ՀՀ ոստիկանությունը դարձավ նախարարությանը ենթակա մարմին, իսկ</w:t>
      </w:r>
      <w:r w:rsidR="00363F3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Միգրացիոն ծառայությունը անվանափոխվեց Միգրացիայի և քաղաքացիության ծառայության։ </w:t>
      </w:r>
      <w:r w:rsidR="00033DD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3-րդ հոդվածի 3-րդ մասի համաձայն</w:t>
      </w:r>
      <w:r w:rsidR="0045165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փոփոխություն կատարվեց </w:t>
      </w:r>
      <w:r w:rsidR="00CD163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2018 թվականի մայիսի 22-ի </w:t>
      </w:r>
      <w:r w:rsidR="006B4855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«Նախարարությանը ենթակա մարմինների ենթակայությունը սահմանելու մասին» </w:t>
      </w:r>
      <w:r w:rsidR="00363F33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580-Ա որոշման </w:t>
      </w:r>
      <w:r w:rsidR="008D5F1B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մեջ, որի արդյունքում </w:t>
      </w:r>
      <w:r w:rsidR="00CF4549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Ոստիկանությունը և Մի</w:t>
      </w:r>
      <w:r w:rsidR="0045165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գրացիայի և քաղաքացիության ծառայությունը դար</w:t>
      </w:r>
      <w:r w:rsidR="00DA28C7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ձան </w:t>
      </w:r>
      <w:r w:rsidR="00451656"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Նախարարությանը ենթակա մարմիններ։</w:t>
      </w:r>
    </w:p>
    <w:p w14:paraId="5BC760AA" w14:textId="2164EA75" w:rsidR="001C6EB4" w:rsidRPr="00EB04B8" w:rsidRDefault="00451656" w:rsidP="00EB04B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EB0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Վերոգրյալով պայմանավորված անհրաժեշտություն է առաջացել փոփոխություն կատարել </w:t>
      </w:r>
      <w:r w:rsidR="00777345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ՀՀ</w:t>
      </w:r>
      <w:r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կառավարության 2020 թվականի հուլիսի 9-ի </w:t>
      </w:r>
      <w:r w:rsidR="00777345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DA28C7" w:rsidRPr="00EB04B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Օրենսդրական ակտի և Հայաստանի Հանրապետության կառավարության որոշման վերաբերյալ պաշտոնական պարզաբանում տվող պետական կառավարման համակարգի մարմինների և համապատասխան բնագավառների ցանկը սահմանելու մասին</w:t>
      </w:r>
      <w:r w:rsidR="00777345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N 1159-Ն որոշման </w:t>
      </w:r>
      <w:r w:rsidR="009C3E34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եջ</w:t>
      </w:r>
      <w:r w:rsidR="009C3E34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։ Մասնավորապես՝ նշված որոշման 1-ին կետով հաստատված հավելվածից հանել ՀՀ արտակար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գ իրավիճակների նախարարությունը և</w:t>
      </w:r>
      <w:r w:rsidR="009C3E34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լրացնել </w:t>
      </w:r>
      <w:r w:rsidR="00E323CE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9C3E34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ախարարությունը, 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ինչպես նաև </w:t>
      </w:r>
      <w:r w:rsidR="009C3E34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ՀՀ ոստիկանությանը վերապահված բնագավառների մասով պաշտոնական պարզաբանում ներկայացնելու իրավասությունը</w:t>
      </w:r>
      <w:r w:rsidR="00C54916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վերապահել Նախարարությանը</w:t>
      </w:r>
      <w:r w:rsidR="00E323CE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։</w:t>
      </w:r>
      <w:r w:rsidR="00B261E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Բացի այդ,</w:t>
      </w:r>
      <w:r w:rsidR="00C54916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ՀՀ տարածքային կառավարման և ենթակառուցվածքների նախարարությանը </w:t>
      </w:r>
      <w:r w:rsidR="000E14AD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վերապահված </w:t>
      </w:r>
      <w:r w:rsidR="00C54916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մի շարք ոլորտներում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8316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փախստականների և ապաստանի հարցեր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14703" w:rsidRPr="00EB04B8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հետընդունման (ռեադմիսիայի), 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օտարերկրացի աշխատողի համար աշխատանքային գործունեու</w:t>
      </w:r>
      <w:r w:rsidR="008316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թյան հիմքով կացության կարգավիճակ և այլն</w:t>
      </w:r>
      <w:r w:rsidR="00E1470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="00C54916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պաշտոնական պարզաբանում </w:t>
      </w:r>
      <w:r w:rsidR="00C05525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ներկայացնելը</w:t>
      </w:r>
      <w:r w:rsidR="000A081D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14AD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վերապահել Նախա</w:t>
      </w:r>
      <w:r w:rsidR="00C05525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րարությանը, քանի որ </w:t>
      </w:r>
      <w:r w:rsidR="000E14AD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Միգրացիոն ծառայությունը անվանափոխվեց Միգրացիայի և քաղաքացիության ծառայության, և </w:t>
      </w:r>
      <w:r w:rsidR="000A081D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դարձավ Նախարարությանն ենթակա </w:t>
      </w:r>
      <w:r w:rsidR="0035494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պետական կառավարման համակարգի </w:t>
      </w:r>
      <w:r w:rsidR="000A081D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մարմին։</w:t>
      </w:r>
      <w:r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323CE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Արդյունքում՝ Նախարարությանը և նրան ենթակա պետական </w:t>
      </w:r>
      <w:r w:rsidR="00354943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կառավարման համակարգի </w:t>
      </w:r>
      <w:r w:rsidR="00E323CE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մարմիններին օրենքով վերապահված</w:t>
      </w:r>
      <w:r w:rsidR="001E35D9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գործունեության հիմնական ոլորտներում </w:t>
      </w:r>
      <w:r w:rsidR="00E323CE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պարզաբանում տրամադր</w:t>
      </w:r>
      <w:r w:rsidR="001E35D9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ում է Նախարարությու</w:t>
      </w:r>
      <w:r w:rsidR="00E323CE" w:rsidRPr="00EB04B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նը։</w:t>
      </w:r>
    </w:p>
    <w:p w14:paraId="0AD440A3" w14:textId="77777777" w:rsidR="001C6EB4" w:rsidRPr="0033310C" w:rsidRDefault="001C6EB4" w:rsidP="00EB04B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BC06FC1" w14:textId="53DFE6FA" w:rsidR="0093199E" w:rsidRPr="0033310C" w:rsidRDefault="0093199E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33310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Առաջարկվող կարգավորման բնույթը</w:t>
      </w:r>
    </w:p>
    <w:p w14:paraId="708BFDFA" w14:textId="77777777" w:rsidR="001B621E" w:rsidRPr="00EB04B8" w:rsidRDefault="000A081D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B04B8">
        <w:rPr>
          <w:rFonts w:ascii="GHEA Grapalat" w:hAnsi="GHEA Grapalat"/>
          <w:bCs/>
          <w:sz w:val="24"/>
          <w:szCs w:val="24"/>
          <w:lang w:val="hy-AM"/>
        </w:rPr>
        <w:t xml:space="preserve">Առաջարկվում է Հայաստանի Հանրապետության կառավարության 2020 թվականի հուլիսի 9-ի N 1159-Ն որոշման մեջ կատարել փոփոխություններ՝ հիմք ընդունելով վերոգրյալ օրենքների կարգավորումները, </w:t>
      </w:r>
      <w:r w:rsidR="00B75BC8" w:rsidRPr="00EB04B8">
        <w:rPr>
          <w:rFonts w:ascii="GHEA Grapalat" w:hAnsi="GHEA Grapalat"/>
          <w:bCs/>
          <w:sz w:val="24"/>
          <w:szCs w:val="24"/>
          <w:lang w:val="hy-AM"/>
        </w:rPr>
        <w:t>և որի արդյունքում Նախարարությունը կ</w:t>
      </w:r>
      <w:r w:rsidR="009B6116" w:rsidRPr="00EB04B8">
        <w:rPr>
          <w:rFonts w:ascii="GHEA Grapalat" w:hAnsi="GHEA Grapalat"/>
          <w:bCs/>
          <w:sz w:val="24"/>
          <w:szCs w:val="24"/>
          <w:lang w:val="hy-AM"/>
        </w:rPr>
        <w:t xml:space="preserve">ամրագրվի պաշտոնական պարզաբանում տրամադրելու </w:t>
      </w:r>
      <w:r w:rsidR="00B75BC8" w:rsidRPr="00EB04B8">
        <w:rPr>
          <w:rFonts w:ascii="GHEA Grapalat" w:hAnsi="GHEA Grapalat"/>
          <w:bCs/>
          <w:sz w:val="24"/>
          <w:szCs w:val="24"/>
          <w:lang w:val="hy-AM"/>
        </w:rPr>
        <w:t xml:space="preserve">պետական կառավարման համակարգի մարմինների ցանկում և </w:t>
      </w:r>
      <w:r w:rsidR="009B6116" w:rsidRPr="00EB04B8">
        <w:rPr>
          <w:rFonts w:ascii="GHEA Grapalat" w:hAnsi="GHEA Grapalat"/>
          <w:bCs/>
          <w:sz w:val="24"/>
          <w:szCs w:val="24"/>
          <w:lang w:val="hy-AM"/>
        </w:rPr>
        <w:t xml:space="preserve">կտրամադրի պաշտոնական պարզաբանումներ՝ համաձայն «Նորմատիվ իրավական ակտերի մասին» օրենքի </w:t>
      </w:r>
      <w:r w:rsidR="009C5E19" w:rsidRPr="00EB04B8">
        <w:rPr>
          <w:rFonts w:ascii="GHEA Grapalat" w:hAnsi="GHEA Grapalat"/>
          <w:bCs/>
          <w:sz w:val="24"/>
          <w:szCs w:val="24"/>
          <w:lang w:val="hy-AM"/>
        </w:rPr>
        <w:t>11-րդ գլխի</w:t>
      </w:r>
      <w:r w:rsidR="00B75BC8" w:rsidRPr="00EB04B8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459B48DF" w14:textId="40ED97DB" w:rsidR="000A081D" w:rsidRPr="00EB04B8" w:rsidRDefault="000A081D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71475FF6" w14:textId="77777777" w:rsidR="0093199E" w:rsidRPr="0033310C" w:rsidRDefault="0093199E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33310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 xml:space="preserve"> Ակնկալվող արդյունքը</w:t>
      </w:r>
    </w:p>
    <w:p w14:paraId="5A394F1C" w14:textId="339FE133" w:rsidR="0093199E" w:rsidRPr="00EB04B8" w:rsidRDefault="00981874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B04B8">
        <w:rPr>
          <w:rFonts w:ascii="GHEA Grapalat" w:hAnsi="GHEA Grapalat"/>
          <w:bCs/>
          <w:sz w:val="24"/>
          <w:szCs w:val="24"/>
          <w:lang w:val="hy-AM"/>
        </w:rPr>
        <w:t xml:space="preserve">Նախարարության կողմից </w:t>
      </w:r>
      <w:r w:rsidR="009C011F" w:rsidRPr="00EB04B8">
        <w:rPr>
          <w:rFonts w:ascii="GHEA Grapalat" w:hAnsi="GHEA Grapalat"/>
          <w:bCs/>
          <w:sz w:val="24"/>
          <w:szCs w:val="24"/>
          <w:lang w:val="hy-AM"/>
        </w:rPr>
        <w:t>օրենքով վերապահված գործունեության հիմնական ոլորտներում պարզաբանման տրամադրում</w:t>
      </w:r>
      <w:r w:rsidRPr="00EB04B8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9C011F" w:rsidRPr="00EB04B8">
        <w:rPr>
          <w:rFonts w:ascii="GHEA Grapalat" w:hAnsi="GHEA Grapalat"/>
          <w:bCs/>
          <w:sz w:val="24"/>
          <w:szCs w:val="24"/>
          <w:lang w:val="hy-AM"/>
        </w:rPr>
        <w:t xml:space="preserve">համաձայն </w:t>
      </w:r>
      <w:r w:rsidR="000A081D" w:rsidRPr="00EB04B8">
        <w:rPr>
          <w:rFonts w:ascii="GHEA Grapalat" w:hAnsi="GHEA Grapalat"/>
          <w:bCs/>
          <w:sz w:val="24"/>
          <w:szCs w:val="24"/>
          <w:lang w:val="hy-AM"/>
        </w:rPr>
        <w:t xml:space="preserve">«Նորմատիվ իրավական ակտերի մասին» օրենքի </w:t>
      </w:r>
      <w:r w:rsidR="009C011F" w:rsidRPr="00EB04B8">
        <w:rPr>
          <w:rFonts w:ascii="GHEA Grapalat" w:hAnsi="GHEA Grapalat"/>
          <w:bCs/>
          <w:sz w:val="24"/>
          <w:szCs w:val="24"/>
          <w:lang w:val="hy-AM"/>
        </w:rPr>
        <w:t>11-րդ գլխի</w:t>
      </w:r>
      <w:r w:rsidR="000A081D" w:rsidRPr="00EB04B8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639CD0FE" w14:textId="77777777" w:rsidR="00DE58D7" w:rsidRPr="00EB04B8" w:rsidRDefault="00DE58D7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20A88BA" w14:textId="4FACD7B1" w:rsidR="0093199E" w:rsidRPr="0033310C" w:rsidRDefault="0093199E" w:rsidP="00EB04B8">
      <w:pPr>
        <w:spacing w:after="0" w:line="360" w:lineRule="auto"/>
        <w:ind w:firstLine="720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33310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3310C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392C02FD" w14:textId="77777777" w:rsidR="0093199E" w:rsidRPr="00EB04B8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B04B8">
        <w:rPr>
          <w:rFonts w:ascii="GHEA Grapalat" w:hAnsi="GHEA Grapalat"/>
          <w:bCs/>
          <w:sz w:val="24"/>
          <w:szCs w:val="24"/>
          <w:lang w:val="hy-AM"/>
        </w:rPr>
        <w:t>Նախագիծը մշակվել է ՀՀ ներքին գործերի նախարարության կողմից։</w:t>
      </w:r>
    </w:p>
    <w:p w14:paraId="687B7F52" w14:textId="77777777" w:rsidR="0093199E" w:rsidRPr="0033310C" w:rsidRDefault="0093199E" w:rsidP="00EB04B8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64D05DB4" w14:textId="34DB7718" w:rsidR="0093199E" w:rsidRPr="0033310C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pt-BR"/>
        </w:rPr>
      </w:pPr>
      <w:r w:rsidRPr="0033310C">
        <w:rPr>
          <w:rFonts w:ascii="GHEA Grapalat" w:hAnsi="GHEA Grapalat"/>
          <w:b/>
          <w:bCs/>
          <w:sz w:val="24"/>
          <w:szCs w:val="24"/>
          <w:lang w:val="pt-BR"/>
        </w:rPr>
        <w:t>5.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8A7B854" w14:textId="0860C8A5" w:rsidR="0093199E" w:rsidRPr="00EB04B8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B04B8">
        <w:rPr>
          <w:rFonts w:ascii="GHEA Grapalat" w:hAnsi="GHEA Grapalat"/>
          <w:bCs/>
          <w:sz w:val="24"/>
          <w:szCs w:val="24"/>
        </w:rPr>
        <w:t>Նախագծի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ընդունման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կապակցությամբ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  <w:lang w:val="hy-AM"/>
        </w:rPr>
        <w:t xml:space="preserve">չի նախատեսվում </w:t>
      </w:r>
      <w:r w:rsidRPr="00EB04B8">
        <w:rPr>
          <w:rFonts w:ascii="GHEA Grapalat" w:hAnsi="GHEA Grapalat"/>
          <w:bCs/>
          <w:sz w:val="24"/>
          <w:szCs w:val="24"/>
        </w:rPr>
        <w:t>Հայաստանի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Հանրապետության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պետական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բյուջեի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եկամ</w:t>
      </w:r>
      <w:r w:rsidRPr="00EB04B8">
        <w:rPr>
          <w:rFonts w:ascii="GHEA Grapalat" w:hAnsi="GHEA Grapalat"/>
          <w:bCs/>
          <w:sz w:val="24"/>
          <w:szCs w:val="24"/>
          <w:lang w:val="hy-AM"/>
        </w:rPr>
        <w:t>ուտների ավելացում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>:</w:t>
      </w:r>
    </w:p>
    <w:p w14:paraId="4557449C" w14:textId="77777777" w:rsidR="0093199E" w:rsidRPr="00EB04B8" w:rsidRDefault="0093199E" w:rsidP="00EB04B8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pt-BR"/>
        </w:rPr>
      </w:pPr>
    </w:p>
    <w:p w14:paraId="3FEFE332" w14:textId="6274ACBB" w:rsidR="0093199E" w:rsidRPr="00EB04B8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pt-BR"/>
        </w:rPr>
      </w:pPr>
      <w:r w:rsidRPr="00EB04B8">
        <w:rPr>
          <w:rFonts w:ascii="GHEA Grapalat" w:hAnsi="GHEA Grapalat"/>
          <w:b/>
          <w:bCs/>
          <w:sz w:val="24"/>
          <w:szCs w:val="24"/>
          <w:lang w:val="pt-BR"/>
        </w:rPr>
        <w:t>6. Նախագծի ընդունման առնչությամբ ընդունվելիք այլ իրավական ակտերի նախագծերը կամ դրանց ընդունման անհրաժեշտության բացակայության մասին</w:t>
      </w:r>
      <w:r w:rsidRPr="00EB04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70EBDCCA" w14:textId="03FE25C1" w:rsidR="0093199E" w:rsidRPr="00EB04B8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B04B8">
        <w:rPr>
          <w:rFonts w:ascii="GHEA Grapalat" w:hAnsi="GHEA Grapalat"/>
          <w:bCs/>
          <w:sz w:val="24"/>
          <w:szCs w:val="24"/>
          <w:lang w:val="hy-AM"/>
        </w:rPr>
        <w:t>Նախագծի ընդունմամբ ա</w:t>
      </w:r>
      <w:r w:rsidRPr="00EB04B8">
        <w:rPr>
          <w:rFonts w:ascii="GHEA Grapalat" w:hAnsi="GHEA Grapalat"/>
          <w:bCs/>
          <w:sz w:val="24"/>
          <w:szCs w:val="24"/>
        </w:rPr>
        <w:t>յլ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իրավական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ակտերում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փոփոխությունների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և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>/</w:t>
      </w:r>
      <w:r w:rsidRPr="00EB04B8">
        <w:rPr>
          <w:rFonts w:ascii="GHEA Grapalat" w:hAnsi="GHEA Grapalat"/>
          <w:bCs/>
          <w:sz w:val="24"/>
          <w:szCs w:val="24"/>
        </w:rPr>
        <w:t>կամ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լրացումների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անհրաժեշտություն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չի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EB04B8">
        <w:rPr>
          <w:rFonts w:ascii="GHEA Grapalat" w:hAnsi="GHEA Grapalat"/>
          <w:bCs/>
          <w:sz w:val="24"/>
          <w:szCs w:val="24"/>
        </w:rPr>
        <w:t>առաջանում</w:t>
      </w:r>
      <w:r w:rsidRPr="00EB04B8">
        <w:rPr>
          <w:rFonts w:ascii="GHEA Grapalat" w:hAnsi="GHEA Grapalat"/>
          <w:bCs/>
          <w:sz w:val="24"/>
          <w:szCs w:val="24"/>
          <w:lang w:val="pt-BR"/>
        </w:rPr>
        <w:t>:</w:t>
      </w:r>
    </w:p>
    <w:p w14:paraId="2382133E" w14:textId="77777777" w:rsidR="0093199E" w:rsidRPr="00EB04B8" w:rsidRDefault="0093199E" w:rsidP="00EB04B8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pt-BR"/>
        </w:rPr>
      </w:pPr>
    </w:p>
    <w:p w14:paraId="5028EDB1" w14:textId="31137A0B" w:rsidR="0093199E" w:rsidRPr="00EB04B8" w:rsidRDefault="0093199E" w:rsidP="00EB04B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pt-BR"/>
        </w:rPr>
      </w:pPr>
      <w:r w:rsidRPr="00EB04B8">
        <w:rPr>
          <w:rFonts w:ascii="GHEA Grapalat" w:hAnsi="GHEA Grapalat"/>
          <w:b/>
          <w:bCs/>
          <w:sz w:val="24"/>
          <w:szCs w:val="24"/>
          <w:lang w:val="pt-BR"/>
        </w:rPr>
        <w:t>7. 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14:paraId="4D3373AB" w14:textId="77777777" w:rsidR="00EB04B8" w:rsidRDefault="0093199E" w:rsidP="00EB04B8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B04B8">
        <w:rPr>
          <w:rFonts w:ascii="GHEA Grapalat" w:hAnsi="GHEA Grapalat"/>
          <w:bCs/>
          <w:sz w:val="24"/>
          <w:szCs w:val="24"/>
          <w:lang w:val="pt-BR"/>
        </w:rPr>
        <w:tab/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ընդունումը </w:t>
      </w:r>
      <w:r w:rsidR="005062E4" w:rsidRPr="00EB04B8">
        <w:rPr>
          <w:rFonts w:ascii="GHEA Grapalat" w:hAnsi="GHEA Grapalat"/>
          <w:bCs/>
          <w:sz w:val="24"/>
          <w:szCs w:val="24"/>
        </w:rPr>
        <w:t>բխում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5062E4" w:rsidRPr="00EB04B8">
        <w:rPr>
          <w:rFonts w:ascii="GHEA Grapalat" w:hAnsi="GHEA Grapalat"/>
          <w:bCs/>
          <w:sz w:val="24"/>
          <w:szCs w:val="24"/>
        </w:rPr>
        <w:t>է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122BA6" w:rsidRPr="00EB04B8">
        <w:rPr>
          <w:rFonts w:ascii="GHEA Grapalat" w:hAnsi="GHEA Grapalat"/>
          <w:bCs/>
          <w:sz w:val="24"/>
          <w:szCs w:val="24"/>
          <w:lang w:val="hy-AM"/>
        </w:rPr>
        <w:t xml:space="preserve">ՀՀ </w:t>
      </w:r>
      <w:r w:rsidR="005062E4" w:rsidRPr="00EB04B8">
        <w:rPr>
          <w:rFonts w:ascii="GHEA Grapalat" w:hAnsi="GHEA Grapalat"/>
          <w:bCs/>
          <w:sz w:val="24"/>
          <w:szCs w:val="24"/>
        </w:rPr>
        <w:t>Ազգային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122BA6" w:rsidRPr="00EB04B8">
        <w:rPr>
          <w:rFonts w:ascii="GHEA Grapalat" w:hAnsi="GHEA Grapalat"/>
          <w:bCs/>
          <w:sz w:val="24"/>
          <w:szCs w:val="24"/>
          <w:lang w:val="hy-AM"/>
        </w:rPr>
        <w:t>ժ</w:t>
      </w:r>
      <w:r w:rsidR="005062E4" w:rsidRPr="00EB04B8">
        <w:rPr>
          <w:rFonts w:ascii="GHEA Grapalat" w:hAnsi="GHEA Grapalat"/>
          <w:bCs/>
          <w:sz w:val="24"/>
          <w:szCs w:val="24"/>
        </w:rPr>
        <w:t>ողովի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2021 </w:t>
      </w:r>
      <w:r w:rsidR="005062E4" w:rsidRPr="00EB04B8">
        <w:rPr>
          <w:rFonts w:ascii="GHEA Grapalat" w:hAnsi="GHEA Grapalat"/>
          <w:bCs/>
          <w:sz w:val="24"/>
          <w:szCs w:val="24"/>
        </w:rPr>
        <w:t>թվականի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5062E4" w:rsidRPr="00EB04B8">
        <w:rPr>
          <w:rFonts w:ascii="GHEA Grapalat" w:hAnsi="GHEA Grapalat"/>
          <w:bCs/>
          <w:sz w:val="24"/>
          <w:szCs w:val="24"/>
        </w:rPr>
        <w:t>օգոստոսի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26-</w:t>
      </w:r>
      <w:r w:rsidR="005062E4" w:rsidRPr="00EB04B8">
        <w:rPr>
          <w:rFonts w:ascii="GHEA Grapalat" w:hAnsi="GHEA Grapalat"/>
          <w:bCs/>
          <w:sz w:val="24"/>
          <w:szCs w:val="24"/>
        </w:rPr>
        <w:t>ի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N 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 xml:space="preserve">ԱԺՈ-002-Ն որոշմամբ հաստատված Հայաստանի Հանրապետության կառավարության (2021-2026թթ.) ծրագրի </w:t>
      </w:r>
      <w:r w:rsidR="00044A4E" w:rsidRPr="00EB04B8">
        <w:rPr>
          <w:rFonts w:ascii="GHEA Grapalat" w:hAnsi="GHEA Grapalat"/>
          <w:bCs/>
          <w:sz w:val="24"/>
          <w:szCs w:val="24"/>
          <w:lang w:val="hy-AM"/>
        </w:rPr>
        <w:t xml:space="preserve">«Ոստիկանության բարեփոխումներ» 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5</w:t>
      </w:r>
      <w:r w:rsidR="005062E4" w:rsidRPr="00EB04B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 xml:space="preserve">4-րդ գլխի </w:t>
      </w:r>
      <w:r w:rsidR="00044A4E" w:rsidRPr="00EB04B8">
        <w:rPr>
          <w:rFonts w:ascii="GHEA Grapalat" w:hAnsi="GHEA Grapalat"/>
          <w:bCs/>
          <w:sz w:val="24"/>
          <w:szCs w:val="24"/>
          <w:lang w:val="hy-AM"/>
        </w:rPr>
        <w:t>յոթերորդ պարբերություն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ից</w:t>
      </w:r>
      <w:r w:rsidR="00864CDA" w:rsidRPr="00EB04B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2D0B5F" w:rsidRPr="00EB04B8">
        <w:rPr>
          <w:rFonts w:ascii="GHEA Grapalat" w:hAnsi="GHEA Grapalat"/>
          <w:bCs/>
          <w:sz w:val="24"/>
          <w:szCs w:val="24"/>
          <w:lang w:val="hy-AM"/>
        </w:rPr>
        <w:t>Ժողովրդավարական պետությանն ու հասարակարգին բնորոշ է ոստիկանության ոլորտի միասնական քաղաքականություն մշակող և իրականացնող, պատասխանատու գործադիր իշխանության մարմնի առկայությունը: Ըստ հաստատված ռազմավարության՝ նախատեսվում է ստեղծել ներքին գործերի նախարարություն, որը թույլ կտա նաև ապահովել ոլորտի թե՛ խորհրդարանական, թե՛ քաղաքացիական վերահսկողություն, ինչպես նաև կդառնա ոլորտի բարեփոխումների իրագործողն ու պատասխանատուն։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»</w:t>
      </w:r>
      <w:r w:rsidR="002D0B5F" w:rsidRPr="00EB04B8">
        <w:rPr>
          <w:rFonts w:ascii="GHEA Grapalat" w:hAnsi="GHEA Grapalat"/>
          <w:bCs/>
          <w:sz w:val="24"/>
          <w:szCs w:val="24"/>
          <w:lang w:val="hy-AM"/>
        </w:rPr>
        <w:t>, ինչպես նաև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92A95" w:rsidRPr="00EB04B8">
        <w:rPr>
          <w:rFonts w:ascii="GHEA Grapalat" w:hAnsi="GHEA Grapalat"/>
          <w:bCs/>
          <w:sz w:val="24"/>
          <w:szCs w:val="24"/>
          <w:lang w:val="hy-AM"/>
        </w:rPr>
        <w:t>ՀՀ կ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 xml:space="preserve"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>N 1902-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Լ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N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1 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հավելվածի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 w:rsidR="00983C22" w:rsidRPr="00EB04B8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նախարարություն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բաժնի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983C22" w:rsidRPr="00EB04B8">
        <w:rPr>
          <w:rFonts w:ascii="GHEA Grapalat" w:hAnsi="GHEA Grapalat"/>
          <w:bCs/>
          <w:sz w:val="24"/>
          <w:szCs w:val="24"/>
          <w:lang w:val="hy-AM"/>
        </w:rPr>
        <w:t>«</w:t>
      </w:r>
      <w:r w:rsidR="00897AE3" w:rsidRPr="00EB04B8">
        <w:rPr>
          <w:rFonts w:ascii="GHEA Grapalat" w:hAnsi="GHEA Grapalat"/>
          <w:bCs/>
          <w:sz w:val="24"/>
          <w:szCs w:val="24"/>
          <w:lang w:val="hy-AM"/>
        </w:rPr>
        <w:t>Ոստիկանություն</w:t>
      </w:r>
      <w:r w:rsidR="00983C22" w:rsidRPr="00EB04B8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196788" w:rsidRPr="00EB04B8">
        <w:rPr>
          <w:rFonts w:ascii="GHEA Grapalat" w:hAnsi="GHEA Grapalat"/>
          <w:bCs/>
          <w:sz w:val="24"/>
          <w:szCs w:val="24"/>
          <w:lang w:val="hy-AM"/>
        </w:rPr>
        <w:t>գլխի 1-ին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196788" w:rsidRPr="00EB04B8">
        <w:rPr>
          <w:rFonts w:ascii="GHEA Grapalat" w:hAnsi="GHEA Grapalat"/>
          <w:bCs/>
          <w:sz w:val="24"/>
          <w:szCs w:val="24"/>
          <w:lang w:val="hy-AM"/>
        </w:rPr>
        <w:t>կետ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ից՝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 w:rsidR="009536BD" w:rsidRPr="00EB04B8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4F1DBA" w:rsidRPr="00EB04B8">
        <w:rPr>
          <w:rFonts w:ascii="GHEA Grapalat" w:hAnsi="GHEA Grapalat"/>
          <w:bCs/>
          <w:sz w:val="24"/>
          <w:szCs w:val="24"/>
          <w:lang w:val="hy-AM"/>
        </w:rPr>
        <w:t xml:space="preserve"> ձևավորում՝ Ոստիկանության և Միգրացիոն ծառայության հիմքով</w:t>
      </w:r>
      <w:r w:rsidR="005062E4" w:rsidRPr="00EB04B8">
        <w:rPr>
          <w:rFonts w:ascii="GHEA Grapalat" w:hAnsi="GHEA Grapalat"/>
          <w:bCs/>
          <w:sz w:val="24"/>
          <w:szCs w:val="24"/>
          <w:lang w:val="pt-BR"/>
        </w:rPr>
        <w:t>»</w:t>
      </w:r>
      <w:r w:rsidR="005062E4" w:rsidRPr="00EB04B8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49E95531" w14:textId="77777777" w:rsidR="001F34E5" w:rsidRPr="00EB04B8" w:rsidRDefault="001F34E5" w:rsidP="00EB04B8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7760C20" w14:textId="411AD2D4" w:rsidR="009504B3" w:rsidRPr="00EB04B8" w:rsidRDefault="00AF141E" w:rsidP="00EB04B8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ՀՀ ն</w:t>
      </w:r>
      <w:r w:rsidR="009504B3" w:rsidRPr="00EB04B8">
        <w:rPr>
          <w:rFonts w:ascii="GHEA Grapalat" w:hAnsi="GHEA Grapalat"/>
          <w:b/>
          <w:bCs/>
          <w:sz w:val="24"/>
          <w:szCs w:val="24"/>
          <w:lang w:val="hy-AM"/>
        </w:rPr>
        <w:t>երքին գործերի նախարարություն</w:t>
      </w:r>
    </w:p>
    <w:sectPr w:rsidR="009504B3" w:rsidRPr="00EB04B8" w:rsidSect="005260E6">
      <w:pgSz w:w="12240" w:h="15840"/>
      <w:pgMar w:top="36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67C"/>
    <w:rsid w:val="00031730"/>
    <w:rsid w:val="00033DD3"/>
    <w:rsid w:val="00044A4E"/>
    <w:rsid w:val="000A081D"/>
    <w:rsid w:val="000E14AD"/>
    <w:rsid w:val="00122BA6"/>
    <w:rsid w:val="00196788"/>
    <w:rsid w:val="001B621E"/>
    <w:rsid w:val="001C6EB4"/>
    <w:rsid w:val="001E35D9"/>
    <w:rsid w:val="001F34E5"/>
    <w:rsid w:val="002D0B5F"/>
    <w:rsid w:val="0033310C"/>
    <w:rsid w:val="00354943"/>
    <w:rsid w:val="00363F33"/>
    <w:rsid w:val="003E4922"/>
    <w:rsid w:val="00451656"/>
    <w:rsid w:val="004D6F34"/>
    <w:rsid w:val="004F1DBA"/>
    <w:rsid w:val="005062E4"/>
    <w:rsid w:val="005260E6"/>
    <w:rsid w:val="005A667C"/>
    <w:rsid w:val="005D790A"/>
    <w:rsid w:val="006537C4"/>
    <w:rsid w:val="006B4855"/>
    <w:rsid w:val="006E34E4"/>
    <w:rsid w:val="00713C5D"/>
    <w:rsid w:val="007600FC"/>
    <w:rsid w:val="00777345"/>
    <w:rsid w:val="00831603"/>
    <w:rsid w:val="00861C15"/>
    <w:rsid w:val="00864CDA"/>
    <w:rsid w:val="00892A95"/>
    <w:rsid w:val="00897AE3"/>
    <w:rsid w:val="008D5F1B"/>
    <w:rsid w:val="0093199E"/>
    <w:rsid w:val="009504B3"/>
    <w:rsid w:val="009536BD"/>
    <w:rsid w:val="00981874"/>
    <w:rsid w:val="00981883"/>
    <w:rsid w:val="00983C22"/>
    <w:rsid w:val="009B6116"/>
    <w:rsid w:val="009C011F"/>
    <w:rsid w:val="009C3E34"/>
    <w:rsid w:val="009C5E19"/>
    <w:rsid w:val="00A22E99"/>
    <w:rsid w:val="00AB2322"/>
    <w:rsid w:val="00AF141E"/>
    <w:rsid w:val="00B261E7"/>
    <w:rsid w:val="00B75BC8"/>
    <w:rsid w:val="00B85B9E"/>
    <w:rsid w:val="00C05525"/>
    <w:rsid w:val="00C54916"/>
    <w:rsid w:val="00CD1636"/>
    <w:rsid w:val="00CF4549"/>
    <w:rsid w:val="00D25C49"/>
    <w:rsid w:val="00DA28C7"/>
    <w:rsid w:val="00DE58D7"/>
    <w:rsid w:val="00E14703"/>
    <w:rsid w:val="00E323CE"/>
    <w:rsid w:val="00EB04B8"/>
    <w:rsid w:val="00ED5D4C"/>
    <w:rsid w:val="00F42A78"/>
    <w:rsid w:val="00F97166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729"/>
  <w15:docId w15:val="{A0CFF622-8948-4F71-B31D-187D6529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73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7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irav18</dc:creator>
  <cp:lastModifiedBy>irav22</cp:lastModifiedBy>
  <cp:revision>40</cp:revision>
  <dcterms:created xsi:type="dcterms:W3CDTF">2024-05-10T08:18:00Z</dcterms:created>
  <dcterms:modified xsi:type="dcterms:W3CDTF">2025-03-12T11:50:00Z</dcterms:modified>
</cp:coreProperties>
</file>