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258D" w14:textId="77777777" w:rsidR="0024098D" w:rsidRPr="008211F7" w:rsidRDefault="0024098D" w:rsidP="0024098D">
      <w:pPr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ՆԱԽԱԳԻԾ</w:t>
      </w:r>
    </w:p>
    <w:p w14:paraId="4FF65C40" w14:textId="77777777" w:rsidR="0024098D" w:rsidRPr="008211F7" w:rsidRDefault="0024098D" w:rsidP="0024098D">
      <w:pPr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14:paraId="393DEEC6" w14:textId="77777777" w:rsidR="0024098D" w:rsidRPr="008211F7" w:rsidRDefault="0024098D" w:rsidP="0024098D">
      <w:pPr>
        <w:tabs>
          <w:tab w:val="left" w:pos="810"/>
        </w:tabs>
        <w:spacing w:after="0" w:line="360" w:lineRule="auto"/>
        <w:ind w:firstLine="54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</w:pPr>
      <w:r w:rsidRPr="008211F7">
        <w:rPr>
          <w:rFonts w:ascii="GHEA Grapalat" w:eastAsia="Times New Roman" w:hAnsi="GHEA Grapalat" w:cs="Sylfaen"/>
          <w:b/>
          <w:sz w:val="24"/>
          <w:szCs w:val="24"/>
          <w:lang w:val="x-none" w:eastAsia="x-none"/>
        </w:rPr>
        <w:t>ՀԱՅԱՍՏԱՆԻ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x-none" w:eastAsia="x-none"/>
        </w:rPr>
        <w:t xml:space="preserve">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x-none" w:eastAsia="x-none"/>
        </w:rPr>
        <w:t>ՀԱՆՐԱՊԵՏՈՒԹՅԱՆ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x-none" w:eastAsia="x-none"/>
        </w:rPr>
        <w:t xml:space="preserve"> 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>ԿԱՌԱՎԱՐՈՒԹՅՈՒՆ</w:t>
      </w:r>
    </w:p>
    <w:p w14:paraId="17FDEE82" w14:textId="77777777" w:rsidR="0024098D" w:rsidRPr="008211F7" w:rsidRDefault="0024098D" w:rsidP="0024098D">
      <w:pPr>
        <w:tabs>
          <w:tab w:val="left" w:pos="81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</w:pP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Ո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 xml:space="preserve"> 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Ր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 xml:space="preserve"> 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Ո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 xml:space="preserve"> 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Շ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 xml:space="preserve"> 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Ո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 xml:space="preserve">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Ւ</w:t>
      </w:r>
      <w:r w:rsidRPr="008211F7">
        <w:rPr>
          <w:rFonts w:ascii="GHEA Grapalat" w:eastAsia="Times New Roman" w:hAnsi="GHEA Grapalat" w:cs="Arial Armenian"/>
          <w:b/>
          <w:sz w:val="24"/>
          <w:szCs w:val="24"/>
          <w:lang w:val="hy-AM" w:eastAsia="x-none"/>
        </w:rPr>
        <w:t xml:space="preserve">  </w:t>
      </w:r>
      <w:r w:rsidRPr="008211F7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Մ</w:t>
      </w:r>
    </w:p>
    <w:p w14:paraId="03B3BD22" w14:textId="77777777" w:rsidR="0024098D" w:rsidRPr="008211F7" w:rsidRDefault="0024098D" w:rsidP="0024098D">
      <w:pPr>
        <w:tabs>
          <w:tab w:val="left" w:pos="810"/>
        </w:tabs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</w:pPr>
    </w:p>
    <w:p w14:paraId="216B74E8" w14:textId="2D6A2E42" w:rsidR="0024098D" w:rsidRPr="008211F7" w:rsidRDefault="0024098D" w:rsidP="0024098D">
      <w:pPr>
        <w:tabs>
          <w:tab w:val="left" w:pos="270"/>
          <w:tab w:val="left" w:pos="810"/>
          <w:tab w:val="left" w:pos="9072"/>
        </w:tabs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 ---------------- 202</w:t>
      </w:r>
      <w:r w:rsidR="00FE0D33" w:rsidRPr="008211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թվականի  N    - </w:t>
      </w:r>
      <w:r w:rsidR="006739EA" w:rsidRPr="008211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</w:p>
    <w:p w14:paraId="32709A8F" w14:textId="77777777" w:rsidR="001314DE" w:rsidRPr="008211F7" w:rsidRDefault="001314DE" w:rsidP="004762B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E63538" w14:textId="77777777" w:rsidR="005561DD" w:rsidRPr="008211F7" w:rsidRDefault="005561DD" w:rsidP="004762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b/>
          <w:color w:val="000000"/>
          <w:sz w:val="10"/>
          <w:szCs w:val="24"/>
          <w:shd w:val="clear" w:color="auto" w:fill="FFFFFF"/>
          <w:lang w:val="hy-AM"/>
        </w:rPr>
      </w:pPr>
    </w:p>
    <w:p w14:paraId="2E9473F2" w14:textId="3F4FDF6D" w:rsidR="00A4253E" w:rsidRPr="008211F7" w:rsidRDefault="00AB63B8" w:rsidP="004762B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</w:pPr>
      <w:r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ԳԻՏԱԿԱՆ ՀԵՏԱԶՈՏՈՒԹՅՈՒՆՆԵՐԻ ԵՎ ՓՈՐՁԱՐԱՐԱԿԱՆ ՄՇԱԿՈՒՄՆԵՐԻ ԱՇԽԱՏԱՆՔՆԵՐԸ ՈՐՊԵՍ ԱՅԴՊԻՍԻՆ ՈՐԱԿ</w:t>
      </w:r>
      <w:r w:rsidR="005A1489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ՈՂ</w:t>
      </w:r>
      <w:r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314DE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ՄԱՍՆԱԳԻՏԱԿԱՆ ՀԱՆՁՆԱԺՈՂՈՎ ՁԵՎԱՎՈՐԵԼՈՒ</w:t>
      </w:r>
      <w:r w:rsidR="00860C88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314DE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ՀԱՆՁՆԱԺՈՂՈՎԻ ԳՈՐԾՈՒՆԵՈՒԹՅԱՆ ԿԱՐԳԸ ԵՎ ԿԱԶՄԸ</w:t>
      </w:r>
      <w:r w:rsidR="00B866CC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ՍԱՀՄԱՆԵԼՈՒ</w:t>
      </w:r>
      <w:r w:rsidR="001314DE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, ՀԱՆՁՆԱԺՈՂՈՎԻ ԿՈՂՄԻՑ </w:t>
      </w:r>
      <w:r w:rsidR="00162616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ԳԻՏԱԿԱՆ ՀԵՏԱԶՈՏՈՒԹՅՈՒՆՆԵՐԻ ԵՎ  ՓՈՐՁԱՐԱՐԱԿԱՆ ՄՇԱԿՈՒՄՆԵՐԻ ԱՇԽԱՏ</w:t>
      </w:r>
      <w:r w:rsidR="001314DE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ԱՆՔՆԵՐԸ ՈՐՊԵՍ ԱՅԴՊԻՍԻՆ ՈՐԱԿԵԼՈ</w:t>
      </w:r>
      <w:r w:rsidR="00B866CC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Ւ ԿԱՐԳԸ</w:t>
      </w:r>
      <w:r w:rsidR="00860C88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,</w:t>
      </w:r>
      <w:r w:rsidR="00162616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60C88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ԳԻՏԱԿԱՆ ՀԵՏԱԶՈՏՈՒԹՅՈՒՆՆԵՐԻ ԵՎ ՓՈՐՁԱՐԱՐԱԿԱՆ ՄՇԱԿՈՒՄՆԵՐԻ ՉԱՓԱՆԻՇՆԵՐԸ </w:t>
      </w:r>
      <w:r w:rsidR="00162616" w:rsidRPr="008211F7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ՍԱՀՄԱՆԵԼՈՒ ՄԱՍԻՆ</w:t>
      </w:r>
    </w:p>
    <w:p w14:paraId="1030D326" w14:textId="77777777" w:rsidR="00B866CC" w:rsidRPr="008211F7" w:rsidRDefault="00B866CC" w:rsidP="004762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3C21102D" w14:textId="77777777" w:rsidR="005561DD" w:rsidRPr="008211F7" w:rsidRDefault="005561DD" w:rsidP="004762B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6"/>
          <w:szCs w:val="24"/>
          <w:lang w:val="hy-AM"/>
        </w:rPr>
      </w:pPr>
    </w:p>
    <w:p w14:paraId="4BFD5DD4" w14:textId="77777777" w:rsidR="006D28B1" w:rsidRPr="008211F7" w:rsidRDefault="006D28B1" w:rsidP="00FE0D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B76711A" w14:textId="3FB4A247" w:rsidR="0029042C" w:rsidRPr="008211F7" w:rsidRDefault="0029042C" w:rsidP="00FE0D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Հայաստանի Հանրապետության հարկային օրենսգրքի 121-րդ հ</w:t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5561D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վածի 2-րդ մասի 4-րդ կետը, 123-րդ հոդվ</w:t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ածի 2-րդ մասի 3-րդ կետը, 150-րդ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</w:t>
      </w:r>
      <w:r w:rsidR="005561D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վածի 1-ին մասի 1.1-ին կետը</w:t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8211F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14:paraId="69DDDBB8" w14:textId="75037D66" w:rsidR="003D1252" w:rsidRPr="008211F7" w:rsidRDefault="003D1252" w:rsidP="00FE0D33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Ձևավորել գիտական հետազոտությունների և փորձարարական մշակումների աշխա</w:t>
      </w:r>
      <w:r w:rsidR="009A54F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</w:t>
      </w:r>
      <w:r w:rsidR="009A54F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 որպես այդպիսին որակող մասնագիտական հանձնաժողով և սահմանել հանձ</w:t>
      </w:r>
      <w:r w:rsidR="00E7312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E7312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ժողովի կազմը` համաձայն N 1 հավելվածի:</w:t>
      </w:r>
    </w:p>
    <w:p w14:paraId="7F43038C" w14:textId="7375AB44" w:rsidR="00C51B8D" w:rsidRPr="008211F7" w:rsidRDefault="0029042C" w:rsidP="00FE0D33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 </w:t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հետազոտությունների և փորձարարական մշակումների չափա</w:t>
      </w:r>
      <w:r w:rsidR="00E7312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նիշ</w:t>
      </w:r>
      <w:r w:rsidR="00E7312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ները`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</w:t>
      </w:r>
      <w:r w:rsidR="00AB63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="00FE0D3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հավելվածի:</w:t>
      </w:r>
    </w:p>
    <w:p w14:paraId="22AECADF" w14:textId="3F0E507D" w:rsidR="00AB63B8" w:rsidRPr="008211F7" w:rsidRDefault="00AB63B8" w:rsidP="00FE0D33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Սահմանել՝</w:t>
      </w:r>
    </w:p>
    <w:p w14:paraId="26A9A32E" w14:textId="36AB6568" w:rsidR="00AB63B8" w:rsidRPr="008211F7" w:rsidRDefault="00AB63B8" w:rsidP="00FE0D33">
      <w:pPr>
        <w:pStyle w:val="ListParagraph"/>
        <w:numPr>
          <w:ilvl w:val="1"/>
          <w:numId w:val="7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գործունեության կարգը՝ համաձայն N 3 հավելվածի.</w:t>
      </w:r>
    </w:p>
    <w:p w14:paraId="54E5F134" w14:textId="3237C7B5" w:rsidR="00AB63B8" w:rsidRPr="008211F7" w:rsidRDefault="00AB63B8" w:rsidP="00FE0D33">
      <w:pPr>
        <w:pStyle w:val="ListParagraph"/>
        <w:numPr>
          <w:ilvl w:val="1"/>
          <w:numId w:val="7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կողմից գիտական հետազոտությունների և փորձարարական մշա</w:t>
      </w:r>
      <w:r w:rsidR="00FE0D3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կում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E0D3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աշխատանքները որպես այդպիսին որակելու կարգը՝ համաձայն N 4 հավելվածի:</w:t>
      </w:r>
    </w:p>
    <w:p w14:paraId="14633B66" w14:textId="296A9E23" w:rsidR="00AB63B8" w:rsidRPr="008211F7" w:rsidRDefault="005D2618" w:rsidP="00FE0D33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 հանձնաժողովի կազմում ներառվող լիա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զոր</w:t>
      </w: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ներկայացուցիչների ընդհանրական անհատական ցանկը հաստատում է Հայաստանի Հան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րապետության վարչապետը</w:t>
      </w:r>
      <w:r w:rsidRPr="006844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75F89F3" w14:textId="162BBCAE" w:rsidR="00860C88" w:rsidRPr="008211F7" w:rsidRDefault="00FE0D33" w:rsidP="00FE0D33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Սույն որոշումն ուժի մեջ է մտնում պաշտոնական հրապարակման օրվան հաջորդող տասներորդ օրը</w:t>
      </w:r>
      <w:r w:rsidR="00C05BB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կիրառվում է 2025 թվականի հունվարի 1-ից </w:t>
      </w:r>
      <w:r w:rsidR="00CB297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հետո </w:t>
      </w:r>
      <w:r w:rsidR="00C05BB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ծագած (ծագող) հարա</w:t>
      </w:r>
      <w:r w:rsidR="00083AB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05BB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</w:t>
      </w:r>
      <w:r w:rsidR="00083AB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05BB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րությունների վրա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A135F73" w14:textId="15DFD674" w:rsidR="00860C88" w:rsidRPr="008211F7" w:rsidRDefault="00FE0D33" w:rsidP="00C07FA3">
      <w:pPr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  <w:r w:rsidR="00860C88" w:rsidRPr="008211F7">
        <w:rPr>
          <w:rFonts w:ascii="GHEA Grapalat" w:eastAsia="Times New Roman" w:hAnsi="GHEA Grapalat" w:cs="Times New Roman"/>
          <w:b/>
          <w:bCs/>
          <w:color w:val="000000"/>
          <w:lang w:val="hy-AM"/>
        </w:rPr>
        <w:lastRenderedPageBreak/>
        <w:t>Հավելված N</w:t>
      </w:r>
      <w:r w:rsidR="00BF3558" w:rsidRPr="008211F7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1</w:t>
      </w:r>
    </w:p>
    <w:p w14:paraId="3441B10B" w14:textId="2F4FBBEE" w:rsidR="00860C88" w:rsidRPr="008211F7" w:rsidRDefault="00860C88" w:rsidP="00860C88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Calibri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ՀՀ կառավարության 202</w:t>
      </w:r>
      <w:r w:rsidR="00FE0D33" w:rsidRPr="008211F7">
        <w:rPr>
          <w:rFonts w:ascii="GHEA Grapalat" w:eastAsia="Times New Roman" w:hAnsi="GHEA Grapalat" w:cs="Calibri"/>
          <w:lang w:val="hy-AM"/>
        </w:rPr>
        <w:t>5</w:t>
      </w:r>
      <w:r w:rsidRPr="008211F7">
        <w:rPr>
          <w:rFonts w:ascii="GHEA Grapalat" w:eastAsia="Times New Roman" w:hAnsi="GHEA Grapalat" w:cs="Calibri"/>
          <w:lang w:val="hy-AM"/>
        </w:rPr>
        <w:t xml:space="preserve"> թվականի</w:t>
      </w:r>
    </w:p>
    <w:p w14:paraId="5731CCE9" w14:textId="54328004" w:rsidR="00860C88" w:rsidRPr="008211F7" w:rsidRDefault="00860C88" w:rsidP="00860C88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___________ ___-ի N ____ -Ն որոշման</w:t>
      </w:r>
    </w:p>
    <w:p w14:paraId="2C8EDF49" w14:textId="77777777" w:rsidR="00860C88" w:rsidRPr="008211F7" w:rsidRDefault="00860C88" w:rsidP="00860C8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6244886" w14:textId="77777777" w:rsidR="00860C88" w:rsidRPr="008211F7" w:rsidRDefault="00860C88" w:rsidP="00860C88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018C8CB" w14:textId="5A921175" w:rsidR="00860C88" w:rsidRPr="008211F7" w:rsidRDefault="00860C88" w:rsidP="00860C88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ԳԻՏԱԿԱՆ ՀԵՏԱԶՈՏՈՒԹՅՈՒՆՆԵՐԻ ԵՎ ՓՈՐՁԱՐԱՐԱԿԱՆ ՄՇԱԿՈՒՄՆԵՐԻ ԱՇԽԱՏԱՆՔՆԵՐԸ ՈՐՊԵՍ ԱՅԴՊԻՍԻՆ ՈՐԱԿՈՂ ՄԱՍՆԱԳԻՏԱԿԱՆ ՀԱՆՁՆԱԺՈՂՈՎԻ ԿԱԶՄ </w:t>
      </w:r>
    </w:p>
    <w:p w14:paraId="51DBBBFB" w14:textId="77777777" w:rsidR="00860C88" w:rsidRPr="008211F7" w:rsidRDefault="00860C88" w:rsidP="00860C8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8211F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D0DF090" w14:textId="77777777" w:rsidR="00FE0D33" w:rsidRPr="008211F7" w:rsidRDefault="00FE0D33" w:rsidP="00FE0D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8CF5A69" w14:textId="77777777" w:rsidR="00BF3558" w:rsidRPr="008211F7" w:rsidRDefault="00BF3558" w:rsidP="00FE0D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5C77AC7" w14:textId="03AD4226" w:rsidR="00860C88" w:rsidRPr="008211F7" w:rsidRDefault="00860C88" w:rsidP="00FE0D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Գիտական հետազոտությունների և փորձարարական մշակումների աշխատանքները որպես այդպիսին որակող մասնագիտական հանձնաժողովի (այսուհետ` </w:t>
      </w:r>
      <w:r w:rsidR="003549C8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անձնաժողով) անդամ</w:t>
      </w:r>
      <w:r w:rsidR="003549C8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ներ՝</w:t>
      </w:r>
    </w:p>
    <w:p w14:paraId="7E9022ED" w14:textId="1288477C" w:rsidR="003549C8" w:rsidRPr="008211F7" w:rsidRDefault="00860C88" w:rsidP="003549C8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կրթության, գիտության, մշակույթի և սպորտի </w:t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նախա</w:t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  <w:t xml:space="preserve">րարության բարձրագույն կրթության և գիտության կոմիտեի նախագահ 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(հանձ</w:t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</w:t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ժո</w:t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ղովի նախագահ).</w:t>
      </w:r>
    </w:p>
    <w:p w14:paraId="129DB653" w14:textId="6BC9032B" w:rsidR="003549C8" w:rsidRPr="00EB105E" w:rsidRDefault="00860C88" w:rsidP="003549C8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 Հանրապետության բարձր տեխնոլոգիական արդյունաբերության նախա</w:t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="003549C8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րարության </w:t>
      </w:r>
      <w:r w:rsidR="0080302F" w:rsidRPr="0049285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կողմից լիազորված</w:t>
      </w:r>
      <w:r w:rsidR="0080302F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երեք </w:t>
      </w:r>
      <w:r w:rsidRPr="00EB105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ներկայացուցիչ.</w:t>
      </w:r>
    </w:p>
    <w:p w14:paraId="15A8346B" w14:textId="17436D22" w:rsidR="003549C8" w:rsidRPr="008211F7" w:rsidRDefault="00860C88" w:rsidP="003549C8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 Հանրապետության էկոնոմիկայի նախարարության</w:t>
      </w:r>
      <w:r w:rsidR="0088406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կողմից լիազորված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երկու 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</w:t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</w:t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յա</w:t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ցու</w:t>
      </w:r>
      <w:r w:rsidR="008E31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ցիչ.</w:t>
      </w:r>
    </w:p>
    <w:p w14:paraId="079102CC" w14:textId="1C7484B7" w:rsidR="00BF3558" w:rsidRPr="008211F7" w:rsidRDefault="00860C88" w:rsidP="00BF3558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ֆինանսների նախարարության </w:t>
      </w:r>
      <w:r w:rsidR="0088406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կողմից լիազորված մեկ 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ներկայացուցիչ</w:t>
      </w:r>
      <w:r w:rsidR="00AB1849" w:rsidRPr="008211F7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/>
        </w:rPr>
        <w:t>.</w:t>
      </w:r>
    </w:p>
    <w:p w14:paraId="4E134740" w14:textId="2D25A709" w:rsidR="001B207D" w:rsidRPr="008211F7" w:rsidRDefault="001B207D" w:rsidP="00BF3558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 Հանրապետության պետական եկամուտ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  <w:t xml:space="preserve">ների կոմիտեի </w:t>
      </w:r>
      <w:r w:rsidR="0088406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կողմից լիազորված մեկ 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ներկայացուցիչ</w:t>
      </w:r>
      <w:r w:rsidR="00AB1849" w:rsidRPr="008211F7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/>
        </w:rPr>
        <w:t>.</w:t>
      </w:r>
    </w:p>
    <w:p w14:paraId="38F7BC5E" w14:textId="77777777" w:rsidR="005346A4" w:rsidRPr="00492856" w:rsidRDefault="00860C88" w:rsidP="00D75C7E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 Հանրապետության կրթության, գիտության, մշակույթի և սպորտի նախա</w:t>
      </w:r>
      <w:r w:rsidR="009B3B26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="00BF3558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րարության Հայաստանի Հանրապետության բարձրագույն կրթության և գիտության կոմի</w:t>
      </w:r>
      <w:r w:rsidR="00BF3558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="00083AB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տեի </w:t>
      </w:r>
      <w:r w:rsidR="0088406B"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կողմից լիազորված մեկ 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ներկայացուցիչ</w:t>
      </w:r>
      <w:r w:rsidR="005346A4" w:rsidRPr="0049285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</w:t>
      </w:r>
    </w:p>
    <w:p w14:paraId="34F5F060" w14:textId="56944276" w:rsidR="00860C88" w:rsidRPr="00EB105E" w:rsidRDefault="005346A4" w:rsidP="00D75C7E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49285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Հանրապետության</w:t>
      </w:r>
      <w:r w:rsidRPr="00EB105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գիտությունների</w:t>
      </w:r>
      <w:r w:rsidRPr="00A44294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ազգային ակադեմիայի երկու</w:t>
      </w:r>
      <w:r w:rsidRPr="0098653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ներկայացուցիչ (</w:t>
      </w:r>
      <w:r w:rsidRPr="00492856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համաձայնությամբ</w:t>
      </w:r>
      <w:r w:rsidRPr="008211F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)</w:t>
      </w:r>
    </w:p>
    <w:p w14:paraId="28618B52" w14:textId="10C68BA0" w:rsidR="00860C88" w:rsidRPr="00A44294" w:rsidRDefault="00860C88">
      <w:pP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14:paraId="3BA9D5E4" w14:textId="77777777" w:rsidR="00492856" w:rsidRDefault="00492856">
      <w:pPr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/>
        </w:rPr>
        <w:br w:type="page"/>
      </w:r>
    </w:p>
    <w:p w14:paraId="2186A76F" w14:textId="7A417170" w:rsidR="009E10C1" w:rsidRPr="008211F7" w:rsidRDefault="009E10C1" w:rsidP="00BF3558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b/>
          <w:bCs/>
          <w:color w:val="000000"/>
          <w:lang w:val="hy-AM"/>
        </w:rPr>
        <w:lastRenderedPageBreak/>
        <w:t xml:space="preserve">Հավելված N </w:t>
      </w:r>
      <w:r w:rsidR="00BF3558" w:rsidRPr="008211F7">
        <w:rPr>
          <w:rFonts w:ascii="GHEA Grapalat" w:eastAsia="Times New Roman" w:hAnsi="GHEA Grapalat" w:cs="Times New Roman"/>
          <w:b/>
          <w:bCs/>
          <w:color w:val="000000"/>
          <w:lang w:val="hy-AM"/>
        </w:rPr>
        <w:t>2</w:t>
      </w:r>
    </w:p>
    <w:p w14:paraId="45D219D3" w14:textId="2BE73C0A" w:rsidR="006739EA" w:rsidRPr="008211F7" w:rsidRDefault="006739EA" w:rsidP="00BF3558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Calibri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ՀՀ կառավարության 202</w:t>
      </w:r>
      <w:r w:rsidR="00FA3A90" w:rsidRPr="008211F7">
        <w:rPr>
          <w:rFonts w:ascii="GHEA Grapalat" w:eastAsia="Times New Roman" w:hAnsi="GHEA Grapalat" w:cs="Calibri"/>
          <w:lang w:val="hy-AM"/>
        </w:rPr>
        <w:t>5</w:t>
      </w:r>
      <w:r w:rsidRPr="008211F7">
        <w:rPr>
          <w:rFonts w:ascii="GHEA Grapalat" w:eastAsia="Times New Roman" w:hAnsi="GHEA Grapalat" w:cs="Calibri"/>
          <w:lang w:val="hy-AM"/>
        </w:rPr>
        <w:t xml:space="preserve"> թվականի</w:t>
      </w:r>
    </w:p>
    <w:p w14:paraId="28359EF4" w14:textId="4798E079" w:rsidR="006739EA" w:rsidRPr="008211F7" w:rsidRDefault="006739EA" w:rsidP="00BF3558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___________ ___-ի N ____ -Ն որոշման</w:t>
      </w:r>
    </w:p>
    <w:p w14:paraId="2C1FAE50" w14:textId="77777777" w:rsidR="006739EA" w:rsidRPr="008211F7" w:rsidRDefault="006739EA" w:rsidP="006739EA">
      <w:pPr>
        <w:spacing w:after="0" w:line="360" w:lineRule="auto"/>
        <w:jc w:val="center"/>
        <w:rPr>
          <w:rFonts w:ascii="GHEA Grapalat" w:eastAsia="Calibri" w:hAnsi="GHEA Grapalat" w:cs="Times New Roman"/>
          <w:b/>
          <w:bCs/>
          <w:sz w:val="12"/>
          <w:szCs w:val="24"/>
          <w:shd w:val="clear" w:color="auto" w:fill="FFFFFF"/>
          <w:lang w:val="hy-AM"/>
        </w:rPr>
      </w:pPr>
    </w:p>
    <w:p w14:paraId="566F0B54" w14:textId="77777777" w:rsidR="006739EA" w:rsidRPr="008211F7" w:rsidRDefault="006739EA" w:rsidP="009E10C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D126E4D" w14:textId="77777777" w:rsidR="00292CA0" w:rsidRPr="008211F7" w:rsidRDefault="00292CA0" w:rsidP="004762B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Չ Ա Փ Ա Ն Ի Շ Ն Ե Ր</w:t>
      </w:r>
    </w:p>
    <w:p w14:paraId="471E898A" w14:textId="77777777" w:rsidR="00976A8A" w:rsidRPr="008211F7" w:rsidRDefault="00976A8A" w:rsidP="004762B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 xml:space="preserve">գիտական հետազոտությունների և փորձարարական մշակումների </w:t>
      </w:r>
    </w:p>
    <w:p w14:paraId="798F5FDA" w14:textId="77777777" w:rsidR="009E10C1" w:rsidRPr="008211F7" w:rsidRDefault="009E10C1" w:rsidP="004762B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C5D1D8B" w14:textId="77777777" w:rsidR="00292CA0" w:rsidRPr="008211F7" w:rsidRDefault="00292CA0" w:rsidP="004762B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19DCAFF" w14:textId="77777777" w:rsidR="00983F27" w:rsidRPr="008211F7" w:rsidRDefault="00983F27" w:rsidP="00983F27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հետազոտությունների և փորձարարական մշակումների աշխատանքների հաս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կացությունները օգտագործվում են «Գիտական և գիտատեխնիկական գործունեության մասին» օրենքի իմաստով:</w:t>
      </w:r>
    </w:p>
    <w:p w14:paraId="58502237" w14:textId="6EAD2ED7" w:rsidR="00983F27" w:rsidRPr="008211F7" w:rsidRDefault="00983F27" w:rsidP="00983F27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t>Սույն չափանիշների իմաստով գիտական հետազոտություններ են համարվում ձեռք բերած գ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իտելիքների ընդլայնման, նոր գիտելիքների ստացման ու կիրառման նպատակով կատարվող՝ </w:t>
      </w:r>
    </w:p>
    <w:p w14:paraId="66E7127F" w14:textId="7FD37943" w:rsidR="00983F27" w:rsidRPr="008211F7" w:rsidRDefault="00983F27" w:rsidP="00983F27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կիրառական գիտական հետազոտությունները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t>, որոնք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հիմնականում գործնական նշա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նակություն ունեցող</w:t>
      </w:r>
      <w:r w:rsidR="004928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A3A90"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որոշակի </w:t>
      </w:r>
      <w:r w:rsidRPr="00EB105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խնդիրների </w:t>
      </w:r>
      <w:r w:rsidRPr="00A4429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լուծմանը նպատակաուղղված հետազոտու</w:t>
      </w:r>
      <w:r w:rsidRPr="00A4429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թյուն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ներ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են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6908A7AD" w14:textId="6EDFF460" w:rsidR="00983F27" w:rsidRPr="00EB105E" w:rsidRDefault="00983F27" w:rsidP="00983F27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փորձարարական մշակ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t>ման աշխատանքները, որոնք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գիտական հետազոտություն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ների կամ գործնական փորձի միջոցով ձեռք բերված գիտելիքների վրա հիմնված և մարդու կյանքի ու առողջության պահպանմանը, նոր նյութերի, արտադրանքի, ծառայությունների, համա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 xml:space="preserve">կարգերի կամ մեթոդների ստեղծմանը 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t>ինչպես նաև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դրանց հետագա կատա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րե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լա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գործ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  <w:t>մանն ուղղված աշխատանքներ</w:t>
      </w:r>
      <w:r w:rsidR="005346A4" w:rsidRPr="00492856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>ն են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63C5B3BF" w14:textId="77E6FA97" w:rsidR="00E33D82" w:rsidRPr="00EB105E" w:rsidRDefault="00705B93" w:rsidP="00D51222">
      <w:pPr>
        <w:pStyle w:val="NormalWeb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8211F7">
        <w:rPr>
          <w:rFonts w:ascii="GHEA Grapalat" w:eastAsia="GHEA Grapalat" w:hAnsi="GHEA Grapalat" w:cs="GHEA Grapalat"/>
          <w:color w:val="000000"/>
          <w:lang w:val="hy-AM"/>
        </w:rPr>
        <w:t>Գ</w:t>
      </w:r>
      <w:r w:rsidR="00E33D82" w:rsidRPr="008211F7">
        <w:rPr>
          <w:rFonts w:ascii="GHEA Grapalat" w:eastAsia="GHEA Grapalat" w:hAnsi="GHEA Grapalat" w:cs="GHEA Grapalat"/>
          <w:color w:val="000000"/>
          <w:lang w:val="hy-AM"/>
        </w:rPr>
        <w:t>իտա</w:t>
      </w:r>
      <w:r w:rsidR="00FF04BC" w:rsidRPr="008211F7">
        <w:rPr>
          <w:rFonts w:ascii="GHEA Grapalat" w:eastAsia="GHEA Grapalat" w:hAnsi="GHEA Grapalat" w:cs="GHEA Grapalat"/>
          <w:color w:val="000000"/>
          <w:lang w:val="hy-AM"/>
        </w:rPr>
        <w:t xml:space="preserve">կան </w:t>
      </w:r>
      <w:r w:rsidR="00E33D82" w:rsidRPr="008211F7">
        <w:rPr>
          <w:rFonts w:ascii="GHEA Grapalat" w:eastAsia="GHEA Grapalat" w:hAnsi="GHEA Grapalat" w:cs="GHEA Grapalat"/>
          <w:color w:val="000000"/>
          <w:lang w:val="hy-AM"/>
        </w:rPr>
        <w:t>հետազո</w:t>
      </w:r>
      <w:r w:rsidR="00FF04BC" w:rsidRPr="008211F7">
        <w:rPr>
          <w:rFonts w:ascii="GHEA Grapalat" w:eastAsia="GHEA Grapalat" w:hAnsi="GHEA Grapalat" w:cs="GHEA Grapalat"/>
          <w:color w:val="000000"/>
          <w:lang w:val="hy-AM"/>
        </w:rPr>
        <w:t>ություններ</w:t>
      </w:r>
      <w:r w:rsidRPr="008211F7">
        <w:rPr>
          <w:rFonts w:ascii="GHEA Grapalat" w:eastAsia="GHEA Grapalat" w:hAnsi="GHEA Grapalat" w:cs="GHEA Grapalat"/>
          <w:color w:val="000000"/>
          <w:lang w:val="hy-AM"/>
        </w:rPr>
        <w:t>ի</w:t>
      </w:r>
      <w:r w:rsidR="00E33D82" w:rsidRPr="008211F7">
        <w:rPr>
          <w:rFonts w:ascii="GHEA Grapalat" w:eastAsia="GHEA Grapalat" w:hAnsi="GHEA Grapalat" w:cs="GHEA Grapalat"/>
          <w:color w:val="000000"/>
          <w:lang w:val="hy-AM"/>
        </w:rPr>
        <w:t xml:space="preserve"> կամ փորձարարական </w:t>
      </w:r>
      <w:r w:rsidRPr="008211F7">
        <w:rPr>
          <w:rFonts w:ascii="GHEA Grapalat" w:eastAsia="GHEA Grapalat" w:hAnsi="GHEA Grapalat" w:cs="GHEA Grapalat"/>
          <w:color w:val="000000"/>
          <w:lang w:val="hy-AM"/>
        </w:rPr>
        <w:t>մշակումների աշխատանք</w:t>
      </w:r>
      <w:r w:rsidR="00D51222" w:rsidRPr="008211F7">
        <w:rPr>
          <w:rFonts w:ascii="GHEA Grapalat" w:eastAsia="GHEA Grapalat" w:hAnsi="GHEA Grapalat" w:cs="GHEA Grapalat"/>
          <w:color w:val="000000"/>
          <w:lang w:val="hy-AM"/>
        </w:rPr>
        <w:softHyphen/>
      </w:r>
      <w:r w:rsidR="00CC570B" w:rsidRPr="008211F7">
        <w:rPr>
          <w:rFonts w:ascii="GHEA Grapalat" w:eastAsia="GHEA Grapalat" w:hAnsi="GHEA Grapalat" w:cs="GHEA Grapalat"/>
          <w:color w:val="000000"/>
          <w:lang w:val="hy-AM"/>
        </w:rPr>
        <w:t>ներ</w:t>
      </w:r>
      <w:r w:rsidR="00DE54E4" w:rsidRPr="008211F7">
        <w:rPr>
          <w:rFonts w:ascii="GHEA Grapalat" w:eastAsia="GHEA Grapalat" w:hAnsi="GHEA Grapalat" w:cs="GHEA Grapalat"/>
          <w:color w:val="000000"/>
          <w:lang w:val="hy-AM"/>
        </w:rPr>
        <w:t xml:space="preserve">ն այդպիսին որակելու համար դրանք </w:t>
      </w:r>
      <w:r w:rsidR="00EC0505" w:rsidRPr="008211F7">
        <w:rPr>
          <w:rFonts w:ascii="GHEA Grapalat" w:eastAsia="GHEA Grapalat" w:hAnsi="GHEA Grapalat" w:cs="GHEA Grapalat"/>
          <w:color w:val="000000"/>
          <w:lang w:val="hy-AM"/>
        </w:rPr>
        <w:t xml:space="preserve">պետք է </w:t>
      </w:r>
      <w:r w:rsidR="00E468BB" w:rsidRPr="008211F7">
        <w:rPr>
          <w:rFonts w:ascii="GHEA Grapalat" w:eastAsia="GHEA Grapalat" w:hAnsi="GHEA Grapalat" w:cs="GHEA Grapalat"/>
          <w:color w:val="000000"/>
          <w:lang w:val="hy-AM"/>
        </w:rPr>
        <w:t>միաժամանակ բավարար</w:t>
      </w:r>
      <w:r w:rsidR="00EC0505" w:rsidRPr="008211F7">
        <w:rPr>
          <w:rFonts w:ascii="GHEA Grapalat" w:eastAsia="GHEA Grapalat" w:hAnsi="GHEA Grapalat" w:cs="GHEA Grapalat"/>
          <w:color w:val="000000"/>
          <w:lang w:val="hy-AM"/>
        </w:rPr>
        <w:t xml:space="preserve">են </w:t>
      </w:r>
      <w:r w:rsidR="00DE54E4" w:rsidRPr="008211F7">
        <w:rPr>
          <w:rFonts w:ascii="GHEA Grapalat" w:eastAsia="GHEA Grapalat" w:hAnsi="GHEA Grapalat" w:cs="GHEA Grapalat"/>
          <w:color w:val="000000"/>
          <w:lang w:val="hy-AM"/>
        </w:rPr>
        <w:t>սույն կետի 1-5-րդ ենթակետերով սահմանված</w:t>
      </w:r>
      <w:sdt>
        <w:sdtPr>
          <w:rPr>
            <w:rFonts w:ascii="GHEA Grapalat" w:eastAsia="GHEA Grapalat" w:hAnsi="GHEA Grapalat" w:cs="GHEA Grapalat"/>
            <w:color w:val="000000"/>
            <w:lang w:val="hy-AM"/>
          </w:rPr>
          <w:tag w:val="goog_rdk_29"/>
          <w:id w:val="-746733326"/>
        </w:sdtPr>
        <w:sdtEndPr/>
        <w:sdtContent/>
      </w:sdt>
      <w:r w:rsidR="00DE54E4" w:rsidRPr="008211F7">
        <w:rPr>
          <w:rFonts w:ascii="GHEA Grapalat" w:eastAsia="GHEA Grapalat" w:hAnsi="GHEA Grapalat" w:cs="GHEA Grapalat"/>
          <w:color w:val="000000"/>
          <w:lang w:val="hy-AM"/>
        </w:rPr>
        <w:t xml:space="preserve"> չափանիշներին</w:t>
      </w:r>
      <w:r w:rsidR="00DE54E4" w:rsidRPr="00EB105E">
        <w:rPr>
          <w:rFonts w:ascii="GHEA Grapalat" w:eastAsia="GHEA Grapalat" w:hAnsi="GHEA Grapalat" w:cs="GHEA Grapalat"/>
          <w:color w:val="000000"/>
          <w:lang w:val="hy-AM"/>
        </w:rPr>
        <w:t xml:space="preserve">. </w:t>
      </w:r>
    </w:p>
    <w:p w14:paraId="328D8912" w14:textId="6710D1AE" w:rsidR="00EC0505" w:rsidRPr="008211F7" w:rsidRDefault="00DE54E4" w:rsidP="000D49C4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442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="00C07FA3" w:rsidRPr="00A442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որույթ</w:t>
      </w:r>
      <w:r w:rsidRPr="00A442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չափանիշ</w:t>
      </w:r>
      <w:r w:rsidRPr="00A442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՝ </w:t>
      </w:r>
      <w:r w:rsidRPr="00A4429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գործունեությունը </w:t>
      </w:r>
      <w:r w:rsidRPr="0098653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պետք է</w:t>
      </w:r>
      <w:r w:rsidRPr="00333AD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5346A4" w:rsidRPr="00492856">
        <w:rPr>
          <w:rFonts w:ascii="GHEA Grapalat" w:eastAsia="GHEA Grapalat" w:hAnsi="GHEA Grapalat" w:cs="Arial"/>
          <w:color w:val="000000"/>
          <w:sz w:val="24"/>
          <w:szCs w:val="24"/>
          <w:lang w:val="hy-AM"/>
        </w:rPr>
        <w:t xml:space="preserve">ուղղված լինի </w:t>
      </w:r>
      <w:r w:rsidRPr="00A4429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նոր 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կիրառական գիտելիք ստեղծելուն, որը նախկինում գոյություն չի ունեցել կամ չի կիրառվել տվյալ համա</w:t>
      </w:r>
      <w:r w:rsidR="006D28B1"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տեքս</w:t>
      </w:r>
      <w:r w:rsidR="006D28B1"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տում:</w:t>
      </w:r>
      <w:r w:rsidR="004928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Գործունեության արդյունքը պետք է լրացնի գոյություն ունեցող գիտելիքների բազան և ներգրավի նոր գաղափարներ կամ հասկացություններ:</w:t>
      </w:r>
      <w:r w:rsidR="0049285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Նորույթ լինելու չափանիշը կապված է նաև համատեքստի հետ: Նորույթ պարունակող գործունեությունը չի ներառում ստանդարտ գործընթացները կամ արդեն հայտնի գիտել</w:t>
      </w:r>
      <w:r w:rsidR="0022623D"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իքի կիրառումը առանց փոփոխու</w:t>
      </w:r>
      <w:r w:rsidR="006D28B1"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թյան</w:t>
      </w:r>
      <w:r w:rsidR="00AB1849" w:rsidRPr="008211F7">
        <w:rPr>
          <w:rFonts w:ascii="GHEA Grapalat" w:eastAsia="GHEA Grapalat" w:hAnsi="GHEA Grapalat" w:cs="Cambria Math"/>
          <w:color w:val="000000"/>
          <w:sz w:val="24"/>
          <w:szCs w:val="24"/>
          <w:lang w:val="hy-AM"/>
        </w:rPr>
        <w:t>.</w:t>
      </w:r>
    </w:p>
    <w:p w14:paraId="7AD0337A" w14:textId="56B9C990" w:rsidR="00EC0505" w:rsidRPr="008211F7" w:rsidRDefault="00EC0505" w:rsidP="000D49C4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ստեղծարարությ</w:t>
      </w:r>
      <w:r w:rsidR="00041B6A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ուն չ</w:t>
      </w: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ափանիշ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(ոչ բացահայտ հայեցակարգերի և </w:t>
      </w:r>
      <w:r w:rsidR="0005265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հիպոթեզերի վրա հիմնված լինելը)</w:t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գործունեությունը պետք է հիմնված լինի ստեղծագործական աշխատանքի վրա, որտեղ կիրառվում են բնօրինակ և ոչ ակնհայտ մեթոդներ, գաղափարներ կամ հիպո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թեզ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ներ: Ստեղծագործական գործունեությունը պահանջում է մարդկային մտքի և երևակա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ներգրավվածություն՝ նոր լուծումներ գտնելու համար, որը ներառում է նոր մեթոդների մշակում, փորձարկումներ, նախատիպերի ստեղծում կամ նոր կիրառությունների հայտնա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րում: Ստեղծագործական չէ այն գործունեությունը, որը սահմանափակվում է ստանդարտ գործըն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թացներով կամ սովորական փորձարկումներով</w:t>
      </w:r>
      <w:r w:rsidR="00AB1849" w:rsidRPr="008211F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.</w:t>
      </w:r>
    </w:p>
    <w:p w14:paraId="146D0113" w14:textId="68F2E030" w:rsidR="0022623D" w:rsidRPr="008211F7" w:rsidRDefault="00EC0505" w:rsidP="001D29A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վերջնարդյունքների</w:t>
      </w:r>
      <w:proofErr w:type="spellEnd"/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անորոշությ</w:t>
      </w:r>
      <w:r w:rsidR="0022623D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 չափանիշ</w:t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գործունեությունը պետք է ներառի պար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տադիր անորոշություն, այսինքն՝ արդյունքը չի կարող ամբողջությամբ </w:t>
      </w:r>
      <w:proofErr w:type="spellStart"/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կանխատեսվել</w:t>
      </w:r>
      <w:proofErr w:type="spellEnd"/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երաշխավորվել նախապես: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623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Անորոշությունը վերաբերում է երկու հիմնական գործոնի՝</w:t>
      </w:r>
    </w:p>
    <w:p w14:paraId="7F8CC4C5" w14:textId="77777777" w:rsidR="0022623D" w:rsidRPr="008211F7" w:rsidRDefault="0022623D" w:rsidP="0022623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արդյունքի անորոշությանը՝ հնարավոր չէ հստակ իմանալ, թե արդյոք նախագիծը կհասնի իր նպատակին,</w:t>
      </w:r>
    </w:p>
    <w:p w14:paraId="7FAE2D7C" w14:textId="434C7ADC" w:rsidR="0022623D" w:rsidRPr="008211F7" w:rsidRDefault="0022623D" w:rsidP="0022623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ռեսուրսների անորոշությանը՝ չկա լիակատար վստահություն, թե որքան ժամանակ, գումար կամ ջանք կպահանջվի հաջողության հասնելու համար:</w:t>
      </w:r>
    </w:p>
    <w:p w14:paraId="1C185A00" w14:textId="79664B96" w:rsidR="0022623D" w:rsidRPr="008211F7" w:rsidRDefault="0022623D" w:rsidP="0022623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ենթակետով սահմանված անորոշության բացակայության դեպքում գործունեու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թյունը դիտարկվում է որպես սովորո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ւթային կամ արտադրական գործընթաց</w:t>
      </w:r>
      <w:r w:rsidR="00AB1849" w:rsidRPr="008211F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.</w:t>
      </w:r>
    </w:p>
    <w:p w14:paraId="1ADDED25" w14:textId="358B409F" w:rsidR="009949CB" w:rsidRPr="008211F7" w:rsidRDefault="00EC0505" w:rsidP="009949C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համակարգվածությ</w:t>
      </w:r>
      <w:r w:rsidR="009949CB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 չափանիշ</w:t>
      </w:r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(բովանդակային ծրագրումը և ֆինանսական նախա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</w:t>
      </w:r>
      <w:r w:rsidR="00041B6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5265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վարկը)</w:t>
      </w:r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գործունեությունը պետք է իրականացվի նախապես պլանավորված, համա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կարգված և ֆինանսապես կազմակերպված ձևով: Պետք է հստակ սահմանված լինեն`</w:t>
      </w:r>
    </w:p>
    <w:p w14:paraId="4EDF5226" w14:textId="1954D423" w:rsidR="009949CB" w:rsidRPr="0098653E" w:rsidRDefault="009949CB" w:rsidP="006D28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sdt>
        <w:sdtPr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ag w:val="goog_rdk_33"/>
          <w:id w:val="-1658146599"/>
        </w:sdtPr>
        <w:sdtEndPr/>
        <w:sdtContent/>
      </w:sdt>
      <w:sdt>
        <w:sdtPr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ag w:val="goog_rdk_34"/>
          <w:id w:val="-780717501"/>
        </w:sdtPr>
        <w:sdtEndPr/>
        <w:sdtContent/>
      </w:sdt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նպատակները, թե ինչի համար են իրականացվում </w:t>
      </w:r>
      <w:r w:rsidR="005346A4" w:rsidRPr="0049285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գիտական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հետազոտությունն ու փոր</w:t>
      </w:r>
      <w:r w:rsidR="006D28B1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ձա</w:t>
      </w:r>
      <w:r w:rsidR="006D28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6D28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6D28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865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 մշակումները,</w:t>
      </w:r>
    </w:p>
    <w:p w14:paraId="685F4E00" w14:textId="4D442936" w:rsidR="009949CB" w:rsidRPr="00EB105E" w:rsidRDefault="009949CB" w:rsidP="006D28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33A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</w:t>
      </w:r>
      <w:sdt>
        <w:sdtPr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ag w:val="goog_rdk_35"/>
          <w:id w:val="52127207"/>
        </w:sdtPr>
        <w:sdtEndPr/>
        <w:sdtContent/>
      </w:sdt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մեթոդաբանությունը, թե ինչպես է իրականացվելու,</w:t>
      </w:r>
    </w:p>
    <w:p w14:paraId="2B4039CE" w14:textId="4F94B3A2" w:rsidR="009949CB" w:rsidRPr="00EB105E" w:rsidRDefault="009949CB" w:rsidP="006D28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</w:t>
      </w:r>
      <w:sdt>
        <w:sdtPr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ag w:val="goog_rdk_36"/>
          <w:id w:val="-1162458245"/>
        </w:sdtPr>
        <w:sdtEndPr/>
        <w:sdtContent/>
      </w:sdt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ռեսուրսները՝ ով և ինչ միջոցներ են ներգրավվելու (ֆինանսներ, ժամանակ, աշխա</w:t>
      </w:r>
      <w:r w:rsidR="006D28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տուժ):</w:t>
      </w:r>
    </w:p>
    <w:p w14:paraId="23AC0F91" w14:textId="1D61AEB6" w:rsidR="009949CB" w:rsidRPr="008211F7" w:rsidRDefault="009949CB" w:rsidP="001D29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Չպլանավորված կամ ոչ համակարգված փորձարկումները, ինչպես նաև սովորական արտադրական գործընթացները չեն համարվում </w:t>
      </w:r>
      <w:r w:rsidR="005346A4" w:rsidRPr="0049285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գիտական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հետազոտությու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ններ </w:t>
      </w:r>
      <w:r w:rsidR="005214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52144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</w:t>
      </w:r>
      <w:r w:rsidR="00786F0E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C4604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ձա</w:t>
      </w:r>
      <w:r w:rsidR="00786F0E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786F0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րական մշակումներ</w:t>
      </w:r>
      <w:r w:rsidR="00AB1849" w:rsidRPr="008211F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.</w:t>
      </w:r>
    </w:p>
    <w:p w14:paraId="2C68C162" w14:textId="0729872D" w:rsidR="009949CB" w:rsidRPr="008211F7" w:rsidRDefault="00EC0505" w:rsidP="006D28B1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փոխանցելիությ</w:t>
      </w:r>
      <w:r w:rsidR="00041B6A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ուն</w:t>
      </w: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41B6A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և (</w:t>
      </w: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կամ</w:t>
      </w:r>
      <w:r w:rsidR="00041B6A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) վերարտադրելիությ</w:t>
      </w:r>
      <w:r w:rsidR="009949CB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 չափանիշ</w:t>
      </w:r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գործունեության արդյունք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ները պետք է լինեն փոխանցելի կամ վերարտադրելի, ինչը նշանակում է, որ նոր գիտելիքը պետք է հնարավոր լինի կիրառել, փոխանցել կամ կրկնել այլ վայրում կամ այլ </w:t>
      </w:r>
      <w:proofErr w:type="spellStart"/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հետազոտողների</w:t>
      </w:r>
      <w:proofErr w:type="spellEnd"/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կողմից: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949C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Գործունեության արդյունքը պետք է լինի փաստաթղթավորված և հաղորդակ</w:t>
      </w:r>
      <w:r w:rsidR="00AB184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ցելի, որպեսզի այն հնարավոր լինի.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9CF8699" w14:textId="137989DA" w:rsidR="009949CB" w:rsidRPr="008211F7" w:rsidRDefault="009949CB" w:rsidP="006D28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փոխադրել՝ կիրառել այլ ոլորտներում կամ նոր նախագծերում,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96B65B0" w14:textId="5271FA4B" w:rsidR="009949CB" w:rsidRPr="008211F7" w:rsidRDefault="009949CB" w:rsidP="006D28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վերարտադրել՝ հաստատել և կրկնել այլ հետազոտողների կողմից՝ նույն պայ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րում:</w:t>
      </w:r>
    </w:p>
    <w:p w14:paraId="76D77975" w14:textId="0D1C4B74" w:rsidR="00EC0505" w:rsidRPr="008211F7" w:rsidRDefault="009949CB" w:rsidP="001D29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կամ մեկանգամյա լուծումները, որոնք չեն փաստաթղթավորվում կամ չեն կարող կրկնվել, չեն դիտարկվում որպես հետազոտությունների և փորձարարական մշա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կում</w:t>
      </w:r>
      <w:r w:rsidR="00CC460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արդյունք:</w:t>
      </w:r>
    </w:p>
    <w:p w14:paraId="155D8B1D" w14:textId="721BCFAC" w:rsidR="00492856" w:rsidRDefault="001D29AA" w:rsidP="005A153A">
      <w:pPr>
        <w:pStyle w:val="NormalWeb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8211F7">
        <w:rPr>
          <w:rFonts w:ascii="GHEA Grapalat" w:hAnsi="GHEA Grapalat"/>
          <w:color w:val="000000"/>
          <w:lang w:val="hy-AM"/>
        </w:rPr>
        <w:t>Գիտական հետազոտություններ և փորձարարական մշակման աշխատանքներն այդ</w:t>
      </w:r>
      <w:r w:rsidR="00492856">
        <w:rPr>
          <w:rFonts w:ascii="GHEA Grapalat" w:hAnsi="GHEA Grapalat"/>
          <w:color w:val="000000"/>
          <w:lang w:val="hy-AM"/>
        </w:rPr>
        <w:softHyphen/>
      </w:r>
      <w:r w:rsidRPr="008211F7">
        <w:rPr>
          <w:rFonts w:ascii="GHEA Grapalat" w:hAnsi="GHEA Grapalat"/>
          <w:color w:val="000000"/>
          <w:lang w:val="hy-AM"/>
        </w:rPr>
        <w:t xml:space="preserve">պիսին որակելու չափանիշների կիրառման ժամանակ չեն գնահատվում </w:t>
      </w:r>
      <w:sdt>
        <w:sdtPr>
          <w:rPr>
            <w:rFonts w:ascii="GHEA Grapalat" w:hAnsi="GHEA Grapalat"/>
            <w:color w:val="000000"/>
            <w:lang w:val="hy-AM"/>
          </w:rPr>
          <w:tag w:val="goog_rdk_41"/>
          <w:id w:val="2024584240"/>
        </w:sdtPr>
        <w:sdtEndPr/>
        <w:sdtContent>
          <w:r w:rsidRPr="008211F7">
            <w:rPr>
              <w:rFonts w:ascii="GHEA Grapalat" w:hAnsi="GHEA Grapalat"/>
              <w:color w:val="000000"/>
              <w:lang w:val="hy-AM"/>
            </w:rPr>
            <w:t>հավաքագրման</w:t>
          </w:r>
        </w:sdtContent>
      </w:sdt>
      <w:sdt>
        <w:sdtPr>
          <w:rPr>
            <w:rFonts w:ascii="GHEA Grapalat" w:hAnsi="GHEA Grapalat"/>
            <w:color w:val="000000"/>
            <w:lang w:val="hy-AM"/>
          </w:rPr>
          <w:tag w:val="goog_rdk_42"/>
          <w:id w:val="1984885640"/>
        </w:sdtPr>
        <w:sdtEndPr/>
        <w:sdtContent>
          <w:sdt>
            <w:sdtPr>
              <w:rPr>
                <w:rFonts w:ascii="GHEA Grapalat" w:hAnsi="GHEA Grapalat"/>
                <w:color w:val="000000"/>
                <w:lang w:val="hy-AM"/>
              </w:rPr>
              <w:tag w:val="goog_rdk_43"/>
              <w:id w:val="-205653369"/>
            </w:sdtPr>
            <w:sdtEndPr/>
            <w:sdtContent/>
          </w:sdt>
        </w:sdtContent>
      </w:sdt>
      <w:r w:rsidRPr="008211F7">
        <w:rPr>
          <w:rFonts w:ascii="GHEA Grapalat" w:hAnsi="GHEA Grapalat"/>
          <w:color w:val="000000"/>
          <w:lang w:val="hy-AM"/>
        </w:rPr>
        <w:t xml:space="preserve">, </w:t>
      </w:r>
      <w:sdt>
        <w:sdtPr>
          <w:rPr>
            <w:rFonts w:ascii="GHEA Grapalat" w:hAnsi="GHEA Grapalat"/>
            <w:color w:val="000000"/>
            <w:lang w:val="hy-AM"/>
          </w:rPr>
          <w:tag w:val="goog_rdk_44"/>
          <w:id w:val="777836882"/>
        </w:sdtPr>
        <w:sdtEndPr/>
        <w:sdtContent/>
      </w:sdt>
      <w:r w:rsidRPr="008211F7">
        <w:rPr>
          <w:rFonts w:ascii="GHEA Grapalat" w:hAnsi="GHEA Grapalat"/>
          <w:color w:val="000000"/>
          <w:lang w:val="hy-AM"/>
        </w:rPr>
        <w:t>կոդա</w:t>
      </w:r>
      <w:r w:rsidR="00492856">
        <w:rPr>
          <w:rFonts w:ascii="GHEA Grapalat" w:hAnsi="GHEA Grapalat"/>
          <w:color w:val="000000"/>
          <w:lang w:val="hy-AM"/>
        </w:rPr>
        <w:softHyphen/>
      </w:r>
      <w:r w:rsidRPr="008211F7">
        <w:rPr>
          <w:rFonts w:ascii="GHEA Grapalat" w:hAnsi="GHEA Grapalat"/>
          <w:color w:val="000000"/>
          <w:lang w:val="hy-AM"/>
        </w:rPr>
        <w:t>վորման, ձայնագրության, դասակարգման, տարածման, թարգմանության,</w:t>
      </w:r>
      <w:r w:rsidR="00253286" w:rsidRPr="008211F7">
        <w:rPr>
          <w:rFonts w:ascii="GHEA Grapalat" w:hAnsi="GHEA Grapalat"/>
          <w:color w:val="000000"/>
          <w:lang w:val="hy-AM"/>
        </w:rPr>
        <w:t xml:space="preserve"> վերլու</w:t>
      </w:r>
      <w:r w:rsidR="00492856">
        <w:rPr>
          <w:rFonts w:ascii="GHEA Grapalat" w:hAnsi="GHEA Grapalat"/>
          <w:color w:val="000000"/>
          <w:lang w:val="hy-AM"/>
        </w:rPr>
        <w:softHyphen/>
      </w:r>
      <w:r w:rsidR="00253286" w:rsidRPr="008211F7">
        <w:rPr>
          <w:rFonts w:ascii="GHEA Grapalat" w:hAnsi="GHEA Grapalat"/>
          <w:color w:val="000000"/>
          <w:lang w:val="hy-AM"/>
        </w:rPr>
        <w:t>ծա</w:t>
      </w:r>
      <w:r w:rsidR="00492856">
        <w:rPr>
          <w:rFonts w:ascii="GHEA Grapalat" w:hAnsi="GHEA Grapalat"/>
          <w:color w:val="000000"/>
          <w:lang w:val="hy-AM"/>
        </w:rPr>
        <w:softHyphen/>
      </w:r>
      <w:r w:rsidR="00253286" w:rsidRPr="008211F7">
        <w:rPr>
          <w:rFonts w:ascii="GHEA Grapalat" w:hAnsi="GHEA Grapalat"/>
          <w:color w:val="000000"/>
          <w:lang w:val="hy-AM"/>
        </w:rPr>
        <w:t xml:space="preserve">կան </w:t>
      </w:r>
      <w:r w:rsidRPr="008211F7">
        <w:rPr>
          <w:rFonts w:ascii="GHEA Grapalat" w:hAnsi="GHEA Grapalat"/>
          <w:color w:val="000000"/>
          <w:lang w:val="hy-AM"/>
        </w:rPr>
        <w:t>և գնահատման գործողությունները։</w:t>
      </w:r>
    </w:p>
    <w:p w14:paraId="62EEACC7" w14:textId="0F00A9CF" w:rsidR="0088406B" w:rsidRPr="00492856" w:rsidRDefault="0088406B" w:rsidP="005A153A">
      <w:pPr>
        <w:pStyle w:val="NormalWeb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492856">
        <w:rPr>
          <w:rFonts w:ascii="GHEA Grapalat" w:eastAsia="Calibri" w:hAnsi="GHEA Grapalat" w:cs="Sylfaen"/>
          <w:lang w:val="hy-AM"/>
        </w:rPr>
        <w:t xml:space="preserve">Գիտական հետազոտությունները և փորձարարական մշակումների աշխատանքները որպես այդպիսին որակելու վերաբերյալ հայտը չի դիտարկվում, եթե </w:t>
      </w:r>
      <w:r w:rsidR="005A153A" w:rsidRPr="00492856">
        <w:rPr>
          <w:rFonts w:ascii="GHEA Grapalat" w:eastAsia="Calibri" w:hAnsi="GHEA Grapalat" w:cs="Sylfaen"/>
          <w:lang w:val="hy-AM"/>
        </w:rPr>
        <w:t xml:space="preserve">դիմելու ամսվան </w:t>
      </w:r>
      <w:r w:rsidRPr="00492856">
        <w:rPr>
          <w:rFonts w:ascii="GHEA Grapalat" w:eastAsia="Calibri" w:hAnsi="GHEA Grapalat" w:cs="Sylfaen"/>
          <w:lang w:val="hy-AM"/>
        </w:rPr>
        <w:t xml:space="preserve">նախորդ առնվազն </w:t>
      </w:r>
      <w:r w:rsidR="005A153A" w:rsidRPr="00492856">
        <w:rPr>
          <w:rFonts w:ascii="GHEA Grapalat" w:eastAsia="Calibri" w:hAnsi="GHEA Grapalat" w:cs="Sylfaen"/>
          <w:lang w:val="hy-AM"/>
        </w:rPr>
        <w:t>վեց</w:t>
      </w:r>
      <w:r w:rsidRPr="00492856">
        <w:rPr>
          <w:rFonts w:ascii="GHEA Grapalat" w:eastAsia="Calibri" w:hAnsi="GHEA Grapalat" w:cs="Sylfaen"/>
          <w:lang w:val="hy-AM"/>
        </w:rPr>
        <w:t xml:space="preserve"> ամիսների ընթացքում </w:t>
      </w:r>
      <w:r w:rsidR="005A153A" w:rsidRPr="00492856">
        <w:rPr>
          <w:rFonts w:ascii="GHEA Grapalat" w:eastAsia="Calibri" w:hAnsi="GHEA Grapalat" w:cs="Sylfaen"/>
          <w:lang w:val="hy-AM"/>
        </w:rPr>
        <w:t>դիմող տնտեսավարող սուբյեկտները հար</w:t>
      </w:r>
      <w:r w:rsidR="00492856">
        <w:rPr>
          <w:rFonts w:ascii="GHEA Grapalat" w:eastAsia="Calibri" w:hAnsi="GHEA Grapalat" w:cs="Sylfaen"/>
          <w:lang w:val="hy-AM"/>
        </w:rPr>
        <w:softHyphen/>
      </w:r>
      <w:r w:rsidR="005A153A" w:rsidRPr="00492856">
        <w:rPr>
          <w:rFonts w:ascii="GHEA Grapalat" w:eastAsia="Calibri" w:hAnsi="GHEA Grapalat" w:cs="Sylfaen"/>
          <w:lang w:val="hy-AM"/>
        </w:rPr>
        <w:t>կա</w:t>
      </w:r>
      <w:r w:rsidR="00492856">
        <w:rPr>
          <w:rFonts w:ascii="GHEA Grapalat" w:eastAsia="Calibri" w:hAnsi="GHEA Grapalat" w:cs="Sylfaen"/>
          <w:lang w:val="hy-AM"/>
        </w:rPr>
        <w:softHyphen/>
      </w:r>
      <w:r w:rsidR="005A153A" w:rsidRPr="00492856">
        <w:rPr>
          <w:rFonts w:ascii="GHEA Grapalat" w:eastAsia="Calibri" w:hAnsi="GHEA Grapalat" w:cs="Sylfaen"/>
          <w:lang w:val="hy-AM"/>
        </w:rPr>
        <w:t>յին մարմին ներկայացված հարկային հաշվարկներով չեն նշել, որ գործունեություն են իրա</w:t>
      </w:r>
      <w:r w:rsidR="00492856">
        <w:rPr>
          <w:rFonts w:ascii="GHEA Grapalat" w:eastAsia="Calibri" w:hAnsi="GHEA Grapalat" w:cs="Sylfaen"/>
          <w:lang w:val="hy-AM"/>
        </w:rPr>
        <w:softHyphen/>
      </w:r>
      <w:r w:rsidR="005A153A" w:rsidRPr="00492856">
        <w:rPr>
          <w:rFonts w:ascii="GHEA Grapalat" w:eastAsia="Calibri" w:hAnsi="GHEA Grapalat" w:cs="Sylfaen"/>
          <w:lang w:val="hy-AM"/>
        </w:rPr>
        <w:t>կա</w:t>
      </w:r>
      <w:r w:rsidR="00492856">
        <w:rPr>
          <w:rFonts w:ascii="GHEA Grapalat" w:eastAsia="Calibri" w:hAnsi="GHEA Grapalat" w:cs="Sylfaen"/>
          <w:lang w:val="hy-AM"/>
        </w:rPr>
        <w:softHyphen/>
      </w:r>
      <w:r w:rsidR="005A153A" w:rsidRPr="00492856">
        <w:rPr>
          <w:rFonts w:ascii="GHEA Grapalat" w:eastAsia="Calibri" w:hAnsi="GHEA Grapalat" w:cs="Sylfaen"/>
          <w:lang w:val="hy-AM"/>
        </w:rPr>
        <w:t>նացնում M72 տնտեսական գործունեության դասակարգչի ներքո</w:t>
      </w:r>
      <w:r w:rsidRPr="00492856">
        <w:rPr>
          <w:rFonts w:ascii="GHEA Grapalat" w:eastAsia="Calibri" w:hAnsi="GHEA Grapalat" w:cs="Sylfaen"/>
          <w:lang w:val="hy-AM"/>
        </w:rPr>
        <w:t xml:space="preserve">՝ ընդ որում՝ </w:t>
      </w:r>
      <w:r w:rsidR="005A153A" w:rsidRPr="00492856">
        <w:rPr>
          <w:rFonts w:ascii="GHEA Grapalat" w:eastAsia="Calibri" w:hAnsi="GHEA Grapalat" w:cs="Sylfaen"/>
          <w:lang w:val="hy-AM"/>
        </w:rPr>
        <w:t>դիմելու ամս</w:t>
      </w:r>
      <w:r w:rsidR="00492856">
        <w:rPr>
          <w:rFonts w:ascii="GHEA Grapalat" w:eastAsia="Calibri" w:hAnsi="GHEA Grapalat" w:cs="Sylfaen"/>
          <w:lang w:val="hy-AM"/>
        </w:rPr>
        <w:softHyphen/>
      </w:r>
      <w:r w:rsidR="005A153A" w:rsidRPr="00492856">
        <w:rPr>
          <w:rFonts w:ascii="GHEA Grapalat" w:eastAsia="Calibri" w:hAnsi="GHEA Grapalat" w:cs="Sylfaen"/>
          <w:lang w:val="hy-AM"/>
        </w:rPr>
        <w:t>վան նախորդ առնվազն վեց ամիսների մասով</w:t>
      </w:r>
      <w:r w:rsidRPr="00492856">
        <w:rPr>
          <w:rFonts w:ascii="GHEA Grapalat" w:eastAsia="Calibri" w:hAnsi="GHEA Grapalat" w:cs="Sylfaen"/>
          <w:lang w:val="hy-AM"/>
        </w:rPr>
        <w:t xml:space="preserve"> ճշգրտումներ չպետք է կատարված լինեն։</w:t>
      </w:r>
    </w:p>
    <w:p w14:paraId="0E182477" w14:textId="77777777" w:rsidR="004E05C1" w:rsidRPr="008211F7" w:rsidRDefault="004E05C1" w:rsidP="004762B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2FBDA1C" w14:textId="77777777" w:rsidR="001D29AA" w:rsidRPr="008211F7" w:rsidRDefault="001D29AA">
      <w:pPr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lang w:val="hy-AM"/>
        </w:rPr>
        <w:br w:type="page"/>
      </w:r>
    </w:p>
    <w:p w14:paraId="4F3B9E6E" w14:textId="08997A77" w:rsidR="00292CA0" w:rsidRPr="008211F7" w:rsidRDefault="0024098D" w:rsidP="00C07FA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lang w:val="hy-AM"/>
        </w:rPr>
        <w:lastRenderedPageBreak/>
        <w:t>Հավելված N 3</w:t>
      </w:r>
    </w:p>
    <w:p w14:paraId="3D39BA74" w14:textId="5832BEA9" w:rsidR="006739EA" w:rsidRPr="008211F7" w:rsidRDefault="006739EA" w:rsidP="00C07FA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ՀՀ կառավարության 202</w:t>
      </w:r>
      <w:r w:rsidR="00FA3A90" w:rsidRPr="008211F7">
        <w:rPr>
          <w:rFonts w:ascii="GHEA Grapalat" w:eastAsia="Times New Roman" w:hAnsi="GHEA Grapalat" w:cs="Calibri"/>
          <w:lang w:val="hy-AM"/>
        </w:rPr>
        <w:t>5</w:t>
      </w:r>
      <w:r w:rsidRPr="008211F7">
        <w:rPr>
          <w:rFonts w:ascii="GHEA Grapalat" w:eastAsia="Times New Roman" w:hAnsi="GHEA Grapalat" w:cs="Calibri"/>
          <w:lang w:val="hy-AM"/>
        </w:rPr>
        <w:t xml:space="preserve"> թվականի</w:t>
      </w:r>
    </w:p>
    <w:p w14:paraId="6AB2BB78" w14:textId="14D2D39B" w:rsidR="006739EA" w:rsidRPr="008211F7" w:rsidRDefault="006739EA" w:rsidP="00C07FA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_____</w:t>
      </w:r>
      <w:r w:rsidR="00C07FA3" w:rsidRPr="008211F7">
        <w:rPr>
          <w:rFonts w:ascii="GHEA Grapalat" w:eastAsia="Times New Roman" w:hAnsi="GHEA Grapalat" w:cs="Calibri"/>
          <w:lang w:val="hy-AM"/>
        </w:rPr>
        <w:t>______ ___-ի N ____ -Ն որոշման</w:t>
      </w:r>
    </w:p>
    <w:p w14:paraId="65CEE7CC" w14:textId="77777777" w:rsidR="006739EA" w:rsidRPr="008211F7" w:rsidRDefault="006739EA" w:rsidP="0024098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D9F6AF4" w14:textId="77777777" w:rsidR="00090FFA" w:rsidRPr="008211F7" w:rsidRDefault="00090FFA" w:rsidP="004762B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14:paraId="77D6F76B" w14:textId="77777777" w:rsidR="00D306C8" w:rsidRPr="008211F7" w:rsidRDefault="0024098D" w:rsidP="0024098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ԳԻՏԱԿԱՆ ՀԵՏԱԶՈՏՈՒԹՅՈՒՆՆԵՐԻ և ՓՈՐՁԱՐԱՐԱԿԱՆ ՄՇԱԿՈՒՄՆԵՐԻ ԱՇԽԱՏԱՆՔՆԵՐԸ ՈՐՊԵՍ ԱՅԴՊԻՍԻՆ ՈՐԱԿՈՂ ՄԱՍՆԱԳԻՏԱԿԱՆ ՀԱՆՁՆԱԺՈՂՈՎԻ ԳՈՐԾՈՒՆԵՈՒԹՅԱՆ</w:t>
      </w:r>
    </w:p>
    <w:p w14:paraId="0CDEA97A" w14:textId="380C3EF6" w:rsidR="0024098D" w:rsidRPr="008211F7" w:rsidRDefault="0024098D" w:rsidP="0024098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D84034" w14:textId="77777777" w:rsidR="00C07FA3" w:rsidRPr="008211F7" w:rsidRDefault="00C07FA3" w:rsidP="0024098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186C7C" w14:textId="2DC93C14" w:rsidR="00090FFA" w:rsidRPr="008211F7" w:rsidRDefault="00090FFA" w:rsidP="00C07FA3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կարգավորվում են </w:t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հետազոտությունների և փորձա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 մշակումների աշխատանքները որպես այդպիսին որակող մասնագիտական հանձ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6A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ղովի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</w:t>
      </w:r>
      <w:r w:rsidR="0005265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անձնաժողով) գործունեության հետ կապված հարաբերությունները:</w:t>
      </w:r>
    </w:p>
    <w:p w14:paraId="2506AF9C" w14:textId="3EABEE1E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Հանձնաժողովն իր գործունեության ընթացքում ղեկավարվում է Հայաստանի Հան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պետության օրենսդրությամբ և սույն կարգով:</w:t>
      </w:r>
    </w:p>
    <w:p w14:paraId="0C8BAFFE" w14:textId="1FFFECC1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անդամներն իրենց պարտականությունները կատարում են հասա</w:t>
      </w:r>
      <w:r w:rsidR="00C07FA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05265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="0005265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 հիմունքներով:</w:t>
      </w:r>
    </w:p>
    <w:p w14:paraId="65EB5F37" w14:textId="76F0CD6F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գործառույթներն են՝</w:t>
      </w:r>
    </w:p>
    <w:p w14:paraId="11B0A6D0" w14:textId="756457DC" w:rsidR="00DD58D4" w:rsidRPr="008211F7" w:rsidRDefault="00DD58D4" w:rsidP="003751FC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հետազոտությունների և փորձարա</w:t>
      </w:r>
      <w:r w:rsidR="004F3D7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 մշակումների աշխատանքները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որպես այդպիսի որակելու վերաբերյալ եզրակացություն տրամադրելը.</w:t>
      </w:r>
    </w:p>
    <w:p w14:paraId="1E1D5EB2" w14:textId="43DC8B62" w:rsidR="00550936" w:rsidRPr="008211F7" w:rsidRDefault="00052655" w:rsidP="00550936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հետազոտությունների և փորձարարական մշակումների աշխատանքները</w:t>
      </w:r>
      <w:r w:rsidR="004F3D7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որպես այդպիսին որակումը մերժելու վերաբերյալ եզրակացություն տրա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մադ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րելը</w:t>
      </w:r>
      <w:r w:rsidR="00AB1849" w:rsidRPr="008211F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.</w:t>
      </w:r>
    </w:p>
    <w:p w14:paraId="247B5444" w14:textId="5A7D05FC" w:rsidR="00090FFA" w:rsidRPr="008211F7" w:rsidRDefault="00C07FA3" w:rsidP="00550936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րպես գիտական հետազոտությունների և փորձարարական մշակումների աշխա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</w:t>
      </w:r>
      <w:r w:rsidR="0005265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646E1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 որակված աշխատանքների որակումը դադարեցնելու վերաբերյալ եզրա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 տրամադրելը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A5C7225" w14:textId="7A9F4BBD" w:rsidR="00AF4FDE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Հանձնաժողովն իր գործունեությունը կազմակերպում է նիստերի միջոցով: Հանձ</w:t>
      </w:r>
      <w:r w:rsidR="003751FC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նա</w:t>
      </w:r>
      <w:r w:rsidR="003751FC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ժո</w:t>
      </w:r>
      <w:r w:rsidR="003751FC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ղովի նիստերը հրավիրվում են ըստ անհրաժեշտության: Հանձնաժողովի նախագահի հրա</w:t>
      </w:r>
      <w:r w:rsidR="003751FC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վե</w:t>
      </w:r>
      <w:r w:rsidR="003751FC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րով կամ հանձնաժողովի որոշմամբ խորհրդակցական ձայնի իրավունքով հանձնաժողովի նիստին կարող են մասնակցել հանձնաժողովի անդամ չհանդիսացող անձինք: </w:t>
      </w:r>
      <w:r w:rsidR="00151988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Ըստ անհրա</w:t>
      </w:r>
      <w:r w:rsidR="00151988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ժեշ</w:t>
      </w:r>
      <w:r w:rsidR="00151988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տության հանձնաժողովը կարող է ներգրավել փորձագետներ՝ լրացուցիչ եզրակացություն ստանալու նպատակով։</w:t>
      </w:r>
    </w:p>
    <w:p w14:paraId="3793CD2F" w14:textId="1C128736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նիստերն իրավազոր են, եթե դրանց մասնակցում է հանձնաժողովի անդամների ընդհանուր թվի առնվազն երկու երրորդը:</w:t>
      </w:r>
    </w:p>
    <w:p w14:paraId="3C335273" w14:textId="1CD2AD39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Հանձնաժողովը տրամադրում է՝</w:t>
      </w:r>
    </w:p>
    <w:p w14:paraId="17EEDF78" w14:textId="12383EE9" w:rsidR="00BB2974" w:rsidRPr="008211F7" w:rsidRDefault="00BB2974" w:rsidP="003751FC">
      <w:pPr>
        <w:pStyle w:val="ListParagraph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գիտական հետազոտությունների և փորձարարական մշակումների աշխատանքները որպես այդպիսի</w:t>
      </w:r>
      <w:r w:rsidR="00646E1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որակելու վերաբերյալ եզրակացություն.</w:t>
      </w:r>
    </w:p>
    <w:p w14:paraId="41FFC254" w14:textId="76EA3676" w:rsidR="00090FFA" w:rsidRPr="008211F7" w:rsidRDefault="00B67A4D" w:rsidP="003751FC">
      <w:pPr>
        <w:pStyle w:val="ListParagraph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որպես գիտական հետազոտություններ և փորձարարական մշակումներ որակված աշխա</w:t>
      </w:r>
      <w:r w:rsidR="00646E1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տանքների որակումը դադարեցնելու վերաբերյալ եզրակացություն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BCEF227" w14:textId="4F547A72" w:rsidR="00B67A4D" w:rsidRPr="008211F7" w:rsidRDefault="003751FC" w:rsidP="003751FC">
      <w:pPr>
        <w:pStyle w:val="ListParagraph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իտական հետազոտությունների և փորձարարական մշակումների աշխատանքները որպես այդպիսին որակումը մերժելու վերաբերյալ եզրակացություն:</w:t>
      </w:r>
    </w:p>
    <w:p w14:paraId="1D2C6948" w14:textId="3533802A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Հանձնաժողովն ընդունում է՝</w:t>
      </w:r>
    </w:p>
    <w:p w14:paraId="3146AACA" w14:textId="77777777" w:rsidR="00550936" w:rsidRPr="008211F7" w:rsidRDefault="00FD4FEE" w:rsidP="00550936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գիտական հետազոտությունների և փորձարարական մշակումների աշխատանքները, որպես այդպիսին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որակ</w:t>
      </w:r>
      <w:r w:rsidR="004120F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 հայտի քննարկումը կասեցնելու վերաբերյալ որոշում.</w:t>
      </w:r>
    </w:p>
    <w:p w14:paraId="3BB7295C" w14:textId="1DBBD682" w:rsidR="00550936" w:rsidRPr="008211F7" w:rsidRDefault="00550936" w:rsidP="00550936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գիտա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կան հետազոտությունների և փորձարարական մշակումների ծրագրում փոփո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խու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թյուններ և (կամ) լրացումներ կատարելու վերաբերյալ որոշում.</w:t>
      </w:r>
    </w:p>
    <w:p w14:paraId="37330798" w14:textId="5D3FCE48" w:rsidR="00550936" w:rsidRPr="008211F7" w:rsidRDefault="00550936" w:rsidP="003751FC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գիտա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կան հետազոտությունների և փորձարարական մշակումների ծրագրում փոփո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խու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թյունների և (կամ) լրացումների կատարումը մերժելու վերաբերյալ որոշում.</w:t>
      </w:r>
    </w:p>
    <w:p w14:paraId="7C507C76" w14:textId="704C38FC" w:rsidR="00090FFA" w:rsidRPr="008211F7" w:rsidRDefault="00090FFA" w:rsidP="003751FC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գործունեության հետ կապված որոշումներ:</w:t>
      </w:r>
    </w:p>
    <w:p w14:paraId="36C3BE5E" w14:textId="4AEED570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որոշումները և եզրակացություններն ընդունվում են նիստին ներկա անդամների ձայների պարզ մեծամասնությամբ: Ձայների հավասարության դեպքում հանձ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ժողովի նախագահի, իսկ հանձնաժողովի նախագահի փոխարինման դեպքում՝ հանձ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ղովի նախագահին փոխարինողի ձայնը վճռորոշ է: Հանձնաժողովի անդամի պահանջի դեպ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քում ընդունված եզրակացության կամ որոշման մասին նրա առարկությունը կամ վերա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հումը պետք է արտացոլվի հանձնաժողովի նիստի արձանագրության մեջ:</w:t>
      </w:r>
    </w:p>
    <w:p w14:paraId="0E6AED99" w14:textId="5F6E08A1" w:rsidR="00635FB8" w:rsidRPr="008211F7" w:rsidRDefault="00635FB8" w:rsidP="003751FC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եզրակացությունները հաստատվում են Հայաստանի Հանրա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</w:t>
      </w:r>
      <w:r w:rsidR="003751F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թյան </w:t>
      </w:r>
      <w:r w:rsidRPr="008211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կրթության, գիտության, մշակույթի և սպորտի նախարարի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կողմից:</w:t>
      </w:r>
    </w:p>
    <w:p w14:paraId="3729CB11" w14:textId="1EF66607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նախագահը՝</w:t>
      </w:r>
    </w:p>
    <w:p w14:paraId="596025C3" w14:textId="2677117B" w:rsidR="00090FFA" w:rsidRPr="008211F7" w:rsidRDefault="00090FFA" w:rsidP="003751FC">
      <w:pPr>
        <w:pStyle w:val="ListParagraph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կազմակերպում և ղեկավարում է հանձնաժողովի գործունեությունը, ապահովում հանձնաժողովի բնականոն աշխատանքը.</w:t>
      </w:r>
    </w:p>
    <w:p w14:paraId="58959AD5" w14:textId="40C4504E" w:rsidR="00090FFA" w:rsidRPr="008211F7" w:rsidRDefault="00090FFA" w:rsidP="003751FC">
      <w:pPr>
        <w:pStyle w:val="ListParagraph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նշանակում է հանձնաժողովի նիստի անցկացման օրը, ժամը և վայրը.</w:t>
      </w:r>
    </w:p>
    <w:p w14:paraId="7E61B3EB" w14:textId="158CBD13" w:rsidR="00090FFA" w:rsidRPr="008211F7" w:rsidRDefault="00090FFA" w:rsidP="003751FC">
      <w:pPr>
        <w:pStyle w:val="ListParagraph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վարում է հանձնաժողովի նիստերը.</w:t>
      </w:r>
    </w:p>
    <w:p w14:paraId="054036B6" w14:textId="3987A23D" w:rsidR="00090FFA" w:rsidRPr="008211F7" w:rsidRDefault="00090FFA" w:rsidP="003751FC">
      <w:pPr>
        <w:pStyle w:val="ListParagraph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ստորագրում է հանձնաժողովի </w:t>
      </w:r>
      <w:r w:rsidR="005B78E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արձանագրությունները,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եզրակացությունները կամ որոշումները:</w:t>
      </w:r>
    </w:p>
    <w:p w14:paraId="0B7F8CCF" w14:textId="26A37E66" w:rsidR="00090FFA" w:rsidRPr="008211F7" w:rsidRDefault="00090FFA" w:rsidP="003751FC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նախագահի բացակայության դեպքում նրան փոխարինում է հանձ</w:t>
      </w:r>
      <w:r w:rsidR="00F264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F264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ժողովի </w:t>
      </w:r>
      <w:r w:rsidR="005B78E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տարիքով ավագ անդամը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DA4042D" w14:textId="076D790F" w:rsidR="00B51312" w:rsidRPr="008211F7" w:rsidRDefault="00B51312" w:rsidP="00B51312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Հանձնաժողովի ընթացիկ աշխատանքները կազմակերպում է Հանձնաժողովի քար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տու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ղարությունը (այսուհետ՝ Քարտուղարություն): Քարտուղարության գործառույթները իրա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նացվում է Հայաստանի Հանրապետության կրթության, գիտության, մշակույթի և սպորտի նախա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րարության բարձրագույն կրթության և գիտության կոմիտեի (այսուհետ՝ Կոմիտե) աշխա</w:t>
      </w:r>
      <w:r w:rsidR="005A209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տակազմի կողմից:</w:t>
      </w:r>
    </w:p>
    <w:p w14:paraId="02F0582A" w14:textId="0BD4CC08" w:rsidR="00B51312" w:rsidRPr="008211F7" w:rsidRDefault="00B51312" w:rsidP="00B51312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Քարտուղարությունը`</w:t>
      </w:r>
    </w:p>
    <w:p w14:paraId="28AFF026" w14:textId="4E127884" w:rsidR="00B51312" w:rsidRPr="008211F7" w:rsidRDefault="00B51312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ապահովում է Հանձնաժողովի բնականոն գործունեության կազմակերպումը.</w:t>
      </w:r>
    </w:p>
    <w:p w14:paraId="141485F1" w14:textId="1D254466" w:rsidR="00B51312" w:rsidRPr="008211F7" w:rsidRDefault="00B51312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վարում է հանձնաժողովի աշխատանքների հետ կապված գործավարությունը.</w:t>
      </w:r>
    </w:p>
    <w:p w14:paraId="58D4191F" w14:textId="7B470F32" w:rsidR="00B51312" w:rsidRPr="008211F7" w:rsidRDefault="00B51312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հրավիրում է </w:t>
      </w:r>
      <w:r w:rsidR="000A26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նիստերը, ձևավորում է նիստերի օրա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կարգը և համա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պատասխան փաստաթղթերի հետ միասին տրամադրում է Հանձնաժողովի անդամներին.</w:t>
      </w:r>
    </w:p>
    <w:p w14:paraId="701EE441" w14:textId="01532261" w:rsidR="008211F7" w:rsidRPr="008211F7" w:rsidRDefault="008211F7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կազմակերպում է հայտերի հավաքագրումն ու դրանց ներկայացման համար սահմանված չափանիշներին համապատասխանության ստուգումը</w:t>
      </w:r>
      <w:r w:rsidRPr="008211F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1C75FA5" w14:textId="54E9CD44" w:rsidR="00DA516D" w:rsidRPr="008211F7" w:rsidRDefault="00DA516D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Ըստ անհրաժեշտության հարցումներ է կատարում Հայաստանի Հանրապետության պետա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 եկամուտների կոմիտե, այդ թվում՝ տնտեսավարող սուբյեկտների կողմից հարկային մարմին ներկայացված հարկային հաշվարկներով արտացոլված M72 տնտեսական գործունեության դասակարգչի ներքո գործունեություն իրականացվելու վելաբերյալ։</w:t>
      </w:r>
    </w:p>
    <w:p w14:paraId="59AC10D3" w14:textId="0DD8A60C" w:rsidR="00662212" w:rsidRPr="00EB105E" w:rsidRDefault="00662212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ձևաչափին չհամապատասխանող հայտերը հետ են վերադարձնում ներ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կայացնողին,</w:t>
      </w:r>
      <w:r w:rsidR="00BD3A3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ձևաչափին չհամապատասխանող հայտերը ստանալուց հետո 2 աշխատանքային օրվա ընթացքում հետ է վերադարձնում ներկայացնողին (կրկին ներ</w:t>
      </w:r>
      <w:r w:rsidR="00BD3A3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="00BD3A3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յաց</w:t>
      </w:r>
      <w:r w:rsidR="00BD3A3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ված և ձևաչափին չհամապատասխանող հայտը չի ներառվում Հանձնաժողովի նիստի օրա</w:t>
      </w:r>
      <w:r w:rsidR="00BD3A39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կարգ և ենթակա չէ հետագա ուսումնասիրման),</w:t>
      </w:r>
    </w:p>
    <w:p w14:paraId="0913CF26" w14:textId="2801222A" w:rsidR="00B51312" w:rsidRPr="008211F7" w:rsidRDefault="00B51312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կազմակերպում է </w:t>
      </w:r>
      <w:r w:rsidR="000A26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որոշումների քվեարկությունները, ամփոփում և հայ</w:t>
      </w:r>
      <w:r w:rsidR="005A209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տարարում քվեարկության արդյունքները.</w:t>
      </w:r>
    </w:p>
    <w:p w14:paraId="4E886A1E" w14:textId="4324DEAA" w:rsidR="00CA18EA" w:rsidRPr="008211F7" w:rsidRDefault="00CA18EA" w:rsidP="00B51312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ժամկետում աշխատանքներն իրա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կանացնողին և Հայաստանի Հան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պետության պետական եկամուտների կոմիտե է ուղարկում Հանձնաժողովի եզրա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ցու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թյունն ու այն հաստա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տելու մասին Հայաստանի Հանրապետության կրթության, գիտության, մշակույթի և սպորտի նախարարի հրամանը,</w:t>
      </w:r>
    </w:p>
    <w:p w14:paraId="5F696B11" w14:textId="0AC6CB2F" w:rsidR="00B51312" w:rsidRPr="008211F7" w:rsidRDefault="00B51312" w:rsidP="008A3321">
      <w:pPr>
        <w:pStyle w:val="ListParagraph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արձանագրում է </w:t>
      </w:r>
      <w:r w:rsidR="000A26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նիստի քննարկումները և դրանց հիման վրա կազ</w:t>
      </w:r>
      <w:r w:rsidR="000A26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մում որոշում</w:t>
      </w:r>
      <w:r w:rsidR="008A332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 </w:t>
      </w:r>
      <w:r w:rsidR="005A209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եզրակացությունների </w:t>
      </w:r>
      <w:r w:rsidR="008A332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նախագծեր</w:t>
      </w:r>
      <w:r w:rsidR="005A209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BABE8E0" w14:textId="4CF47CD5" w:rsidR="008A3321" w:rsidRPr="008211F7" w:rsidRDefault="00090FFA" w:rsidP="001E6662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Հանձնաժողովի նիստի օրակարգի նախագիծը և օրակարգում ներառված հարցերին վերաբերող նյութերը </w:t>
      </w:r>
      <w:r w:rsidR="00B5131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անդամներին է ներկայացվում </w:t>
      </w:r>
      <w:r w:rsidR="00B5131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նիստից առնվազն </w:t>
      </w:r>
      <w:r w:rsidR="003C099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հինգ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 առաջ</w:t>
      </w:r>
      <w:r w:rsidR="00F2649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94A6FFC" w14:textId="72D67B22" w:rsidR="001E6662" w:rsidRPr="00A44294" w:rsidRDefault="00286421" w:rsidP="005346A4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Հանձնաժողովում անդամի կարգավիճակ ունեցող յուրաքանչյուր պետական մարմին Հանձնաժողովի նիստից </w:t>
      </w:r>
      <w:r w:rsid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2 աշխատանքային օր առաջ Ք</w:t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արտուղարություն է ներկայացնում Հանձնաժողովի՝ իր կողմից լիազորված անդամի (անձանց) տվյալները:</w:t>
      </w:r>
      <w:r w:rsidR="001E6662" w:rsidRPr="00A44294">
        <w:rPr>
          <w:rFonts w:ascii="GHEA Grapalat" w:eastAsia="Times New Roman" w:hAnsi="GHEA Grapalat" w:cs="Times New Roman"/>
          <w:b/>
          <w:color w:val="000000"/>
          <w:lang w:val="hy-AM"/>
        </w:rPr>
        <w:br w:type="page"/>
      </w:r>
    </w:p>
    <w:p w14:paraId="13FB882B" w14:textId="496315DC" w:rsidR="0024098D" w:rsidRPr="008211F7" w:rsidRDefault="0024098D" w:rsidP="000750C7">
      <w:pPr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lang w:val="hy-AM"/>
        </w:rPr>
        <w:lastRenderedPageBreak/>
        <w:t>Հավելված N 4</w:t>
      </w:r>
    </w:p>
    <w:p w14:paraId="33A393FE" w14:textId="6934D0FD" w:rsidR="009B3857" w:rsidRPr="008211F7" w:rsidRDefault="009B3857" w:rsidP="000750C7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Calibri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ՀՀ կառավարության 202</w:t>
      </w:r>
      <w:r w:rsidR="00FA3A90" w:rsidRPr="008211F7">
        <w:rPr>
          <w:rFonts w:ascii="GHEA Grapalat" w:eastAsia="Times New Roman" w:hAnsi="GHEA Grapalat" w:cs="Calibri"/>
          <w:lang w:val="hy-AM"/>
        </w:rPr>
        <w:t>5</w:t>
      </w:r>
      <w:r w:rsidRPr="008211F7">
        <w:rPr>
          <w:rFonts w:ascii="GHEA Grapalat" w:eastAsia="Times New Roman" w:hAnsi="GHEA Grapalat" w:cs="Calibri"/>
          <w:lang w:val="hy-AM"/>
        </w:rPr>
        <w:t xml:space="preserve"> թվականի</w:t>
      </w:r>
    </w:p>
    <w:p w14:paraId="25713DDC" w14:textId="29A43749" w:rsidR="009B3857" w:rsidRPr="008211F7" w:rsidRDefault="009B3857" w:rsidP="000750C7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8211F7">
        <w:rPr>
          <w:rFonts w:ascii="GHEA Grapalat" w:eastAsia="Times New Roman" w:hAnsi="GHEA Grapalat" w:cs="Calibri"/>
          <w:lang w:val="hy-AM"/>
        </w:rPr>
        <w:t>_____</w:t>
      </w:r>
      <w:r w:rsidR="000750C7" w:rsidRPr="008211F7">
        <w:rPr>
          <w:rFonts w:ascii="GHEA Grapalat" w:eastAsia="Times New Roman" w:hAnsi="GHEA Grapalat" w:cs="Calibri"/>
          <w:lang w:val="hy-AM"/>
        </w:rPr>
        <w:t>______ ___-ի N ____ -Ն որոշման</w:t>
      </w:r>
    </w:p>
    <w:p w14:paraId="045ED873" w14:textId="77777777" w:rsidR="009B3857" w:rsidRPr="008211F7" w:rsidRDefault="009B3857" w:rsidP="0024098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5A257BE" w14:textId="77777777" w:rsidR="00B8554B" w:rsidRPr="008211F7" w:rsidRDefault="00B8554B" w:rsidP="0024098D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00CF50F" w14:textId="77777777" w:rsidR="0024098D" w:rsidRPr="008211F7" w:rsidRDefault="0024098D" w:rsidP="0024098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Կ Ա Ր Գ </w:t>
      </w:r>
    </w:p>
    <w:p w14:paraId="0C21FC8C" w14:textId="77777777" w:rsidR="0024098D" w:rsidRPr="008211F7" w:rsidRDefault="0024098D" w:rsidP="0024098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ՀԱՆՁՆԱԺՈՂՈՎԻ ԿՈՂՄԻՑ ԳԻՏԱԿԱՆ ՀԵՏԱԶՈՏՈՒԹՅՈՒՆՆԵՐԻ </w:t>
      </w:r>
      <w:r w:rsidR="00B24E0B"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ԵՎ </w:t>
      </w:r>
      <w:r w:rsidRPr="008211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ՓՈՐՁԱՐԱՐԱԿԱՆ ՄՇԱԿՈՒՄՆԵՐԻ ԱՇԽԱՏԱՆՔՆԵՐԸ ՈՐՊԵՍ ԱՅԴՊԻՍԻՆ ՈՐԱԿԵԼՈՒ</w:t>
      </w:r>
    </w:p>
    <w:p w14:paraId="0EE22DE7" w14:textId="59800E93" w:rsidR="00090FFA" w:rsidRPr="008211F7" w:rsidRDefault="00090FFA" w:rsidP="004762B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BC0EFF" w14:textId="77777777" w:rsidR="000750C7" w:rsidRPr="008211F7" w:rsidRDefault="000750C7" w:rsidP="004762B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07AA0A" w14:textId="2D300E99" w:rsidR="00090FFA" w:rsidRPr="008211F7" w:rsidRDefault="00090FFA" w:rsidP="000750C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կարգավորվում են </w:t>
      </w:r>
      <w:r w:rsidR="008E248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հետազոտությունների և փորձա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E248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E248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E248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 մշակումների աշխատանքները որպես այդպիսին որակելու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հարա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567A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ները:</w:t>
      </w:r>
    </w:p>
    <w:p w14:paraId="3F130EFA" w14:textId="5889C223" w:rsidR="005718C1" w:rsidRPr="008211F7" w:rsidRDefault="00982DD7" w:rsidP="000750C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Գիտական հետազոտությունների և փորձարարական մշակումների աշխատանքները որպես այդպիսին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որակ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վել, եթե համապատասխանում են սույն որոշման N </w:t>
      </w:r>
      <w:r w:rsidR="0070056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հավել</w:t>
      </w:r>
      <w:r w:rsidR="0070056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վածով սահմանված չափա</w:t>
      </w:r>
      <w:r w:rsidR="00506AF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նի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շներին</w:t>
      </w:r>
      <w:r w:rsidR="00090FFA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5718C1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2180927" w14:textId="1FF71B03" w:rsidR="001E6662" w:rsidRPr="008211F7" w:rsidRDefault="00090FFA" w:rsidP="000750C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պահանջները չեն տարածվում 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ռազմարդյու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նա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բերական համալիրի գործունեության սուբյեկտների </w:t>
      </w:r>
      <w:r w:rsidR="00C6336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(ռազմարդյունաբերական համալիրի ամփոփ </w:t>
      </w:r>
      <w:r w:rsidR="000E0DD4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ցուցակում (ռեեստրում) գրանցված)</w:t>
      </w:r>
      <w:r w:rsidR="00C6336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կողմից Հայաստանի Հանրապետու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թյան ռազմարդյունաբերական հանձնաժողովին կից ռազմատեխնիկական և գիտատեխնի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 խորհրդին (այսուհետ` ՌՏԳՏ խորհուրդ) ներկայացված գիտական հետազո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թյուն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 և փորձարարակա</w:t>
      </w:r>
      <w:r w:rsidR="001E6662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ն մշակումների աշխատանքների վրա:</w:t>
      </w:r>
    </w:p>
    <w:p w14:paraId="59327031" w14:textId="2A42741F" w:rsidR="004120FB" w:rsidRPr="008211F7" w:rsidRDefault="001E6662" w:rsidP="001E666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ՌՏԳՏ </w:t>
      </w:r>
      <w:r w:rsidR="00A44294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խորհրդի կողմից ֆինանսավորման երաշխավորված 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գիտական հետազո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թյուն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 և փորձարարական մշա</w:t>
      </w:r>
      <w:r w:rsidR="00675C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կումների աշխատանքների որպես այդպիսին </w:t>
      </w:r>
      <w:r w:rsidR="003664E9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որակելու վերաբերյալ եզրակացություն տրա</w:t>
      </w:r>
      <w:r w:rsidR="003664E9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մադրվում է 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ՌՏԳՏ խորհրդի կողմից</w:t>
      </w:r>
      <w:r w:rsidR="003664E9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որը հաստատվում է Հայաստանի Հան</w:t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րա</w:t>
      </w:r>
      <w:r w:rsidR="003664E9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պե</w:t>
      </w:r>
      <w:r w:rsidR="003664E9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տու</w:t>
      </w:r>
      <w:r w:rsidR="003664E9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6A0BE6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թյան բարձր տեխնոլոգիական արդյունաբերության նախարարի կողմից:</w:t>
      </w:r>
    </w:p>
    <w:p w14:paraId="464F61DB" w14:textId="6FFCDA8D" w:rsidR="0037310B" w:rsidRPr="008211F7" w:rsidRDefault="0037310B" w:rsidP="001E666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ՌՏԳՏ խորհրդի եզրակացությունն ու այն հաստատելու մասին Հայաստանի Հանրա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պե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թյան բարձր տեխնոլոգիաների արդյունաբերության նախարարի հրամանը սահմանված ժամկետում աշխատանքներն իրականացնողին և Հայաստանի Հանրապետության պետա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 եկամուտների կոմիտե է ուղարկում Հայաստանի Հանրապետության բարձր տեխ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նո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լո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գիա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 արդյունաբերության նախարարությունը:</w:t>
      </w:r>
    </w:p>
    <w:p w14:paraId="7FF2814B" w14:textId="5A371BFF" w:rsidR="000750C7" w:rsidRPr="008211F7" w:rsidRDefault="00BF3DC7" w:rsidP="000750C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65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Գիտական հետազոտությունների և փորձարարական մշակումների աշխատանքները որպես այդպիսին </w:t>
      </w:r>
      <w:r w:rsidR="00DA3BE2" w:rsidRPr="009865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որակելու համար 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="00DA3BE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 է ներկայացվում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հայտ</w:t>
      </w:r>
      <w:r w:rsidR="00DF723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որին կցվում</w:t>
      </w:r>
      <w:r w:rsidR="00935B4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F3549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</w:t>
      </w:r>
      <w:r w:rsidR="00DA3BE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3549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 հետազոտությունների և փորձարարական մշա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3549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կումների</w:t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ծրագիրը</w:t>
      </w:r>
      <w:r w:rsidR="00A44294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ներառյալ հայտի ներկայացման նպատակները</w:t>
      </w:r>
      <w:r w:rsidR="00BB026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Ծրա</w:t>
      </w:r>
      <w:r w:rsidR="00BB026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C3D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գիր)</w:t>
      </w:r>
      <w:r w:rsidR="00826A93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675C9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Ծրագիրը կարող է ներկայացվել հայերեն և</w:t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75C9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անգլերեն լեզուներով։ </w:t>
      </w:r>
      <w:r w:rsidR="00BB026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="00826A9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րագրում ներառվում է </w:t>
      </w:r>
      <w:proofErr w:type="spellStart"/>
      <w:r w:rsidR="00826A9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տեկատվու</w:t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826A9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proofErr w:type="spellEnd"/>
      <w:r w:rsidR="00826A9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՝ գիտական հետազո</w:t>
      </w:r>
      <w:r w:rsidR="00675C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տու</w:t>
      </w:r>
      <w:r w:rsidR="00675C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թյունների </w:t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փոր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ձա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րարական մշակումների աշխատանքների</w:t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նումը</w:t>
      </w:r>
      <w:r w:rsidR="00C07C16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ըստ </w:t>
      </w:r>
      <w:r w:rsidR="0093152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3152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 </w:t>
      </w:r>
      <w:r w:rsidR="009B3857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գործունեության </w:t>
      </w:r>
      <w:r w:rsidR="00C07C16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դասակարգչի</w:t>
      </w:r>
      <w:r w:rsidR="00B67A4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նկարագիրը, </w:t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նպատակները, աշխա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տանքների իրա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նաց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փուլերն ու ժամ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ները, նախատեսվող ֆինանսական միջոց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ները, ստ</w:t>
      </w:r>
      <w:r w:rsidR="00E33D82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ղծվող աշխա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տատեղերը, Ծրագրի շրջանակում ներառված՝ մասնագիտական աշխա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 կատա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րող վարձու աշխատող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ների տվյալները (անուն, ազգանուն, հանրային ծառա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համարանիշը (դրա բացա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յության դեպքում` լիազորված մարմնի տրա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մադրած՝ հան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յին ծառայությունների համա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րա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նիշի բացակայության վերաբերյալ տեղե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կանքի համարը)։ Ծ</w:t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գիրը կարող է ներառել </w:t>
      </w:r>
      <w:r w:rsidR="00BB026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հանգամանքների, փաստերի, տվյալների նկա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թյուն, այլ հիմնավորումներ, որոնք կարևոր կհամարվեն աշխա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ներն իրակա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նաց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նող</w:t>
      </w:r>
      <w:r w:rsidR="00675C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6A9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կողմից:</w:t>
      </w:r>
    </w:p>
    <w:p w14:paraId="2AD29BEC" w14:textId="056484D0" w:rsidR="00207CE4" w:rsidRPr="008211F7" w:rsidRDefault="00207CE4" w:rsidP="00207CE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Հայտի և Ծրագրի ձևերը և լրացման կարգերը</w:t>
      </w:r>
      <w:r w:rsidR="0097500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44294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նաև ներկայացման ժամկետները 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սահ</w:t>
      </w:r>
      <w:r w:rsidR="00675C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675C9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վում են Հայաստանի Հանրա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պե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թյան կրթության, գիտության, մշակույթի և սպորտի նախարարի հրամանով։</w:t>
      </w:r>
    </w:p>
    <w:p w14:paraId="420A5F8C" w14:textId="3D495258" w:rsidR="00F5344E" w:rsidRPr="00492856" w:rsidRDefault="00F5344E" w:rsidP="00492856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հայտը և դրան կից ներկայացված փաստաթղթերը չեն համապատասխանում կամ չեն բավարարում սույն կարգի պահանջներին, կամ դրանցում ներառված տեղե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ներն լրացուցիչ հիմնավորումների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կարիք ունեն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ապա 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արտու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ղա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րու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թյունը 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Հանձնա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ժողովը Քարտու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ղա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րու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թյան միջոցով 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լրամշակման նպատակով վերադարձնում է հայտ</w:t>
      </w:r>
      <w:r w:rsidR="00A44294"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Լրա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մշակ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և սույն կարգի պահանջներին կրկին չբավարարող հայտերը ենթակա չեն քննարկման:</w:t>
      </w:r>
    </w:p>
    <w:p w14:paraId="3638A1E2" w14:textId="501DFE77" w:rsidR="00090FFA" w:rsidRPr="008211F7" w:rsidRDefault="00090FFA" w:rsidP="000750C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Հայտը և կից ներկայացված փաստաթղթերը ենթակա չեն վերադարձման:</w:t>
      </w:r>
    </w:p>
    <w:p w14:paraId="29B808DA" w14:textId="40E8BF0E" w:rsidR="00202848" w:rsidRPr="00A44294" w:rsidRDefault="00A44294" w:rsidP="000750C7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202848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արտուղարությունը ձևավորում է Հանձնաժողովի նիստի օրակարգը, Հանձնա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202848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ժողովի նիստից առնվազն 5 աշխատանքային օր առաջ այդ մասին ծանուցում սույն որոշման 1-ին հավելվածում սահմանված գերատեսչություններին, որոնք ծանուցումը ստանալուց հետո 2 աշխատանքային օրվա ընթացքում ներկայացնում են հանձնաժողովի անդամ իրենց կողմից լիազորված ներկայացուցչի (կամ ներկայացուցիչների) տվյալները:</w:t>
      </w:r>
    </w:p>
    <w:p w14:paraId="079E265B" w14:textId="44BFDA70" w:rsidR="009C3DB1" w:rsidRPr="008211F7" w:rsidRDefault="00C6336B" w:rsidP="000A030A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Հայտի քննարկումն իրականացվում է Հանձնաժողովի փակ նիստերի միջոցով: Հանձնաժողովի կողմից հայտի քննարկման առավելագույն ժամկետը դիմելու օրվանից հաշված 30 աշխատանքային օր է։ Հայտի լրացուցիչ քննարկման անհրաժեշտության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դեպքում հանձնաժողովի որոշմամբ հայտի քննարկումը կարող է հետաձգվել և սահմանվել հայտի քննարկման այլ ողջամիտ ժամկետ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5A71C11" w14:textId="363D4E7A" w:rsidR="00090FFA" w:rsidRPr="008211F7" w:rsidRDefault="00090FFA" w:rsidP="000A030A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Հանձնաժողովի կողմից հայտը քննարկվում է </w:t>
      </w:r>
      <w:r w:rsidR="00345DB5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աշխատանքներն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</w:t>
      </w:r>
      <w:r w:rsidR="009C3D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</w:t>
      </w:r>
      <w:r w:rsidR="009C3D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նացնողի </w:t>
      </w:r>
      <w:r w:rsidR="006D170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ներկայացուցչի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մասնակցությամբ: Քննարկման օրվա, ժամի և վայրի (հասցե, սենյակ) մասին </w:t>
      </w:r>
      <w:r w:rsidR="006D170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աշխատանքներն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իրականացնողը պետք է տեղեկացվի առնվազն </w:t>
      </w:r>
      <w:r w:rsidR="00C6336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հինգ </w:t>
      </w:r>
      <w:r w:rsidR="009C3D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 առաջ</w:t>
      </w:r>
      <w:r w:rsid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44294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հայտնում ներկայացված էլեկտրոնային փոստին ծանուցմամբ</w:t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Պատշաճ տեղե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կաց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</w:t>
      </w:r>
      <w:r w:rsidR="00675C93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170A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աշխատանքներն </w:t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իրականացնող</w:t>
      </w:r>
      <w:r w:rsidR="009C3D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170A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ներկայացուցչի </w:t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բացակա</w:t>
      </w:r>
      <w:r w:rsidR="009C3D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</w:t>
      </w:r>
      <w:r w:rsidR="009C3DB1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թյունը խոչընդոտ չէ քննարկ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համար</w:t>
      </w:r>
      <w:r w:rsidR="009C3DB1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FD2FC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սակայն կարող է հայտի քննարկումը հետաձգելու մասին որոշում ընդունելու հիմք հանդիսանալ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6EC7E28" w14:textId="32BC0241" w:rsidR="006D170A" w:rsidRPr="008211F7" w:rsidRDefault="00FD2FC4" w:rsidP="00492856">
      <w:pPr>
        <w:pStyle w:val="ListParagraph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Հայտի քննարկումը կարող է հետաձգվել նաև այն դեպքում, երբ որոշում ընդու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նելու համար անհրաժեշտ են լրացուցիչ ուսումնասիրություններ:</w:t>
      </w:r>
    </w:p>
    <w:p w14:paraId="7E485EF0" w14:textId="77777777" w:rsidR="00490CC9" w:rsidRPr="008211F7" w:rsidRDefault="00FD2FC4" w:rsidP="00492856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Հայտի քննարկումը հետաձգելու մասին հանձնաժողովի որոշած ժամկետը չի կարող 30 օրվանից ավելի լինել:</w:t>
      </w:r>
    </w:p>
    <w:p w14:paraId="2B7888FE" w14:textId="73621B42" w:rsidR="00FD2FC4" w:rsidRPr="008211F7" w:rsidRDefault="00FD2FC4" w:rsidP="00490CC9">
      <w:pPr>
        <w:pStyle w:val="ListParagraph"/>
        <w:numPr>
          <w:ilvl w:val="0"/>
          <w:numId w:val="25"/>
        </w:numPr>
        <w:tabs>
          <w:tab w:val="left" w:pos="98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որակման վերաբերյալ հայտը կարող է մերժվել, եթե հայտում և կից</w:t>
      </w:r>
      <w:r w:rsidR="00CD76C4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</w:t>
      </w:r>
      <w:r w:rsidR="0049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թղթերում ներկայացված տվյալներն ու տեղեկությունները հիմնավորված կամ հավաստի չեն:</w:t>
      </w:r>
    </w:p>
    <w:p w14:paraId="3523C33E" w14:textId="15BCB73A" w:rsidR="00883D31" w:rsidRPr="00A44294" w:rsidRDefault="00A44294" w:rsidP="00883D31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Ծրագրի իրականացման վերաբերյալ հաշվետվության ներկայացման կարգը և </w:t>
      </w:r>
      <w:proofErr w:type="spellStart"/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ձևը</w:t>
      </w:r>
      <w:proofErr w:type="spellEnd"/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</w:t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տատում է Հայաստանի Հանրապետության կրթության, գիտության, մշակույթի և սպորտի նախարարը։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Ծրագրերի աշխատանքների իրականացման ընթացքի և արդ</w:t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յունք</w:t>
      </w:r>
      <w:r w:rsidR="0049285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ների մասին հաշվետվությունները սահմանված ձևաչափով ներկայացվում են Կոմիտե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1C382F2F" w14:textId="497687D6" w:rsidR="00EE67AD" w:rsidRPr="00A44294" w:rsidRDefault="00883D31" w:rsidP="00CD76C4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Կոմիտեն աշխատանքների իրականացման ընթացքի և արդյունքների նկատ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մամբ վերահսկողություն</w:t>
      </w:r>
      <w:r w:rsidR="006D28B1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իրականացնում </w:t>
      </w:r>
      <w:r w:rsidR="006D28B1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աշխատանքներն իրականացնողի, այլ շահա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գր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գիռ կողմերի</w:t>
      </w:r>
      <w:r w:rsidR="0017072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 w:rsidR="00C90DDA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սեփական նախաձեռնությամբ կամ սույն կարգին համապատասխան հանձ</w:t>
      </w:r>
      <w:r w:rsidR="0017072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նա</w:t>
      </w:r>
      <w:r w:rsidR="0017072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ժո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ղով ներկայացված փաստաթղթերի, ինչպես նաև աշխատանքներն իրակա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նաց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նող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17072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նե</w:t>
      </w:r>
      <w:r w:rsidR="00170723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րի</w:t>
      </w:r>
      <w:r w:rsidR="006D28B1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հարց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ման արդյունքում ձեռք բերված տվյալների ուսումնասիրությունների միջոցով</w:t>
      </w:r>
      <w:r w:rsidR="00EE67AD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276D081" w14:textId="39D394F8" w:rsidR="00EE67AD" w:rsidRPr="008211F7" w:rsidRDefault="00883D31" w:rsidP="00CD76C4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4294">
        <w:rPr>
          <w:rFonts w:ascii="GHEA Grapalat" w:hAnsi="GHEA Grapalat"/>
          <w:sz w:val="24"/>
          <w:lang w:val="hy-AM"/>
        </w:rPr>
        <w:t xml:space="preserve">Սույն կարգի </w:t>
      </w:r>
      <w:r w:rsidR="00A73B45" w:rsidRPr="00A44294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A44294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Pr="00A44294">
        <w:rPr>
          <w:rFonts w:ascii="GHEA Grapalat" w:hAnsi="GHEA Grapalat"/>
          <w:sz w:val="24"/>
          <w:lang w:val="hy-AM"/>
        </w:rPr>
        <w:t xml:space="preserve">-րդ կետում նշված տեղեկությունները աշխատանքներն </w:t>
      </w:r>
      <w:r w:rsidRPr="00A44294">
        <w:rPr>
          <w:rFonts w:ascii="GHEA Grapalat" w:eastAsia="GHEA Grapalat" w:hAnsi="GHEA Grapalat" w:cs="GHEA Grapalat"/>
          <w:sz w:val="24"/>
          <w:szCs w:val="24"/>
          <w:lang w:val="hy-AM"/>
        </w:rPr>
        <w:t>իրակա</w:t>
      </w:r>
      <w:r w:rsidRPr="00A44294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>նաց</w:t>
      </w:r>
      <w:r w:rsidR="00A44294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A44294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 xml:space="preserve">նողի </w:t>
      </w:r>
      <w:r w:rsidRPr="00A44294">
        <w:rPr>
          <w:rFonts w:ascii="GHEA Grapalat" w:hAnsi="GHEA Grapalat"/>
          <w:sz w:val="24"/>
          <w:lang w:val="hy-AM"/>
        </w:rPr>
        <w:t>կողմից Կոմիտե չներկայացվելու, ներկայացված փաստաթղթերում</w:t>
      </w:r>
      <w:r w:rsidRPr="0098653E">
        <w:rPr>
          <w:rFonts w:ascii="GHEA Grapalat" w:hAnsi="GHEA Grapalat"/>
          <w:sz w:val="24"/>
          <w:lang w:val="hy-AM"/>
        </w:rPr>
        <w:t xml:space="preserve"> կեղծ </w:t>
      </w:r>
      <w:r w:rsidRPr="00333ADC">
        <w:rPr>
          <w:rFonts w:ascii="GHEA Grapalat" w:eastAsia="GHEA Grapalat" w:hAnsi="GHEA Grapalat" w:cs="GHEA Grapalat"/>
          <w:sz w:val="24"/>
          <w:szCs w:val="24"/>
          <w:lang w:val="hy-AM"/>
        </w:rPr>
        <w:t>տեղե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>կու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>թյուն</w:t>
      </w:r>
      <w:r w:rsidRPr="008211F7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>ներ</w:t>
      </w:r>
      <w:r w:rsidRPr="008211F7">
        <w:rPr>
          <w:rFonts w:ascii="GHEA Grapalat" w:hAnsi="GHEA Grapalat"/>
          <w:sz w:val="24"/>
          <w:lang w:val="hy-AM"/>
        </w:rPr>
        <w:t xml:space="preserve"> հայտնաբերվելու, </w:t>
      </w:r>
      <w:r w:rsidR="005A209C" w:rsidRPr="008211F7">
        <w:rPr>
          <w:rFonts w:ascii="GHEA Grapalat" w:hAnsi="GHEA Grapalat"/>
          <w:sz w:val="24"/>
          <w:lang w:val="hy-AM"/>
        </w:rPr>
        <w:t xml:space="preserve">ինչպես նաև </w:t>
      </w:r>
      <w:r w:rsidRPr="008211F7">
        <w:rPr>
          <w:rFonts w:ascii="GHEA Grapalat" w:hAnsi="GHEA Grapalat"/>
          <w:sz w:val="24"/>
          <w:lang w:val="hy-AM"/>
        </w:rPr>
        <w:t xml:space="preserve">աշխատանքներն իրականացնողի գործունեության մեջ </w:t>
      </w:r>
      <w:r w:rsidR="005A209C" w:rsidRPr="008211F7">
        <w:rPr>
          <w:rFonts w:ascii="GHEA Grapalat" w:hAnsi="GHEA Grapalat"/>
          <w:sz w:val="24"/>
          <w:lang w:val="hy-AM"/>
        </w:rPr>
        <w:t>էական խախ</w:t>
      </w:r>
      <w:r w:rsidR="005A209C" w:rsidRPr="008211F7">
        <w:rPr>
          <w:rFonts w:ascii="GHEA Grapalat" w:hAnsi="GHEA Grapalat"/>
          <w:sz w:val="24"/>
          <w:lang w:val="hy-AM"/>
        </w:rPr>
        <w:softHyphen/>
        <w:t>տում</w:t>
      </w:r>
      <w:r w:rsidR="005A209C" w:rsidRPr="008211F7">
        <w:rPr>
          <w:rFonts w:ascii="GHEA Grapalat" w:hAnsi="GHEA Grapalat"/>
          <w:sz w:val="24"/>
          <w:lang w:val="hy-AM"/>
        </w:rPr>
        <w:softHyphen/>
        <w:t xml:space="preserve">ների առկայության դեպքում </w:t>
      </w:r>
      <w:r w:rsidRPr="008211F7">
        <w:rPr>
          <w:rFonts w:ascii="GHEA Grapalat" w:hAnsi="GHEA Grapalat"/>
          <w:sz w:val="24"/>
          <w:lang w:val="hy-AM"/>
        </w:rPr>
        <w:t xml:space="preserve">Կոմիտեն </w:t>
      </w:r>
      <w:r w:rsidR="00A44294" w:rsidRPr="00A44294">
        <w:rPr>
          <w:rFonts w:ascii="GHEA Grapalat" w:hAnsi="GHEA Grapalat"/>
          <w:sz w:val="24"/>
          <w:lang w:val="hy-AM"/>
        </w:rPr>
        <w:t>այդ մասին տեղեկացնում է Հանձնա</w:t>
      </w:r>
      <w:r w:rsidR="00A44294">
        <w:rPr>
          <w:rFonts w:ascii="GHEA Grapalat" w:hAnsi="GHEA Grapalat"/>
          <w:sz w:val="24"/>
          <w:lang w:val="hy-AM"/>
        </w:rPr>
        <w:softHyphen/>
      </w:r>
      <w:r w:rsidR="00A44294" w:rsidRPr="00A44294">
        <w:rPr>
          <w:rFonts w:ascii="GHEA Grapalat" w:hAnsi="GHEA Grapalat"/>
          <w:sz w:val="24"/>
          <w:lang w:val="hy-AM"/>
        </w:rPr>
        <w:t>ժողովին</w:t>
      </w:r>
      <w:r w:rsidRPr="00A44294">
        <w:rPr>
          <w:rFonts w:ascii="GHEA Grapalat" w:hAnsi="GHEA Grapalat"/>
          <w:sz w:val="24"/>
          <w:lang w:val="hy-AM"/>
        </w:rPr>
        <w:t xml:space="preserve">, </w:t>
      </w:r>
      <w:r w:rsidR="001A729C" w:rsidRPr="00A44294">
        <w:rPr>
          <w:rFonts w:ascii="GHEA Grapalat" w:hAnsi="GHEA Grapalat"/>
          <w:sz w:val="24"/>
          <w:lang w:val="hy-AM"/>
        </w:rPr>
        <w:t>իսկ Հանձնաժողովը</w:t>
      </w:r>
      <w:r w:rsidR="001A729C" w:rsidRPr="0098653E">
        <w:rPr>
          <w:rFonts w:ascii="GHEA Grapalat" w:hAnsi="GHEA Grapalat"/>
          <w:sz w:val="24"/>
          <w:lang w:val="hy-AM"/>
        </w:rPr>
        <w:t xml:space="preserve"> </w:t>
      </w:r>
      <w:r w:rsidRPr="0098653E">
        <w:rPr>
          <w:rFonts w:ascii="GHEA Grapalat" w:hAnsi="GHEA Grapalat"/>
          <w:sz w:val="24"/>
          <w:lang w:val="hy-AM"/>
        </w:rPr>
        <w:t>վերա</w:t>
      </w:r>
      <w:r w:rsidR="001A729C" w:rsidRPr="0098653E">
        <w:rPr>
          <w:rFonts w:ascii="GHEA Grapalat" w:hAnsi="GHEA Grapalat"/>
          <w:sz w:val="24"/>
          <w:lang w:val="hy-AM"/>
        </w:rPr>
        <w:softHyphen/>
      </w:r>
      <w:r w:rsidR="00035A3F" w:rsidRPr="00333ADC">
        <w:rPr>
          <w:rFonts w:ascii="GHEA Grapalat" w:hAnsi="GHEA Grapalat"/>
          <w:sz w:val="24"/>
          <w:lang w:val="hy-AM"/>
        </w:rPr>
        <w:softHyphen/>
      </w:r>
      <w:r w:rsidRPr="008211F7">
        <w:rPr>
          <w:rFonts w:ascii="GHEA Grapalat" w:hAnsi="GHEA Grapalat"/>
          <w:sz w:val="24"/>
          <w:lang w:val="hy-AM"/>
        </w:rPr>
        <w:t>նայել գիտա</w:t>
      </w:r>
      <w:r w:rsidRPr="008211F7">
        <w:rPr>
          <w:rFonts w:ascii="GHEA Grapalat" w:hAnsi="GHEA Grapalat"/>
          <w:sz w:val="24"/>
          <w:lang w:val="hy-AM"/>
        </w:rPr>
        <w:softHyphen/>
        <w:t>կան հետազոտու</w:t>
      </w:r>
      <w:r w:rsidR="005A209C" w:rsidRPr="008211F7">
        <w:rPr>
          <w:rFonts w:ascii="GHEA Grapalat" w:hAnsi="GHEA Grapalat"/>
          <w:sz w:val="24"/>
          <w:lang w:val="hy-AM"/>
        </w:rPr>
        <w:softHyphen/>
      </w:r>
      <w:r w:rsidRPr="008211F7">
        <w:rPr>
          <w:rFonts w:ascii="GHEA Grapalat" w:hAnsi="GHEA Grapalat"/>
          <w:sz w:val="24"/>
          <w:lang w:val="hy-AM"/>
        </w:rPr>
        <w:t>թյուն</w:t>
      </w:r>
      <w:r w:rsidR="005A209C" w:rsidRPr="008211F7">
        <w:rPr>
          <w:rFonts w:ascii="GHEA Grapalat" w:hAnsi="GHEA Grapalat"/>
          <w:sz w:val="24"/>
          <w:lang w:val="hy-AM"/>
        </w:rPr>
        <w:softHyphen/>
      </w:r>
      <w:r w:rsidRPr="008211F7">
        <w:rPr>
          <w:rFonts w:ascii="GHEA Grapalat" w:hAnsi="GHEA Grapalat"/>
          <w:sz w:val="24"/>
          <w:lang w:val="hy-AM"/>
        </w:rPr>
        <w:t>ներ և փորձա</w:t>
      </w:r>
      <w:r w:rsidR="00492856">
        <w:rPr>
          <w:rFonts w:ascii="GHEA Grapalat" w:hAnsi="GHEA Grapalat"/>
          <w:sz w:val="24"/>
          <w:lang w:val="hy-AM"/>
        </w:rPr>
        <w:softHyphen/>
      </w:r>
      <w:r w:rsidRPr="008211F7">
        <w:rPr>
          <w:rFonts w:ascii="GHEA Grapalat" w:hAnsi="GHEA Grapalat"/>
          <w:sz w:val="24"/>
          <w:lang w:val="hy-AM"/>
        </w:rPr>
        <w:t>րա</w:t>
      </w:r>
      <w:r w:rsidR="00492856">
        <w:rPr>
          <w:rFonts w:ascii="GHEA Grapalat" w:hAnsi="GHEA Grapalat"/>
          <w:sz w:val="24"/>
          <w:lang w:val="hy-AM"/>
        </w:rPr>
        <w:softHyphen/>
      </w:r>
      <w:r w:rsidRPr="008211F7">
        <w:rPr>
          <w:rFonts w:ascii="GHEA Grapalat" w:hAnsi="GHEA Grapalat"/>
          <w:sz w:val="24"/>
          <w:lang w:val="hy-AM"/>
        </w:rPr>
        <w:t>րա</w:t>
      </w:r>
      <w:r w:rsidR="00492856">
        <w:rPr>
          <w:rFonts w:ascii="GHEA Grapalat" w:hAnsi="GHEA Grapalat"/>
          <w:sz w:val="24"/>
          <w:lang w:val="hy-AM"/>
        </w:rPr>
        <w:softHyphen/>
      </w:r>
      <w:r w:rsidRPr="008211F7">
        <w:rPr>
          <w:rFonts w:ascii="GHEA Grapalat" w:hAnsi="GHEA Grapalat"/>
          <w:sz w:val="24"/>
          <w:lang w:val="hy-AM"/>
        </w:rPr>
        <w:t xml:space="preserve">կան մշակումներ որակելու իր </w:t>
      </w:r>
      <w:r w:rsidR="001A729C" w:rsidRPr="008211F7">
        <w:rPr>
          <w:rFonts w:ascii="GHEA Grapalat" w:hAnsi="GHEA Grapalat"/>
          <w:sz w:val="24"/>
          <w:lang w:val="hy-AM"/>
        </w:rPr>
        <w:t>եզրա</w:t>
      </w:r>
      <w:r w:rsidR="001A729C" w:rsidRPr="008211F7">
        <w:rPr>
          <w:rFonts w:ascii="GHEA Grapalat" w:hAnsi="GHEA Grapalat"/>
          <w:sz w:val="24"/>
          <w:lang w:val="hy-AM"/>
        </w:rPr>
        <w:softHyphen/>
        <w:t>կացությունը</w:t>
      </w:r>
      <w:r w:rsidR="005706BD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674154E" w14:textId="471A5D39" w:rsidR="00035A3F" w:rsidRPr="008211F7" w:rsidRDefault="00397EE7" w:rsidP="00035A3F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Հանձնաժողովի անդամները կարող են </w:t>
      </w:r>
      <w:r w:rsidR="00C6336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ներգրավել փորձագետներ կամ </w:t>
      </w:r>
      <w:r w:rsidR="00C856F1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դիմել 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Կոմի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տեին </w:t>
      </w:r>
      <w:r w:rsidR="00035A3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գիտա</w:t>
      </w:r>
      <w:r w:rsidR="00035A3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 հետա</w:t>
      </w:r>
      <w:r w:rsidR="00035A3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զոտություններ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035A3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փորձարարական մշակումներ</w:t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ի աշխատանք</w:t>
      </w:r>
      <w:r w:rsid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>ները</w:t>
      </w:r>
      <w:r w:rsidR="00035A3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որոշման 2-րդ հավելվածով սահ</w:t>
      </w:r>
      <w:r w:rsidR="00035A3F" w:rsidRPr="00A44294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մանված չափանիշներին համապատասխանելու վերաբերյալ 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դիրքորոշում ստանալու նպա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կով։</w:t>
      </w:r>
    </w:p>
    <w:p w14:paraId="71785942" w14:textId="3DE04CEB" w:rsidR="00035A3F" w:rsidRPr="008211F7" w:rsidRDefault="00035A3F" w:rsidP="00035A3F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անդամները կարող են </w:t>
      </w:r>
      <w:r w:rsidR="00C6336B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ներգրավել փորձագետներ կամ </w:t>
      </w:r>
      <w:r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t>Կոմիտեի ներկայացրած եզրակացության վերա</w:t>
      </w:r>
      <w:r w:rsidR="00F04EC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F04EC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բերյալ տրամադրել հատուկ կարծիք և այն վերանայելու առաջարկություն։ Այս դեպքում տեղի է ունենում քննար</w:t>
      </w:r>
      <w:r w:rsidR="00F04EC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կում</w:t>
      </w:r>
      <w:r w:rsidR="00F04EC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ներ։ Քննարկումների արդյունքում հանձնաժողովի անդամ Կոմի</w:t>
      </w:r>
      <w:r w:rsidR="00F04EC3" w:rsidRPr="008211F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տեի ներկայացուցչի առաջարկությամբ կոմիտեի եզրակացությունը կարող է վերանայվել։</w:t>
      </w:r>
    </w:p>
    <w:p w14:paraId="1329A1B5" w14:textId="3CEC0B23" w:rsidR="005706BD" w:rsidRPr="008211F7" w:rsidRDefault="005706BD" w:rsidP="00CD76C4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Աշխատանքները՝ որպես այդպիսին որակելու կամ աշխատանքների՝ որպես այդպի</w:t>
      </w:r>
      <w:r w:rsidR="00146EE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սին որակ</w:t>
      </w:r>
      <w:r w:rsidR="00C47F1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դադարեցնելու վերաբերյալ </w:t>
      </w:r>
      <w:r w:rsidR="00146EE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եզրակացությունը և այն հաստա</w:t>
      </w:r>
      <w:r w:rsidR="00146EE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տելու մասին </w:t>
      </w:r>
      <w:r w:rsidR="00635F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կր</w:t>
      </w:r>
      <w:r w:rsidR="002F2E9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թության, գիտության, մշակույթի և</w:t>
      </w:r>
      <w:r w:rsidR="00635FB8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սպորտի </w:t>
      </w:r>
      <w:r w:rsidR="00146EE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նախարարի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հրամանը 5 աշխատանքային օրվա ընթացքում ուղարկվում է 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աշխատանքները </w:t>
      </w:r>
      <w:r w:rsidR="0042671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</w:t>
      </w:r>
      <w:r w:rsidR="0042671B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կանացնողին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</w:t>
      </w:r>
      <w:r w:rsidR="00146EE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</w:t>
      </w:r>
      <w:r w:rsidR="00146EE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պետության պետական եկամուտների կոմիտե:</w:t>
      </w:r>
    </w:p>
    <w:p w14:paraId="3F2D631D" w14:textId="09D62FF5" w:rsidR="00090FFA" w:rsidRPr="00A35EDC" w:rsidRDefault="00090FFA" w:rsidP="00CD76C4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եզրակացությունը պետք է պարունակի հետևյալ տեղեկու</w:t>
      </w:r>
      <w:r w:rsidR="00A35E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35E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A35E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35E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ները՝</w:t>
      </w:r>
    </w:p>
    <w:p w14:paraId="4B401884" w14:textId="7C35A4E5" w:rsidR="00090FFA" w:rsidRPr="00A44294" w:rsidRDefault="001A729C" w:rsidP="008271A0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գիտական հետազոտության </w:t>
      </w:r>
      <w:r w:rsidR="00884F47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փորձարարական մշակումների </w:t>
      </w:r>
      <w:r w:rsidR="006A0BE6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աշխատանքի </w:t>
      </w:r>
      <w:r w:rsidR="00B67A4D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</w:t>
      </w:r>
      <w:r w:rsidR="006A0BE6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B67A4D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նումը</w:t>
      </w:r>
      <w:r w:rsidR="00884F47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ըստ</w:t>
      </w:r>
      <w:r w:rsidR="00572A40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տնտե</w:t>
      </w: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572A40"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սական գործունեության </w:t>
      </w:r>
      <w:r w:rsidR="00884F47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դասակարգչի</w:t>
      </w:r>
      <w:r w:rsidR="00090FFA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4F956A4" w14:textId="7E3F0F22" w:rsidR="00090FFA" w:rsidRPr="00A44294" w:rsidRDefault="00884F47" w:rsidP="008271A0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ֆինանսավորման աղբյուրները և </w:t>
      </w:r>
      <w:r w:rsidR="00090FFA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արժեքը.</w:t>
      </w:r>
    </w:p>
    <w:p w14:paraId="25109C22" w14:textId="47DEDF6E" w:rsidR="00EB105E" w:rsidRDefault="00884F47" w:rsidP="00492856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աշխատանքներն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իրականացնողի անվանումը (անհատ ձեռնարկատի</w:t>
      </w:r>
      <w:r w:rsidR="006A0BE6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րոջ դեպքում՝ անունը, ազգանունը), հարկ վճարողի հաշվառման համարը</w:t>
      </w:r>
      <w:r w:rsid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604EFCC" w14:textId="77777777" w:rsidR="00EB105E" w:rsidRPr="00492856" w:rsidRDefault="00EB105E" w:rsidP="00492856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92856">
        <w:rPr>
          <w:rFonts w:ascii="GHEA Grapalat" w:hAnsi="GHEA Grapalat"/>
          <w:color w:val="000000"/>
          <w:sz w:val="24"/>
          <w:szCs w:val="24"/>
          <w:lang w:val="hy-AM"/>
        </w:rPr>
        <w:t>աշխատանքներն իրականացնող աշխատակիցների անունը, ազգանունը, ՀԾ համարանիշը կամ դա չունենալու վերաբերյալ համապատասխան տեղեկանքը,</w:t>
      </w:r>
    </w:p>
    <w:p w14:paraId="501ADD26" w14:textId="7670452A" w:rsidR="00EB105E" w:rsidRPr="00492856" w:rsidRDefault="00EB105E" w:rsidP="00492856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92856">
        <w:rPr>
          <w:rFonts w:ascii="GHEA Grapalat" w:hAnsi="GHEA Grapalat"/>
          <w:color w:val="000000"/>
          <w:sz w:val="24"/>
          <w:szCs w:val="24"/>
          <w:lang w:val="hy-AM"/>
        </w:rPr>
        <w:t>գիտական հետազոտությունների և փորձարարական մշակումների ավարտի ակնկալվող ամսաթիվը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22CE8CDB" w14:textId="0555A64E" w:rsidR="00090FFA" w:rsidRPr="008211F7" w:rsidRDefault="00B02460" w:rsidP="00146EEA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0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կողմից տրամադրված դրական եզրակացությունը չեղյալ է ճանաչ</w:t>
      </w:r>
      <w:r w:rsidR="008271A0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վում </w:t>
      </w:r>
      <w:r w:rsidR="009A4BB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իրականացվող աշխատանքները </w:t>
      </w:r>
      <w:r w:rsidR="00A16BBE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647D22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րագրի</w:t>
      </w:r>
      <w:r w:rsidR="009A4BBF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նպատակներին և դրույթներին համա</w:t>
      </w:r>
      <w:r w:rsidR="00A16BBE" w:rsidRPr="00A442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A4BB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A4BB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397EE7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A4BBF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չիրականացվելու դեպքերում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3095A3C8" w14:textId="77777777" w:rsidR="00A16BBE" w:rsidRPr="008211F7" w:rsidRDefault="00D81224" w:rsidP="00D11FF6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Աշխատանքների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իրականացման ընթացքում փոփո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խություններ առաջանալու դեպ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E063AD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քում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իրականացնողը պետք է դրա մասին գրավոր տեղեկացնի հանձ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ժո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ղո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վին: </w:t>
      </w:r>
    </w:p>
    <w:p w14:paraId="4016BE14" w14:textId="3822526C" w:rsidR="006A0BE6" w:rsidRPr="008211F7" w:rsidRDefault="00D81224" w:rsidP="00D75C7E">
      <w:pPr>
        <w:pStyle w:val="ListParagraph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Աշխատանքներն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իրականացնողը կարող է ինքնակամ հրաժարվել </w:t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 օրենս</w:t>
      </w:r>
      <w:r w:rsidR="001F4173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քով սահմանված հարկման առանձնահատկությունների կիրառումից՝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 դիմումի 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համա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ձայն, որի հիման վրա հանձնաժողովի կողմից տրամադրվում է </w:t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որպես գիտական հետա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զո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թյունների և փորձարարական մշակումների աշխատանքներ որակված աշխա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որակումը դադարեցնելու վերաբերյալ եզրակացություն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Այս դեպքում</w:t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գիտական հետա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զո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</w:t>
      </w:r>
      <w:r w:rsidR="008271A0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թյունների և փորձարարական մշակումների աշխատանքներ որակված աշխա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որակումը</w:t>
      </w:r>
      <w:r w:rsidR="00090FFA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դադարեցվելու արդյունքում </w:t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 պար</w:t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տա</w:t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վորությունների վերա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</w:t>
      </w:r>
      <w:r w:rsidR="00A16BB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8037E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վարկներ չեն կատարվում</w:t>
      </w:r>
      <w:r w:rsidR="00BA4D0C" w:rsidRPr="00821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sectPr w:rsidR="006A0BE6" w:rsidRPr="008211F7" w:rsidSect="00C07FA3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D83"/>
    <w:multiLevelType w:val="hybridMultilevel"/>
    <w:tmpl w:val="13C26B7C"/>
    <w:lvl w:ilvl="0" w:tplc="DC64692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9EB2DFF"/>
    <w:multiLevelType w:val="hybridMultilevel"/>
    <w:tmpl w:val="AF68B304"/>
    <w:lvl w:ilvl="0" w:tplc="0374D90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1959A8"/>
    <w:multiLevelType w:val="hybridMultilevel"/>
    <w:tmpl w:val="1A6265DA"/>
    <w:lvl w:ilvl="0" w:tplc="24788970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124F9D"/>
    <w:multiLevelType w:val="hybridMultilevel"/>
    <w:tmpl w:val="19368DD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1A7508"/>
    <w:multiLevelType w:val="hybridMultilevel"/>
    <w:tmpl w:val="670C9BC8"/>
    <w:lvl w:ilvl="0" w:tplc="B3A0A85C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4B81371"/>
    <w:multiLevelType w:val="hybridMultilevel"/>
    <w:tmpl w:val="359AB27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81D3DD4"/>
    <w:multiLevelType w:val="hybridMultilevel"/>
    <w:tmpl w:val="3E5259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EBD7544"/>
    <w:multiLevelType w:val="hybridMultilevel"/>
    <w:tmpl w:val="D0BAF5FC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839C6B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E04FD0"/>
    <w:multiLevelType w:val="hybridMultilevel"/>
    <w:tmpl w:val="CECCE7A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2444642"/>
    <w:multiLevelType w:val="hybridMultilevel"/>
    <w:tmpl w:val="06D686F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22444A2C"/>
    <w:multiLevelType w:val="hybridMultilevel"/>
    <w:tmpl w:val="9F1A1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938D5"/>
    <w:multiLevelType w:val="hybridMultilevel"/>
    <w:tmpl w:val="DFD46B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516CF2"/>
    <w:multiLevelType w:val="hybridMultilevel"/>
    <w:tmpl w:val="B73E3DEA"/>
    <w:lvl w:ilvl="0" w:tplc="617C712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AB5B44"/>
    <w:multiLevelType w:val="hybridMultilevel"/>
    <w:tmpl w:val="19761F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717621"/>
    <w:multiLevelType w:val="hybridMultilevel"/>
    <w:tmpl w:val="6708F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52F8C"/>
    <w:multiLevelType w:val="hybridMultilevel"/>
    <w:tmpl w:val="74C8B9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0E562AC"/>
    <w:multiLevelType w:val="hybridMultilevel"/>
    <w:tmpl w:val="74A8B16E"/>
    <w:lvl w:ilvl="0" w:tplc="9ADEB2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3CA5419"/>
    <w:multiLevelType w:val="hybridMultilevel"/>
    <w:tmpl w:val="AD3A3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D4FEB"/>
    <w:multiLevelType w:val="hybridMultilevel"/>
    <w:tmpl w:val="C108EDE6"/>
    <w:lvl w:ilvl="0" w:tplc="6450DF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C035788"/>
    <w:multiLevelType w:val="hybridMultilevel"/>
    <w:tmpl w:val="BBD8F6A4"/>
    <w:lvl w:ilvl="0" w:tplc="05284DB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4D3E19C8"/>
    <w:multiLevelType w:val="hybridMultilevel"/>
    <w:tmpl w:val="8CDA25F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55EA38DD"/>
    <w:multiLevelType w:val="multilevel"/>
    <w:tmpl w:val="7EA87478"/>
    <w:lvl w:ilvl="0">
      <w:start w:val="1"/>
      <w:numFmt w:val="decimal"/>
      <w:lvlText w:val="%1."/>
      <w:lvlJc w:val="left"/>
      <w:pPr>
        <w:ind w:left="2715" w:hanging="360"/>
      </w:pPr>
    </w:lvl>
    <w:lvl w:ilvl="1">
      <w:start w:val="1"/>
      <w:numFmt w:val="lowerLetter"/>
      <w:lvlText w:val="%2."/>
      <w:lvlJc w:val="left"/>
      <w:pPr>
        <w:ind w:left="3435" w:hanging="360"/>
      </w:pPr>
    </w:lvl>
    <w:lvl w:ilvl="2">
      <w:start w:val="1"/>
      <w:numFmt w:val="lowerRoman"/>
      <w:lvlText w:val="%3."/>
      <w:lvlJc w:val="right"/>
      <w:pPr>
        <w:ind w:left="4155" w:hanging="180"/>
      </w:pPr>
    </w:lvl>
    <w:lvl w:ilvl="3">
      <w:start w:val="1"/>
      <w:numFmt w:val="decimal"/>
      <w:lvlText w:val="%4."/>
      <w:lvlJc w:val="left"/>
      <w:pPr>
        <w:ind w:left="4875" w:hanging="360"/>
      </w:pPr>
    </w:lvl>
    <w:lvl w:ilvl="4">
      <w:start w:val="1"/>
      <w:numFmt w:val="lowerLetter"/>
      <w:lvlText w:val="%5."/>
      <w:lvlJc w:val="left"/>
      <w:pPr>
        <w:ind w:left="5595" w:hanging="360"/>
      </w:pPr>
    </w:lvl>
    <w:lvl w:ilvl="5">
      <w:start w:val="1"/>
      <w:numFmt w:val="lowerRoman"/>
      <w:lvlText w:val="%6."/>
      <w:lvlJc w:val="right"/>
      <w:pPr>
        <w:ind w:left="6315" w:hanging="180"/>
      </w:pPr>
    </w:lvl>
    <w:lvl w:ilvl="6">
      <w:start w:val="1"/>
      <w:numFmt w:val="decimal"/>
      <w:lvlText w:val="%7."/>
      <w:lvlJc w:val="left"/>
      <w:pPr>
        <w:ind w:left="7035" w:hanging="360"/>
      </w:pPr>
    </w:lvl>
    <w:lvl w:ilvl="7">
      <w:start w:val="1"/>
      <w:numFmt w:val="lowerLetter"/>
      <w:lvlText w:val="%8."/>
      <w:lvlJc w:val="left"/>
      <w:pPr>
        <w:ind w:left="7755" w:hanging="360"/>
      </w:pPr>
    </w:lvl>
    <w:lvl w:ilvl="8">
      <w:start w:val="1"/>
      <w:numFmt w:val="lowerRoman"/>
      <w:lvlText w:val="%9."/>
      <w:lvlJc w:val="right"/>
      <w:pPr>
        <w:ind w:left="8475" w:hanging="180"/>
      </w:pPr>
    </w:lvl>
  </w:abstractNum>
  <w:abstractNum w:abstractNumId="22" w15:restartNumberingAfterBreak="0">
    <w:nsid w:val="605B41DC"/>
    <w:multiLevelType w:val="multilevel"/>
    <w:tmpl w:val="B690206E"/>
    <w:lvl w:ilvl="0">
      <w:start w:val="1"/>
      <w:numFmt w:val="decimal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2E07D73"/>
    <w:multiLevelType w:val="hybridMultilevel"/>
    <w:tmpl w:val="8B34BF78"/>
    <w:lvl w:ilvl="0" w:tplc="4B9AAB0C">
      <w:start w:val="1"/>
      <w:numFmt w:val="decimal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2F107B5"/>
    <w:multiLevelType w:val="hybridMultilevel"/>
    <w:tmpl w:val="21D08332"/>
    <w:lvl w:ilvl="0" w:tplc="78A012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69BD348F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6" w15:restartNumberingAfterBreak="0">
    <w:nsid w:val="6BB24828"/>
    <w:multiLevelType w:val="hybridMultilevel"/>
    <w:tmpl w:val="C59C9004"/>
    <w:lvl w:ilvl="0" w:tplc="D3BE9F9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6C716F9B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8" w15:restartNumberingAfterBreak="0">
    <w:nsid w:val="6E894C70"/>
    <w:multiLevelType w:val="hybridMultilevel"/>
    <w:tmpl w:val="B04E3A98"/>
    <w:lvl w:ilvl="0" w:tplc="0409000F">
      <w:start w:val="1"/>
      <w:numFmt w:val="decimal"/>
      <w:lvlText w:val="%1."/>
      <w:lvlJc w:val="left"/>
      <w:pPr>
        <w:ind w:left="2715" w:hanging="360"/>
      </w:p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29" w15:restartNumberingAfterBreak="0">
    <w:nsid w:val="6EC53F73"/>
    <w:multiLevelType w:val="hybridMultilevel"/>
    <w:tmpl w:val="AB3CA23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6F4F7ADB"/>
    <w:multiLevelType w:val="hybridMultilevel"/>
    <w:tmpl w:val="8188A5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D43A2D1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1B158D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2" w15:restartNumberingAfterBreak="0">
    <w:nsid w:val="73AC67A2"/>
    <w:multiLevelType w:val="multilevel"/>
    <w:tmpl w:val="FA3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368F6"/>
    <w:multiLevelType w:val="hybridMultilevel"/>
    <w:tmpl w:val="196A3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46C9"/>
    <w:multiLevelType w:val="hybridMultilevel"/>
    <w:tmpl w:val="D22EB82C"/>
    <w:lvl w:ilvl="0" w:tplc="A7200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0516451">
    <w:abstractNumId w:val="32"/>
  </w:num>
  <w:num w:numId="2" w16cid:durableId="1691300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139243">
    <w:abstractNumId w:val="2"/>
  </w:num>
  <w:num w:numId="4" w16cid:durableId="1193763905">
    <w:abstractNumId w:val="11"/>
  </w:num>
  <w:num w:numId="5" w16cid:durableId="1816946119">
    <w:abstractNumId w:val="7"/>
  </w:num>
  <w:num w:numId="6" w16cid:durableId="1592004596">
    <w:abstractNumId w:val="34"/>
  </w:num>
  <w:num w:numId="7" w16cid:durableId="250433949">
    <w:abstractNumId w:val="30"/>
  </w:num>
  <w:num w:numId="8" w16cid:durableId="337587734">
    <w:abstractNumId w:val="9"/>
  </w:num>
  <w:num w:numId="9" w16cid:durableId="517083963">
    <w:abstractNumId w:val="19"/>
  </w:num>
  <w:num w:numId="10" w16cid:durableId="408622370">
    <w:abstractNumId w:val="29"/>
  </w:num>
  <w:num w:numId="11" w16cid:durableId="1205173636">
    <w:abstractNumId w:val="28"/>
  </w:num>
  <w:num w:numId="12" w16cid:durableId="63188808">
    <w:abstractNumId w:val="31"/>
  </w:num>
  <w:num w:numId="13" w16cid:durableId="1753159662">
    <w:abstractNumId w:val="23"/>
  </w:num>
  <w:num w:numId="14" w16cid:durableId="1666204246">
    <w:abstractNumId w:val="1"/>
  </w:num>
  <w:num w:numId="15" w16cid:durableId="1944722121">
    <w:abstractNumId w:val="25"/>
  </w:num>
  <w:num w:numId="16" w16cid:durableId="1385907202">
    <w:abstractNumId w:val="4"/>
  </w:num>
  <w:num w:numId="17" w16cid:durableId="626396944">
    <w:abstractNumId w:val="15"/>
  </w:num>
  <w:num w:numId="18" w16cid:durableId="1957563554">
    <w:abstractNumId w:val="24"/>
  </w:num>
  <w:num w:numId="19" w16cid:durableId="2147046500">
    <w:abstractNumId w:val="6"/>
  </w:num>
  <w:num w:numId="20" w16cid:durableId="1285966599">
    <w:abstractNumId w:val="18"/>
  </w:num>
  <w:num w:numId="21" w16cid:durableId="872034154">
    <w:abstractNumId w:val="20"/>
  </w:num>
  <w:num w:numId="22" w16cid:durableId="1768649202">
    <w:abstractNumId w:val="0"/>
  </w:num>
  <w:num w:numId="23" w16cid:durableId="419103765">
    <w:abstractNumId w:val="5"/>
  </w:num>
  <w:num w:numId="24" w16cid:durableId="877475193">
    <w:abstractNumId w:val="16"/>
  </w:num>
  <w:num w:numId="25" w16cid:durableId="1175535714">
    <w:abstractNumId w:val="8"/>
  </w:num>
  <w:num w:numId="26" w16cid:durableId="1933850171">
    <w:abstractNumId w:val="3"/>
  </w:num>
  <w:num w:numId="27" w16cid:durableId="1033266415">
    <w:abstractNumId w:val="26"/>
  </w:num>
  <w:num w:numId="28" w16cid:durableId="845442153">
    <w:abstractNumId w:val="27"/>
  </w:num>
  <w:num w:numId="29" w16cid:durableId="719209972">
    <w:abstractNumId w:val="10"/>
  </w:num>
  <w:num w:numId="30" w16cid:durableId="489104479">
    <w:abstractNumId w:val="17"/>
  </w:num>
  <w:num w:numId="31" w16cid:durableId="902331845">
    <w:abstractNumId w:val="21"/>
  </w:num>
  <w:num w:numId="32" w16cid:durableId="491722751">
    <w:abstractNumId w:val="22"/>
  </w:num>
  <w:num w:numId="33" w16cid:durableId="555092475">
    <w:abstractNumId w:val="13"/>
  </w:num>
  <w:num w:numId="34" w16cid:durableId="1387295988">
    <w:abstractNumId w:val="12"/>
  </w:num>
  <w:num w:numId="35" w16cid:durableId="1515261872">
    <w:abstractNumId w:val="14"/>
  </w:num>
  <w:num w:numId="36" w16cid:durableId="1705346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EE"/>
    <w:rsid w:val="00035A3F"/>
    <w:rsid w:val="00041B6A"/>
    <w:rsid w:val="00052655"/>
    <w:rsid w:val="00071ABE"/>
    <w:rsid w:val="000750C7"/>
    <w:rsid w:val="00083ABB"/>
    <w:rsid w:val="00084F18"/>
    <w:rsid w:val="00090FFA"/>
    <w:rsid w:val="000A030A"/>
    <w:rsid w:val="000A269A"/>
    <w:rsid w:val="000A49B8"/>
    <w:rsid w:val="000B52C0"/>
    <w:rsid w:val="000C0A61"/>
    <w:rsid w:val="000C2FBB"/>
    <w:rsid w:val="000D3659"/>
    <w:rsid w:val="000D49C4"/>
    <w:rsid w:val="000E0A4A"/>
    <w:rsid w:val="000E0DD4"/>
    <w:rsid w:val="000E35BF"/>
    <w:rsid w:val="00100019"/>
    <w:rsid w:val="00110A59"/>
    <w:rsid w:val="0011353A"/>
    <w:rsid w:val="00126BDF"/>
    <w:rsid w:val="001314DE"/>
    <w:rsid w:val="00131E8C"/>
    <w:rsid w:val="00134B0D"/>
    <w:rsid w:val="00136F2A"/>
    <w:rsid w:val="001409D8"/>
    <w:rsid w:val="00146EEA"/>
    <w:rsid w:val="00151988"/>
    <w:rsid w:val="00162616"/>
    <w:rsid w:val="00167AC7"/>
    <w:rsid w:val="001704E6"/>
    <w:rsid w:val="00170723"/>
    <w:rsid w:val="001A6F1A"/>
    <w:rsid w:val="001A729C"/>
    <w:rsid w:val="001B207D"/>
    <w:rsid w:val="001C36BE"/>
    <w:rsid w:val="001D29AA"/>
    <w:rsid w:val="001E6662"/>
    <w:rsid w:val="001F4173"/>
    <w:rsid w:val="001F4EFD"/>
    <w:rsid w:val="00202848"/>
    <w:rsid w:val="002075D1"/>
    <w:rsid w:val="00207CE4"/>
    <w:rsid w:val="0021746A"/>
    <w:rsid w:val="0022623D"/>
    <w:rsid w:val="00235ABB"/>
    <w:rsid w:val="0024098D"/>
    <w:rsid w:val="00253286"/>
    <w:rsid w:val="00286421"/>
    <w:rsid w:val="0029042C"/>
    <w:rsid w:val="00292CA0"/>
    <w:rsid w:val="002A106B"/>
    <w:rsid w:val="002C2B81"/>
    <w:rsid w:val="002D25A8"/>
    <w:rsid w:val="002E02AC"/>
    <w:rsid w:val="002F2E9F"/>
    <w:rsid w:val="00301671"/>
    <w:rsid w:val="00327525"/>
    <w:rsid w:val="00333ADC"/>
    <w:rsid w:val="003376CD"/>
    <w:rsid w:val="003430E8"/>
    <w:rsid w:val="00345DB5"/>
    <w:rsid w:val="003549C8"/>
    <w:rsid w:val="003664E9"/>
    <w:rsid w:val="0037310B"/>
    <w:rsid w:val="003751FC"/>
    <w:rsid w:val="00392848"/>
    <w:rsid w:val="00397EE7"/>
    <w:rsid w:val="003A1DD8"/>
    <w:rsid w:val="003C0990"/>
    <w:rsid w:val="003D1252"/>
    <w:rsid w:val="003F0CF1"/>
    <w:rsid w:val="003F50C0"/>
    <w:rsid w:val="0040646F"/>
    <w:rsid w:val="004120FB"/>
    <w:rsid w:val="00424597"/>
    <w:rsid w:val="0042671B"/>
    <w:rsid w:val="004307FF"/>
    <w:rsid w:val="004762BE"/>
    <w:rsid w:val="004842D2"/>
    <w:rsid w:val="00490CC9"/>
    <w:rsid w:val="00492856"/>
    <w:rsid w:val="00492960"/>
    <w:rsid w:val="004B2199"/>
    <w:rsid w:val="004E05C1"/>
    <w:rsid w:val="004F3D7F"/>
    <w:rsid w:val="004F40A9"/>
    <w:rsid w:val="0050211B"/>
    <w:rsid w:val="005064F3"/>
    <w:rsid w:val="00506AFB"/>
    <w:rsid w:val="00520173"/>
    <w:rsid w:val="0052144F"/>
    <w:rsid w:val="00530350"/>
    <w:rsid w:val="005346A4"/>
    <w:rsid w:val="0053605A"/>
    <w:rsid w:val="00547442"/>
    <w:rsid w:val="00550936"/>
    <w:rsid w:val="005561DD"/>
    <w:rsid w:val="00567A82"/>
    <w:rsid w:val="005706BD"/>
    <w:rsid w:val="005718C1"/>
    <w:rsid w:val="00572A40"/>
    <w:rsid w:val="005A1489"/>
    <w:rsid w:val="005A153A"/>
    <w:rsid w:val="005A209C"/>
    <w:rsid w:val="005B78E9"/>
    <w:rsid w:val="005D0FDE"/>
    <w:rsid w:val="005D1DA4"/>
    <w:rsid w:val="005D2618"/>
    <w:rsid w:val="005F43A4"/>
    <w:rsid w:val="00620FA8"/>
    <w:rsid w:val="0063598D"/>
    <w:rsid w:val="00635FB8"/>
    <w:rsid w:val="00646E1F"/>
    <w:rsid w:val="00647D22"/>
    <w:rsid w:val="00662212"/>
    <w:rsid w:val="00663BB8"/>
    <w:rsid w:val="006739EA"/>
    <w:rsid w:val="00675C93"/>
    <w:rsid w:val="00684416"/>
    <w:rsid w:val="00693AD0"/>
    <w:rsid w:val="006A0BE6"/>
    <w:rsid w:val="006A0D68"/>
    <w:rsid w:val="006C0577"/>
    <w:rsid w:val="006D170A"/>
    <w:rsid w:val="006D28B1"/>
    <w:rsid w:val="006D4C4F"/>
    <w:rsid w:val="006D73FF"/>
    <w:rsid w:val="0070056B"/>
    <w:rsid w:val="00705B93"/>
    <w:rsid w:val="00711DD8"/>
    <w:rsid w:val="007217D3"/>
    <w:rsid w:val="00762CD1"/>
    <w:rsid w:val="00777E5F"/>
    <w:rsid w:val="00786A5A"/>
    <w:rsid w:val="00786F0E"/>
    <w:rsid w:val="007B2A9A"/>
    <w:rsid w:val="007B7F28"/>
    <w:rsid w:val="007D0CED"/>
    <w:rsid w:val="007E1C16"/>
    <w:rsid w:val="007F5D1F"/>
    <w:rsid w:val="0080302F"/>
    <w:rsid w:val="008211F7"/>
    <w:rsid w:val="008226A7"/>
    <w:rsid w:val="00826A93"/>
    <w:rsid w:val="008271A0"/>
    <w:rsid w:val="00830B37"/>
    <w:rsid w:val="00834229"/>
    <w:rsid w:val="00837F5C"/>
    <w:rsid w:val="00844762"/>
    <w:rsid w:val="00854390"/>
    <w:rsid w:val="00860C88"/>
    <w:rsid w:val="00883D31"/>
    <w:rsid w:val="0088406B"/>
    <w:rsid w:val="00884F47"/>
    <w:rsid w:val="00896AD2"/>
    <w:rsid w:val="00897C21"/>
    <w:rsid w:val="008A1468"/>
    <w:rsid w:val="008A3321"/>
    <w:rsid w:val="008C019E"/>
    <w:rsid w:val="008C0DAB"/>
    <w:rsid w:val="008E2488"/>
    <w:rsid w:val="008E31BB"/>
    <w:rsid w:val="008E6937"/>
    <w:rsid w:val="0092051D"/>
    <w:rsid w:val="00922FD9"/>
    <w:rsid w:val="00931524"/>
    <w:rsid w:val="009349DA"/>
    <w:rsid w:val="00935B4F"/>
    <w:rsid w:val="00955CC2"/>
    <w:rsid w:val="00966502"/>
    <w:rsid w:val="0097500B"/>
    <w:rsid w:val="00975A21"/>
    <w:rsid w:val="00976A8A"/>
    <w:rsid w:val="00982DD7"/>
    <w:rsid w:val="00983F27"/>
    <w:rsid w:val="0098653E"/>
    <w:rsid w:val="009949CB"/>
    <w:rsid w:val="00996FD0"/>
    <w:rsid w:val="009A4BBF"/>
    <w:rsid w:val="009A54F3"/>
    <w:rsid w:val="009B3857"/>
    <w:rsid w:val="009B3B26"/>
    <w:rsid w:val="009C3DB1"/>
    <w:rsid w:val="009E10C1"/>
    <w:rsid w:val="009F60EE"/>
    <w:rsid w:val="00A1510A"/>
    <w:rsid w:val="00A16BBE"/>
    <w:rsid w:val="00A179A3"/>
    <w:rsid w:val="00A35EDC"/>
    <w:rsid w:val="00A4130B"/>
    <w:rsid w:val="00A4253E"/>
    <w:rsid w:val="00A44294"/>
    <w:rsid w:val="00A57E88"/>
    <w:rsid w:val="00A6569B"/>
    <w:rsid w:val="00A70981"/>
    <w:rsid w:val="00A73B45"/>
    <w:rsid w:val="00A8037E"/>
    <w:rsid w:val="00AA10B7"/>
    <w:rsid w:val="00AB073C"/>
    <w:rsid w:val="00AB1849"/>
    <w:rsid w:val="00AB63B8"/>
    <w:rsid w:val="00AC5553"/>
    <w:rsid w:val="00AE49F6"/>
    <w:rsid w:val="00AF4FDE"/>
    <w:rsid w:val="00B02460"/>
    <w:rsid w:val="00B14ED2"/>
    <w:rsid w:val="00B24E0B"/>
    <w:rsid w:val="00B32DF7"/>
    <w:rsid w:val="00B51312"/>
    <w:rsid w:val="00B67A4D"/>
    <w:rsid w:val="00B7038C"/>
    <w:rsid w:val="00B8554B"/>
    <w:rsid w:val="00B866CC"/>
    <w:rsid w:val="00B90620"/>
    <w:rsid w:val="00BA4D0C"/>
    <w:rsid w:val="00BB026F"/>
    <w:rsid w:val="00BB2974"/>
    <w:rsid w:val="00BD213F"/>
    <w:rsid w:val="00BD3A39"/>
    <w:rsid w:val="00BD532A"/>
    <w:rsid w:val="00BF056E"/>
    <w:rsid w:val="00BF3558"/>
    <w:rsid w:val="00BF3DC7"/>
    <w:rsid w:val="00C0019C"/>
    <w:rsid w:val="00C05BBC"/>
    <w:rsid w:val="00C07C16"/>
    <w:rsid w:val="00C07FA3"/>
    <w:rsid w:val="00C1504F"/>
    <w:rsid w:val="00C34C67"/>
    <w:rsid w:val="00C36A7E"/>
    <w:rsid w:val="00C47F1C"/>
    <w:rsid w:val="00C51B8D"/>
    <w:rsid w:val="00C54345"/>
    <w:rsid w:val="00C54F41"/>
    <w:rsid w:val="00C6068E"/>
    <w:rsid w:val="00C6336B"/>
    <w:rsid w:val="00C856F1"/>
    <w:rsid w:val="00C90DDA"/>
    <w:rsid w:val="00CA04A3"/>
    <w:rsid w:val="00CA18EA"/>
    <w:rsid w:val="00CB2978"/>
    <w:rsid w:val="00CB665C"/>
    <w:rsid w:val="00CC4604"/>
    <w:rsid w:val="00CC570B"/>
    <w:rsid w:val="00CD76C4"/>
    <w:rsid w:val="00CF0FA9"/>
    <w:rsid w:val="00D0171C"/>
    <w:rsid w:val="00D11FF6"/>
    <w:rsid w:val="00D12A6A"/>
    <w:rsid w:val="00D2159B"/>
    <w:rsid w:val="00D27443"/>
    <w:rsid w:val="00D306C8"/>
    <w:rsid w:val="00D319E6"/>
    <w:rsid w:val="00D43AF6"/>
    <w:rsid w:val="00D51222"/>
    <w:rsid w:val="00D53F00"/>
    <w:rsid w:val="00D75C7E"/>
    <w:rsid w:val="00D81224"/>
    <w:rsid w:val="00DA3BE2"/>
    <w:rsid w:val="00DA516D"/>
    <w:rsid w:val="00DB33F5"/>
    <w:rsid w:val="00DB74D1"/>
    <w:rsid w:val="00DC28F8"/>
    <w:rsid w:val="00DC7D46"/>
    <w:rsid w:val="00DD58D4"/>
    <w:rsid w:val="00DE54E4"/>
    <w:rsid w:val="00DF723E"/>
    <w:rsid w:val="00E063AD"/>
    <w:rsid w:val="00E14B7C"/>
    <w:rsid w:val="00E32279"/>
    <w:rsid w:val="00E33D82"/>
    <w:rsid w:val="00E4426B"/>
    <w:rsid w:val="00E468BB"/>
    <w:rsid w:val="00E54E7D"/>
    <w:rsid w:val="00E7312F"/>
    <w:rsid w:val="00EA40FC"/>
    <w:rsid w:val="00EB105E"/>
    <w:rsid w:val="00EB4B80"/>
    <w:rsid w:val="00EC0505"/>
    <w:rsid w:val="00EC1AC0"/>
    <w:rsid w:val="00EE67AD"/>
    <w:rsid w:val="00F027DE"/>
    <w:rsid w:val="00F04EC3"/>
    <w:rsid w:val="00F132FB"/>
    <w:rsid w:val="00F2649A"/>
    <w:rsid w:val="00F33D3A"/>
    <w:rsid w:val="00F35495"/>
    <w:rsid w:val="00F407C9"/>
    <w:rsid w:val="00F40ACB"/>
    <w:rsid w:val="00F5344E"/>
    <w:rsid w:val="00F7165B"/>
    <w:rsid w:val="00F86A45"/>
    <w:rsid w:val="00F914EF"/>
    <w:rsid w:val="00FA3A90"/>
    <w:rsid w:val="00FA5154"/>
    <w:rsid w:val="00FD2FC4"/>
    <w:rsid w:val="00FD4FEE"/>
    <w:rsid w:val="00FE0D33"/>
    <w:rsid w:val="00FE58DA"/>
    <w:rsid w:val="00FE6519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5326"/>
  <w15:chartTrackingRefBased/>
  <w15:docId w15:val="{FDD3ACC8-4AB1-4D91-8138-D2C1F49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92CA0"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9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CA0"/>
    <w:rPr>
      <w:b/>
      <w:bCs/>
    </w:rPr>
  </w:style>
  <w:style w:type="character" w:styleId="Emphasis">
    <w:name w:val="Emphasis"/>
    <w:basedOn w:val="DefaultParagraphFont"/>
    <w:uiPriority w:val="20"/>
    <w:qFormat/>
    <w:rsid w:val="00292CA0"/>
    <w:rPr>
      <w:i/>
      <w:iCs/>
    </w:rPr>
  </w:style>
  <w:style w:type="paragraph" w:styleId="ListParagraph">
    <w:name w:val="List Paragraph"/>
    <w:basedOn w:val="Normal"/>
    <w:uiPriority w:val="34"/>
    <w:qFormat/>
    <w:rsid w:val="0053035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02460"/>
    <w:pPr>
      <w:spacing w:after="120" w:line="360" w:lineRule="auto"/>
      <w:ind w:firstLine="709"/>
    </w:pPr>
    <w:rPr>
      <w:rFonts w:ascii="GHEA Grapalat" w:eastAsia="Calibri" w:hAnsi="GHEA Grapalat" w:cs="Times New Roman"/>
      <w:sz w:val="24"/>
      <w:szCs w:val="24"/>
      <w:lang w:val="hy-AM"/>
    </w:rPr>
  </w:style>
  <w:style w:type="character" w:customStyle="1" w:styleId="BodyTextChar">
    <w:name w:val="Body Text Char"/>
    <w:basedOn w:val="DefaultParagraphFont"/>
    <w:link w:val="BodyText"/>
    <w:uiPriority w:val="99"/>
    <w:rsid w:val="00B02460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mechtex">
    <w:name w:val="mechtex"/>
    <w:basedOn w:val="Normal"/>
    <w:link w:val="mechtexChar"/>
    <w:qFormat/>
    <w:rsid w:val="00A7098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A70981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376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B105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8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3876-8E92-4862-8AE1-6C834C54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2427</Words>
  <Characters>19137</Characters>
  <Application>Microsoft Office Word</Application>
  <DocSecurity>0</DocSecurity>
  <Lines>387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https://mul2-minfin.gov.am/tasks/945034/oneclick?token=96de3358458428be6c8f6e9fa8d77f96</cp:keywords>
  <dc:description/>
  <cp:lastModifiedBy>Ori Alaverdyan</cp:lastModifiedBy>
  <cp:revision>25</cp:revision>
  <dcterms:created xsi:type="dcterms:W3CDTF">2025-01-27T07:52:00Z</dcterms:created>
  <dcterms:modified xsi:type="dcterms:W3CDTF">2025-01-27T12:22:00Z</dcterms:modified>
</cp:coreProperties>
</file>