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EF52" w14:textId="6BA0F7AB" w:rsidR="009F426C" w:rsidRDefault="009F426C" w:rsidP="009F426C">
      <w:pPr>
        <w:spacing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0D4A63FA" w14:textId="09ED06F7" w:rsidR="00A02C9C" w:rsidRPr="00DF2A21" w:rsidRDefault="00A02C9C" w:rsidP="00A02C9C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</w:t>
      </w:r>
    </w:p>
    <w:p w14:paraId="79EA1C7F" w14:textId="77777777" w:rsidR="00A02C9C" w:rsidRPr="00DF2A21" w:rsidRDefault="00A02C9C" w:rsidP="00A02C9C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ՕՐԵՆՔԸ </w:t>
      </w:r>
    </w:p>
    <w:p w14:paraId="25543A8F" w14:textId="77777777" w:rsidR="00A02C9C" w:rsidRPr="00DF2A21" w:rsidRDefault="00A02C9C" w:rsidP="00A02C9C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2B5754B2" w14:textId="5EFC0041" w:rsidR="00A02C9C" w:rsidRPr="00DF2A21" w:rsidRDefault="00A02C9C" w:rsidP="00A02C9C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sz w:val="24"/>
          <w:szCs w:val="24"/>
        </w:rPr>
        <w:t>«ՕՏԱՐԵՐԿՐԱՑԻՆԵՐԻ ՄԱՍԻՆ» ՕՐԵՆՔՈՒՄ ԼՐԱՑՈՒՄՆԵՐ ԵՎ ՓՈՓՈԽՈՒԹՅՈՒՆ ԿԱՏԱՐԵԼՈՒ ՄԱՍԻՆ</w:t>
      </w:r>
    </w:p>
    <w:p w14:paraId="5058F4D9" w14:textId="77777777" w:rsidR="00A02C9C" w:rsidRPr="00DF2A21" w:rsidRDefault="00A02C9C" w:rsidP="00A02C9C">
      <w:pPr>
        <w:spacing w:line="360" w:lineRule="auto"/>
        <w:jc w:val="center"/>
      </w:pPr>
      <w:r w:rsidRPr="00DF2A21">
        <w:rPr>
          <w:rFonts w:ascii="Times New Roman" w:eastAsia="Times New Roman" w:hAnsi="Times New Roman" w:cs="Times New Roman"/>
          <w:b/>
          <w:bCs/>
          <w:sz w:val="24"/>
          <w:szCs w:val="24"/>
          <w:lang w:val="hy"/>
        </w:rPr>
        <w:t xml:space="preserve"> </w:t>
      </w:r>
    </w:p>
    <w:p w14:paraId="7FB60DE8" w14:textId="54B0DAED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Հոդված 1. </w:t>
      </w:r>
      <w:r w:rsidRPr="00DF2A21">
        <w:rPr>
          <w:rFonts w:ascii="GHEA Grapalat" w:eastAsia="GHEA Grapalat" w:hAnsi="GHEA Grapalat" w:cs="GHEA Grapalat"/>
          <w:sz w:val="24"/>
          <w:szCs w:val="24"/>
        </w:rPr>
        <w:t>«Օտարերկրացիների մասին» 2006 թվականի դեկտեմբերի 25-ի ՀՕ-47-Ն օրենքի (այսուհետ՝ Օրենք) 6-րդ հոդվածում՝</w:t>
      </w:r>
    </w:p>
    <w:p w14:paraId="06407EC3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1) 3-րդ մասում լրացնել հետևյալ բովանդակությամբ երկրորդ նախադասություն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734BAD84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«Հայաստանի Հանրապետության տարածք օտարերկրացիների մուտքը չթույլատրելու վերաբերյալ կայացվում է գրավոր որոշում։»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394CA760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2)  լրացնել հետևյալ բովանդակությամբ 3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4-րդ մաս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4CBDE29E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«3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4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Հայաստանի Հանրապետության տարածք օտարերկրացիների մուտքը չթույլատրվելու մասին որոշումը կարող է բողոքարկվել դատական կարգով, ինչը կասեցնում է օտարերկրացու վերադարձը։»։</w:t>
      </w:r>
    </w:p>
    <w:p w14:paraId="2BABB1F3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74D675FD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2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Օրենքի 15-րդ հոդվածում լրացնել հետևյալ բովանդակությամբ 1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1-ին մաս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62796C62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«1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Ժամանակավոր կացության կարգավիճակ տրվում է նաև այն օտարերկրացուն, ում նկատմամբ կիրառելի են սույն օրենքի 32-րդ հոդվածով նախատեսված արտաքսումն արգելող հանգամանքները։»։</w:t>
      </w:r>
    </w:p>
    <w:p w14:paraId="673FE702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98E17CA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3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Օրենքի 19-րդ հոդվածում լրացնել հետևյալ բովանադակությամբ 3-րդ մաս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7B334E9C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«3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Սույն հոդվածով նախատեսված դրույթները չեն տարածվում կացության կարգավիճակ տալու՝ սույն օրենքի 15-րդ հոդվածի 1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1-ին մասով սահանված հիմքերի վրա։»։</w:t>
      </w:r>
    </w:p>
    <w:p w14:paraId="7A5BB9A5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2BEDDC43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lastRenderedPageBreak/>
        <w:t>Հոդված 4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Օրենքի 21-րդ հոդվածի 1-ին մասի դ) կետի «հասարակական կարգին» բառերից հետո լրացնել «, բացառությամբ սույն օրենքի 15-րդ հոդվածի 1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1-ին մասով սահմանված հիմքերով տրված կացության կարգավիճակի» բառերը։</w:t>
      </w:r>
    </w:p>
    <w:p w14:paraId="5F27D0C7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1581455A" w14:textId="77777777" w:rsidR="00A02C9C" w:rsidRPr="00DF2A21" w:rsidRDefault="00A02C9C" w:rsidP="00A02C9C">
      <w:pPr>
        <w:tabs>
          <w:tab w:val="left" w:pos="661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5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Օրենքի 32-րդ հոդվածում՝</w:t>
      </w:r>
      <w:r w:rsidRPr="00DF2A21">
        <w:rPr>
          <w:rFonts w:ascii="GHEA Grapalat" w:eastAsia="GHEA Grapalat" w:hAnsi="GHEA Grapalat" w:cs="GHEA Grapalat"/>
          <w:sz w:val="24"/>
          <w:szCs w:val="24"/>
        </w:rPr>
        <w:tab/>
      </w:r>
    </w:p>
    <w:p w14:paraId="1B4E461E" w14:textId="77777777" w:rsidR="00A02C9C" w:rsidRPr="00DF2A21" w:rsidRDefault="00A02C9C" w:rsidP="00A02C9C">
      <w:pPr>
        <w:pStyle w:val="ListParagraph"/>
        <w:numPr>
          <w:ilvl w:val="0"/>
          <w:numId w:val="1"/>
        </w:numPr>
        <w:spacing w:line="360" w:lineRule="auto"/>
        <w:ind w:left="0"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1-ին մասի 2-րդ պարբերությունն ուժը կորցրած ճանաչել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24E4BE1F" w14:textId="77777777" w:rsidR="00A02C9C" w:rsidRPr="00DF2A21" w:rsidRDefault="00A02C9C" w:rsidP="00A02C9C">
      <w:pPr>
        <w:pStyle w:val="ListParagraph"/>
        <w:numPr>
          <w:ilvl w:val="0"/>
          <w:numId w:val="1"/>
        </w:numPr>
        <w:spacing w:line="360" w:lineRule="auto"/>
        <w:ind w:left="0"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2-րդ մասի առաջին կետի «բնակվում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են Հայաստանի Հանրապետությունում կամ» բառերից հետո լրացնել «արտաքսումը չի բխում նրա լավագույն շահից, ներառյալ՝ երբ նրա ծագման երկրում առկա է  երեխայի իրավունքների խախտման կամ անվերականգնելի վնասի ենթարկվելու վտանգ կամ» բառերը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765E8134" w14:textId="77777777" w:rsidR="00A02C9C" w:rsidRPr="00DF2A21" w:rsidRDefault="00A02C9C" w:rsidP="00A02C9C">
      <w:pPr>
        <w:pStyle w:val="ListParagraph"/>
        <w:numPr>
          <w:ilvl w:val="0"/>
          <w:numId w:val="1"/>
        </w:numPr>
        <w:spacing w:line="360" w:lineRule="auto"/>
        <w:ind w:left="0"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լրացնել հետևյալ բովանդակությամբ 4-րդ մաս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228F8ED8" w14:textId="77777777" w:rsidR="00A02C9C" w:rsidRPr="00DF2A21" w:rsidRDefault="00A02C9C" w:rsidP="00A02C9C">
      <w:pPr>
        <w:spacing w:line="360" w:lineRule="auto"/>
        <w:ind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«4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Մարդասիրական հիմքով օտարերկրացու արտաքսումը կարող է արգելվել, եթե առկա է կյանքին վտանգ սպառնացող կամ ծանր հիվանդություն, և վերադարձը իր ծագման երկիր կարող է իրական վտանգ ստեղծել օտարերկրացու համար՝ էականորեն նվազեցնելով կյանքի տևողությունը կամ հանգեցնելով առողջական վիճակի լուրջ, արագ և անդառնալի անկման, ուժեղ ցավերի, ներառյալ՝ երբ համապատասխան բժշկական օգնությունը հասանելի չէ ծագման երկրում։»։  </w:t>
      </w:r>
    </w:p>
    <w:p w14:paraId="7867BE1F" w14:textId="77777777" w:rsidR="00A02C9C" w:rsidRPr="00DF2A21" w:rsidRDefault="00A02C9C" w:rsidP="00A02C9C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14:paraId="3EF59A4E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6.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Օրենքի 33-րդ հոդվածում լրացնել հետևյալ բովանդակությամբ երկրորդ նախադասություն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</w:p>
    <w:p w14:paraId="6F2D83AA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>«Օտարերկրացին ունի անվճար իրավաբանական օգնության իրավունք, որի իրականացումը ապահովվում է միգրացիայի և քաղաքացիության բնագավառում պետական կառավարման լիազոր մարմնի կամ դատարանի կողմից՝ «Փաստաբանության մասին» օրենքի 41-րդ հոդվածով սահմանված կարգով։»։</w:t>
      </w:r>
    </w:p>
    <w:p w14:paraId="40210F16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F4CA26C" w14:textId="1FCB8D64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7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Օրենքի 39-րդ հոդվածում «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>-</w:t>
      </w:r>
      <w:r w:rsidRPr="00DF2A21">
        <w:rPr>
          <w:rFonts w:ascii="GHEA Grapalat" w:eastAsia="GHEA Grapalat" w:hAnsi="GHEA Grapalat" w:cs="GHEA Grapalat"/>
          <w:sz w:val="24"/>
          <w:szCs w:val="24"/>
        </w:rPr>
        <w:t>իրեն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հասկանալի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լեզվով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կամ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թարգմանչի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միջոցով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իմանալ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իր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ձերբակալման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և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պահման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պատճառների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մասին</w:t>
      </w:r>
      <w:r w:rsidRPr="00DF2A21">
        <w:rPr>
          <w:rFonts w:ascii="GHEA Grapalat" w:eastAsia="GHEA Grapalat" w:hAnsi="GHEA Grapalat" w:cs="GHEA Grapalat" w:hint="eastAsia"/>
          <w:sz w:val="24"/>
          <w:szCs w:val="24"/>
        </w:rPr>
        <w:t>,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» բառերից հետո լրացնել «-իր համար հասկանալի լեզվով տեղեկատվություն ստանալ Հայաստանի Հանրապետությունում ապաստանի հայց ներկայացնելու </w:t>
      </w:r>
      <w:r w:rsidRPr="00DF2A21">
        <w:rPr>
          <w:rFonts w:ascii="GHEA Grapalat" w:eastAsia="GHEA Grapalat" w:hAnsi="GHEA Grapalat" w:cs="GHEA Grapalat"/>
          <w:sz w:val="24"/>
          <w:szCs w:val="24"/>
        </w:rPr>
        <w:lastRenderedPageBreak/>
        <w:t>հնարավորության մասին, ինչպես նաև ստանալ անվճար իրավաբանական օգնություն տեսակցության կամ, անհրաժեշտության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F2A21"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>,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տեսակապի միջոցով՝ «Փախստականների և ապաստանի մասին» օրենքի 16</w:t>
      </w:r>
      <w:r w:rsidRPr="00DF2A21">
        <w:rPr>
          <w:rFonts w:ascii="Times New Roman" w:eastAsia="GHEA Grapalat" w:hAnsi="Times New Roman" w:cs="Times New Roman"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>1-ին և «Փաստաբանության մասին» օրենքի 41-րդ հոդվածներով սահմանված կարգով,» բառերը։</w:t>
      </w:r>
    </w:p>
    <w:p w14:paraId="49FFE47F" w14:textId="77777777" w:rsidR="00A02C9C" w:rsidRPr="00DF2A21" w:rsidRDefault="00A02C9C" w:rsidP="00A02C9C">
      <w:pPr>
        <w:spacing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78EDBF1D" w14:textId="77777777" w:rsidR="00A02C9C" w:rsidRPr="00DF2A21" w:rsidRDefault="00A02C9C" w:rsidP="00A02C9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b/>
          <w:bCs/>
          <w:sz w:val="24"/>
          <w:szCs w:val="24"/>
        </w:rPr>
        <w:t>Հոդված 8</w:t>
      </w:r>
      <w:r w:rsidRPr="00DF2A21">
        <w:rPr>
          <w:rFonts w:ascii="Times New Roman" w:eastAsia="GHEA Grapalat" w:hAnsi="Times New Roman" w:cs="Times New Roman"/>
          <w:b/>
          <w:bCs/>
          <w:sz w:val="24"/>
          <w:szCs w:val="24"/>
        </w:rPr>
        <w:t>․</w:t>
      </w: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Սույն օրենքն ուժի մեջ է մտնում պաշտոնական հրապարակմանը հաջորդող  օրվանից։</w:t>
      </w:r>
    </w:p>
    <w:p w14:paraId="53C9B9B7" w14:textId="77777777" w:rsidR="00A02C9C" w:rsidRPr="00DF2A21" w:rsidRDefault="00A02C9C" w:rsidP="00A02C9C">
      <w:pPr>
        <w:spacing w:line="360" w:lineRule="auto"/>
        <w:ind w:firstLine="37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F2A2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194A47FF" w14:textId="77777777" w:rsidR="009F426C" w:rsidRPr="008703A6" w:rsidRDefault="009F426C" w:rsidP="009F426C">
      <w:pPr>
        <w:rPr>
          <w:rFonts w:ascii="GHEA Grapalat" w:hAnsi="GHEA Grapalat"/>
          <w:b/>
          <w:bCs/>
          <w:sz w:val="24"/>
          <w:szCs w:val="24"/>
        </w:rPr>
      </w:pPr>
      <w:r w:rsidRPr="008703A6">
        <w:rPr>
          <w:rFonts w:ascii="GHEA Grapalat" w:hAnsi="GHEA Grapalat"/>
          <w:b/>
          <w:bCs/>
          <w:sz w:val="24"/>
          <w:szCs w:val="24"/>
        </w:rPr>
        <w:t>Հանրապետության նախագահ</w:t>
      </w:r>
      <w:r>
        <w:rPr>
          <w:rFonts w:ascii="GHEA Grapalat" w:hAnsi="GHEA Grapalat"/>
          <w:b/>
          <w:bCs/>
          <w:sz w:val="24"/>
          <w:szCs w:val="24"/>
        </w:rPr>
        <w:t xml:space="preserve">                                                </w:t>
      </w:r>
      <w:r w:rsidRPr="008703A6">
        <w:rPr>
          <w:rFonts w:ascii="GHEA Grapalat" w:hAnsi="GHEA Grapalat"/>
          <w:b/>
          <w:bCs/>
          <w:sz w:val="24"/>
          <w:szCs w:val="24"/>
        </w:rPr>
        <w:t>Վ. ԽԱՉԱՏՈՒՐՅԱՆ</w:t>
      </w:r>
    </w:p>
    <w:p w14:paraId="51B8B244" w14:textId="12B1C403" w:rsidR="009F426C" w:rsidRDefault="009F426C" w:rsidP="009F426C">
      <w:pPr>
        <w:spacing w:before="240" w:after="240"/>
        <w:jc w:val="right"/>
      </w:pPr>
      <w:r>
        <w:t>«   »  «                   » 202</w:t>
      </w:r>
      <w:r>
        <w:t xml:space="preserve">5 </w:t>
      </w:r>
      <w:r>
        <w:t xml:space="preserve">թ. </w:t>
      </w:r>
    </w:p>
    <w:p w14:paraId="7CE676D2" w14:textId="359BB01F" w:rsidR="00000000" w:rsidRDefault="009F426C" w:rsidP="009F426C">
      <w:pPr>
        <w:jc w:val="right"/>
      </w:pPr>
      <w:r>
        <w:t>ք</w:t>
      </w:r>
      <w:r>
        <w:rPr>
          <w:rFonts w:ascii="Cambria Math" w:hAnsi="Cambria Math"/>
        </w:rPr>
        <w:t xml:space="preserve">․ </w:t>
      </w:r>
      <w:r>
        <w:t>Երևան</w:t>
      </w:r>
    </w:p>
    <w:sectPr w:rsidR="0056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786AC"/>
    <w:multiLevelType w:val="hybridMultilevel"/>
    <w:tmpl w:val="FFFFFFFF"/>
    <w:lvl w:ilvl="0" w:tplc="CA6E8A8E">
      <w:start w:val="1"/>
      <w:numFmt w:val="decimal"/>
      <w:lvlText w:val="%1)"/>
      <w:lvlJc w:val="left"/>
      <w:pPr>
        <w:ind w:left="720" w:hanging="360"/>
      </w:pPr>
    </w:lvl>
    <w:lvl w:ilvl="1" w:tplc="06A89AC2">
      <w:start w:val="1"/>
      <w:numFmt w:val="lowerLetter"/>
      <w:lvlText w:val="%2."/>
      <w:lvlJc w:val="left"/>
      <w:pPr>
        <w:ind w:left="1440" w:hanging="360"/>
      </w:pPr>
    </w:lvl>
    <w:lvl w:ilvl="2" w:tplc="A634C340">
      <w:start w:val="1"/>
      <w:numFmt w:val="lowerRoman"/>
      <w:lvlText w:val="%3."/>
      <w:lvlJc w:val="right"/>
      <w:pPr>
        <w:ind w:left="2160" w:hanging="180"/>
      </w:pPr>
    </w:lvl>
    <w:lvl w:ilvl="3" w:tplc="FCA4B2EA">
      <w:start w:val="1"/>
      <w:numFmt w:val="decimal"/>
      <w:lvlText w:val="%4."/>
      <w:lvlJc w:val="left"/>
      <w:pPr>
        <w:ind w:left="2880" w:hanging="360"/>
      </w:pPr>
    </w:lvl>
    <w:lvl w:ilvl="4" w:tplc="5440AFAA">
      <w:start w:val="1"/>
      <w:numFmt w:val="lowerLetter"/>
      <w:lvlText w:val="%5."/>
      <w:lvlJc w:val="left"/>
      <w:pPr>
        <w:ind w:left="3600" w:hanging="360"/>
      </w:pPr>
    </w:lvl>
    <w:lvl w:ilvl="5" w:tplc="BE6A7DF6">
      <w:start w:val="1"/>
      <w:numFmt w:val="lowerRoman"/>
      <w:lvlText w:val="%6."/>
      <w:lvlJc w:val="right"/>
      <w:pPr>
        <w:ind w:left="4320" w:hanging="180"/>
      </w:pPr>
    </w:lvl>
    <w:lvl w:ilvl="6" w:tplc="AAA4E5EA">
      <w:start w:val="1"/>
      <w:numFmt w:val="decimal"/>
      <w:lvlText w:val="%7."/>
      <w:lvlJc w:val="left"/>
      <w:pPr>
        <w:ind w:left="5040" w:hanging="360"/>
      </w:pPr>
    </w:lvl>
    <w:lvl w:ilvl="7" w:tplc="E7646944">
      <w:start w:val="1"/>
      <w:numFmt w:val="lowerLetter"/>
      <w:lvlText w:val="%8."/>
      <w:lvlJc w:val="left"/>
      <w:pPr>
        <w:ind w:left="5760" w:hanging="360"/>
      </w:pPr>
    </w:lvl>
    <w:lvl w:ilvl="8" w:tplc="DEA4D094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4D"/>
    <w:rsid w:val="004B39E0"/>
    <w:rsid w:val="00745367"/>
    <w:rsid w:val="00807A9E"/>
    <w:rsid w:val="009F426C"/>
    <w:rsid w:val="00A02C9C"/>
    <w:rsid w:val="00B2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A7C8"/>
  <w15:chartTrackingRefBased/>
  <w15:docId w15:val="{70DAD19A-ED4C-4E4B-8F9F-4A0053B7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C9C"/>
    <w:pPr>
      <w:spacing w:after="0" w:line="276" w:lineRule="auto"/>
    </w:pPr>
    <w:rPr>
      <w:rFonts w:ascii="Arial" w:eastAsia="Arial" w:hAnsi="Arial" w:cs="Arial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,列出段落"/>
    <w:basedOn w:val="Normal"/>
    <w:link w:val="ListParagraphChar"/>
    <w:uiPriority w:val="34"/>
    <w:qFormat/>
    <w:rsid w:val="00A02C9C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locked/>
    <w:rsid w:val="00A02C9C"/>
    <w:rPr>
      <w:rFonts w:ascii="Arial" w:eastAsia="Arial" w:hAnsi="Arial" w:cs="Arial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Davtyan</dc:creator>
  <cp:keywords/>
  <dc:description/>
  <cp:lastModifiedBy>irav24</cp:lastModifiedBy>
  <cp:revision>3</cp:revision>
  <dcterms:created xsi:type="dcterms:W3CDTF">2025-01-15T06:00:00Z</dcterms:created>
  <dcterms:modified xsi:type="dcterms:W3CDTF">2025-01-15T06:00:00Z</dcterms:modified>
</cp:coreProperties>
</file>