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0BB" w:rsidRPr="00DA01B3" w:rsidRDefault="000470BB" w:rsidP="000470BB">
      <w:pPr>
        <w:pStyle w:val="BodyAA"/>
        <w:tabs>
          <w:tab w:val="left" w:pos="1440"/>
        </w:tabs>
        <w:spacing w:line="360" w:lineRule="auto"/>
        <w:ind w:left="450" w:right="24" w:firstLine="450"/>
        <w:jc w:val="right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  <w:r w:rsidRPr="00DA01B3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ՆԱԽԱԳԻԾ</w:t>
      </w:r>
    </w:p>
    <w:p w:rsidR="000470BB" w:rsidRPr="00DA01B3" w:rsidRDefault="000470BB" w:rsidP="000470BB">
      <w:pPr>
        <w:pStyle w:val="BodyAA"/>
        <w:tabs>
          <w:tab w:val="left" w:pos="1440"/>
        </w:tabs>
        <w:spacing w:line="360" w:lineRule="auto"/>
        <w:ind w:left="450" w:right="24" w:firstLine="450"/>
        <w:jc w:val="right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</w:p>
    <w:p w:rsidR="000470BB" w:rsidRPr="005111C6" w:rsidRDefault="000470BB" w:rsidP="000470BB">
      <w:pPr>
        <w:pStyle w:val="BodyAA"/>
        <w:tabs>
          <w:tab w:val="left" w:pos="1440"/>
        </w:tabs>
        <w:spacing w:line="360" w:lineRule="auto"/>
        <w:ind w:left="450" w:right="24" w:firstLine="450"/>
        <w:jc w:val="right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  <w:bookmarkStart w:id="0" w:name="_GoBack"/>
    </w:p>
    <w:p w:rsidR="00573D68" w:rsidRPr="005111C6" w:rsidRDefault="00573D68" w:rsidP="00573D68">
      <w:pPr>
        <w:pStyle w:val="BodyAA"/>
        <w:tabs>
          <w:tab w:val="left" w:pos="1440"/>
        </w:tabs>
        <w:spacing w:line="360" w:lineRule="auto"/>
        <w:ind w:left="450" w:right="24" w:firstLine="450"/>
        <w:jc w:val="center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</w:pPr>
      <w:r w:rsidRPr="005111C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ՀԱՅԱՍՏԱՆԻ</w:t>
      </w:r>
      <w:r w:rsidRPr="005111C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 w:rsidRPr="005111C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ՀԱՆՐԱՊԵՏՈՒԹՅԱՆ</w:t>
      </w:r>
      <w:r w:rsidRPr="005111C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 w:rsidRPr="005111C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ՕՐԵՆՔԸ</w:t>
      </w:r>
    </w:p>
    <w:p w:rsidR="00573D68" w:rsidRPr="005111C6" w:rsidRDefault="00573D68" w:rsidP="00573D68">
      <w:pPr>
        <w:pStyle w:val="BodyAA"/>
        <w:tabs>
          <w:tab w:val="left" w:pos="1440"/>
        </w:tabs>
        <w:spacing w:line="360" w:lineRule="auto"/>
        <w:ind w:left="450" w:right="24" w:firstLine="450"/>
        <w:jc w:val="center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</w:pPr>
      <w:r w:rsidRPr="005111C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>«</w:t>
      </w:r>
      <w:r w:rsidRPr="005111C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ԿՐԹՈՒԹՅԱՆ</w:t>
      </w:r>
      <w:r w:rsidRPr="005111C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 w:rsidRPr="005111C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ՄԱՍԻՆ</w:t>
      </w:r>
      <w:r w:rsidRPr="005111C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it-IT"/>
        </w:rPr>
        <w:t>»</w:t>
      </w:r>
      <w:r w:rsidRPr="005111C6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 </w:t>
      </w:r>
      <w:r w:rsidRPr="005111C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 w:rsidRPr="005111C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ՕՐԵՆՔՈՒՄ</w:t>
      </w:r>
      <w:r w:rsidRPr="005111C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 w:rsidRPr="005111C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ԼՐԱՑՈՒՄ</w:t>
      </w:r>
      <w:r w:rsidR="00EC4AAB" w:rsidRPr="005111C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 xml:space="preserve"> </w:t>
      </w:r>
      <w:r w:rsidRPr="005111C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ԿԱՏԱՐԵԼՈՒ</w:t>
      </w:r>
      <w:r w:rsidRPr="005111C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 w:rsidRPr="005111C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ՄԱՍԻՆ</w:t>
      </w:r>
    </w:p>
    <w:p w:rsidR="00573D68" w:rsidRPr="005111C6" w:rsidRDefault="00573D68" w:rsidP="00573D68">
      <w:pPr>
        <w:pStyle w:val="BodyA"/>
        <w:tabs>
          <w:tab w:val="left" w:pos="720"/>
        </w:tabs>
        <w:ind w:firstLine="540"/>
        <w:jc w:val="both"/>
        <w:rPr>
          <w:rFonts w:ascii="GHEA Grapalat" w:eastAsia="GHEA Grapalat" w:hAnsi="GHEA Grapalat" w:cs="GHEA Grapalat"/>
          <w:color w:val="auto"/>
          <w:lang w:val="de-DE"/>
        </w:rPr>
      </w:pPr>
    </w:p>
    <w:p w:rsidR="00573D68" w:rsidRPr="005111C6" w:rsidRDefault="00573D68" w:rsidP="00D42BA5">
      <w:pPr>
        <w:pStyle w:val="BodyAA"/>
        <w:tabs>
          <w:tab w:val="left" w:pos="90"/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</w:pPr>
    </w:p>
    <w:p w:rsidR="004C6C6D" w:rsidRPr="005111C6" w:rsidRDefault="00EC188D" w:rsidP="003F0053">
      <w:pPr>
        <w:pStyle w:val="BodyAA"/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5111C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 xml:space="preserve">     </w:t>
      </w:r>
      <w:r w:rsidR="00573D68" w:rsidRPr="005111C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Հոդված 1.</w:t>
      </w:r>
      <w:r w:rsidR="00573D68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«</w:t>
      </w:r>
      <w:r w:rsidR="00623E42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Կ</w:t>
      </w:r>
      <w:r w:rsidR="00573D68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րթության մասին</w:t>
      </w:r>
      <w:r w:rsidR="00573D68" w:rsidRPr="005111C6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» </w:t>
      </w:r>
      <w:r w:rsidR="00623E42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199</w:t>
      </w:r>
      <w:r w:rsidR="00573D68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9 թվականի </w:t>
      </w:r>
      <w:r w:rsidR="00623E42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ապրիլ</w:t>
      </w:r>
      <w:r w:rsidR="00573D68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ի</w:t>
      </w:r>
      <w:r w:rsidR="00623E42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14</w:t>
      </w:r>
      <w:r w:rsidR="00573D68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-ի ՀՕ-</w:t>
      </w:r>
      <w:r w:rsidR="00623E42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297</w:t>
      </w:r>
      <w:r w:rsidR="00573D68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օրենքի (այսուհետ՝ Օրենք)</w:t>
      </w:r>
      <w:r w:rsidR="00436DDF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</w:t>
      </w:r>
      <w:r w:rsidR="0008609F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37-րդ հոդվածի </w:t>
      </w:r>
      <w:r w:rsidR="00171985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2-րդ</w:t>
      </w:r>
      <w:r w:rsidR="0008609F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մասը լրացնել նոր՝ </w:t>
      </w:r>
      <w:r w:rsidR="0034206A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2.2-րդ</w:t>
      </w:r>
      <w:r w:rsidR="0008609F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կետով՝  հետևյալ բովանդակությամբ</w:t>
      </w:r>
      <w:r w:rsidR="0008609F" w:rsidRPr="005111C6">
        <w:rPr>
          <w:rFonts w:ascii="Cambria Math" w:eastAsia="GHEA Grapalat" w:hAnsi="Cambria Math" w:cs="Cambria Math"/>
          <w:color w:val="auto"/>
          <w:sz w:val="24"/>
          <w:szCs w:val="24"/>
          <w:lang w:val="hy-AM"/>
        </w:rPr>
        <w:t>․</w:t>
      </w:r>
      <w:r w:rsidR="0008609F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</w:t>
      </w:r>
    </w:p>
    <w:p w:rsidR="00436DDF" w:rsidRPr="005111C6" w:rsidRDefault="0008609F" w:rsidP="003F0053">
      <w:pPr>
        <w:pStyle w:val="BodyAA"/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color w:val="auto"/>
          <w:sz w:val="24"/>
          <w:szCs w:val="24"/>
          <w:vertAlign w:val="subscript"/>
          <w:lang w:val="hy-AM"/>
        </w:rPr>
      </w:pPr>
      <w:r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</w:t>
      </w:r>
      <w:r w:rsidR="00D010FF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«2.2.</w:t>
      </w:r>
      <w:r w:rsidR="001E2D7C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համարվում է </w:t>
      </w:r>
      <w:r w:rsidR="00935471" w:rsidRPr="005111C6">
        <w:rPr>
          <w:rFonts w:ascii="GHEA Grapalat" w:eastAsia="Times New Roman" w:hAnsi="GHEA Grapalat"/>
          <w:color w:val="auto"/>
          <w:sz w:val="24"/>
          <w:szCs w:val="24"/>
          <w:lang w:val="hy-AM"/>
        </w:rPr>
        <w:t xml:space="preserve">պետական հանրակրթական </w:t>
      </w:r>
      <w:r w:rsidR="00935471" w:rsidRPr="005111C6">
        <w:rPr>
          <w:rFonts w:ascii="GHEA Grapalat" w:eastAsia="Times New Roman" w:hAnsi="GHEA Grapalat" w:cs="GHEA Grapalat"/>
          <w:color w:val="auto"/>
          <w:sz w:val="24"/>
          <w:szCs w:val="24"/>
          <w:lang w:val="hy-AM"/>
        </w:rPr>
        <w:t>ուսումնական</w:t>
      </w:r>
      <w:r w:rsidR="00935471" w:rsidRPr="005111C6">
        <w:rPr>
          <w:rFonts w:ascii="GHEA Grapalat" w:eastAsia="Times New Roman" w:hAnsi="GHEA Grapalat"/>
          <w:color w:val="auto"/>
          <w:sz w:val="24"/>
          <w:szCs w:val="24"/>
          <w:lang w:val="hy-AM"/>
        </w:rPr>
        <w:t xml:space="preserve"> </w:t>
      </w:r>
      <w:r w:rsidR="00935471" w:rsidRPr="005111C6">
        <w:rPr>
          <w:rFonts w:ascii="GHEA Grapalat" w:eastAsia="Times New Roman" w:hAnsi="GHEA Grapalat" w:cs="GHEA Grapalat"/>
          <w:color w:val="auto"/>
          <w:sz w:val="24"/>
          <w:szCs w:val="24"/>
          <w:lang w:val="hy-AM"/>
        </w:rPr>
        <w:t xml:space="preserve">հաստատությունների, այդ թվում՝ մասնագիտացված ուսումնական հաստատությունների, </w:t>
      </w:r>
      <w:r w:rsidR="00935471" w:rsidRPr="005111C6">
        <w:rPr>
          <w:rFonts w:ascii="Calibri" w:hAnsi="Calibri" w:cs="Calibri"/>
          <w:color w:val="auto"/>
          <w:sz w:val="24"/>
          <w:szCs w:val="24"/>
          <w:shd w:val="clear" w:color="auto" w:fill="FFFFFF"/>
          <w:lang w:val="hy-AM"/>
        </w:rPr>
        <w:t> </w:t>
      </w:r>
      <w:r w:rsidR="00935471" w:rsidRPr="005111C6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ինչպես նաև տարածքային ու հանրապետական մանկավարժահոգեբանական կենտրոնների,</w:t>
      </w:r>
      <w:r w:rsidR="00935471" w:rsidRPr="005111C6">
        <w:rPr>
          <w:rFonts w:ascii="GHEA Grapalat" w:eastAsia="Times New Roman" w:hAnsi="GHEA Grapalat" w:cs="GHEA Grapalat"/>
          <w:color w:val="auto"/>
          <w:sz w:val="24"/>
          <w:szCs w:val="24"/>
          <w:lang w:val="hy-AM"/>
        </w:rPr>
        <w:t xml:space="preserve"> հատուկ դպրոց-ռեսուրս կենտրոնների</w:t>
      </w:r>
      <w:r w:rsidR="00935471" w:rsidRPr="005111C6">
        <w:rPr>
          <w:rFonts w:ascii="GHEA Grapalat" w:eastAsia="Times New Roman" w:hAnsi="GHEA Grapalat"/>
          <w:color w:val="auto"/>
          <w:sz w:val="24"/>
          <w:szCs w:val="24"/>
          <w:lang w:val="hy-AM"/>
        </w:rPr>
        <w:t xml:space="preserve"> լիազոր </w:t>
      </w:r>
      <w:r w:rsidR="00935471" w:rsidRPr="005111C6">
        <w:rPr>
          <w:rFonts w:ascii="GHEA Grapalat" w:eastAsia="Times New Roman" w:hAnsi="GHEA Grapalat" w:cs="Cambria Math"/>
          <w:color w:val="auto"/>
          <w:sz w:val="24"/>
          <w:szCs w:val="24"/>
          <w:lang w:val="hy-AM"/>
        </w:rPr>
        <w:t>մարմինը</w:t>
      </w:r>
      <w:r w:rsidR="009A5930" w:rsidRPr="005111C6">
        <w:rPr>
          <w:rFonts w:ascii="Cambria Math" w:eastAsia="GHEA Grapalat" w:hAnsi="Cambria Math" w:cs="Cambria Math"/>
          <w:color w:val="auto"/>
          <w:sz w:val="24"/>
          <w:szCs w:val="24"/>
          <w:lang w:val="hy-AM"/>
        </w:rPr>
        <w:t>․</w:t>
      </w:r>
      <w:r w:rsidR="009A5930" w:rsidRPr="005111C6">
        <w:rPr>
          <w:rFonts w:ascii="GHEA Grapalat" w:eastAsia="GHEA Grapalat" w:hAnsi="GHEA Grapalat" w:cs="Cambria Math"/>
          <w:color w:val="auto"/>
          <w:sz w:val="24"/>
          <w:szCs w:val="24"/>
          <w:lang w:val="hy-AM"/>
        </w:rPr>
        <w:t>»:</w:t>
      </w:r>
    </w:p>
    <w:p w:rsidR="00027279" w:rsidRPr="005111C6" w:rsidRDefault="00EC188D" w:rsidP="003F0053">
      <w:pPr>
        <w:pStyle w:val="BodyAA"/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5111C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      </w:t>
      </w:r>
      <w:r w:rsidR="00436DDF" w:rsidRPr="005111C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bdr w:val="none" w:sz="0" w:space="0" w:color="auto" w:frame="1"/>
          <w:lang w:val="hy-AM"/>
        </w:rPr>
        <w:t>Հոդված 2.</w:t>
      </w:r>
      <w:r w:rsidR="00436DDF" w:rsidRPr="005111C6">
        <w:rPr>
          <w:rFonts w:ascii="GHEA Grapalat" w:eastAsia="GHEA Grapalat" w:hAnsi="GHEA Grapalat" w:cs="GHEA Grapalat"/>
          <w:color w:val="auto"/>
          <w:sz w:val="24"/>
          <w:szCs w:val="24"/>
          <w:bdr w:val="none" w:sz="0" w:space="0" w:color="auto" w:frame="1"/>
          <w:lang w:val="hy-AM"/>
        </w:rPr>
        <w:t xml:space="preserve"> </w:t>
      </w:r>
      <w:r w:rsidR="00027279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38-րդ հոդված</w:t>
      </w:r>
      <w:r w:rsidR="005E3A73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ի 1-ին մասը</w:t>
      </w:r>
      <w:r w:rsidR="00027279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լրացնել նոր՝ </w:t>
      </w:r>
      <w:r w:rsidR="00142AA3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1</w:t>
      </w:r>
      <w:r w:rsidR="00142AA3" w:rsidRPr="005111C6">
        <w:rPr>
          <w:rFonts w:ascii="Cambria Math" w:eastAsia="GHEA Grapalat" w:hAnsi="Cambria Math" w:cs="Cambria Math"/>
          <w:color w:val="auto"/>
          <w:sz w:val="24"/>
          <w:szCs w:val="24"/>
          <w:lang w:val="hy-AM"/>
        </w:rPr>
        <w:t>․</w:t>
      </w:r>
      <w:r w:rsidR="00142AA3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1)-ին-ից 1.</w:t>
      </w:r>
      <w:r w:rsidR="00C517CC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4</w:t>
      </w:r>
      <w:r w:rsidR="00142AA3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)-րդ</w:t>
      </w:r>
      <w:r w:rsidR="00027279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</w:t>
      </w:r>
      <w:r w:rsidR="00C517CC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կետերով՝</w:t>
      </w:r>
      <w:r w:rsidR="00027279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հետևյալ բովանդակությամբ</w:t>
      </w:r>
      <w:r w:rsidR="00027279" w:rsidRPr="005111C6">
        <w:rPr>
          <w:rFonts w:ascii="Cambria Math" w:eastAsia="GHEA Grapalat" w:hAnsi="Cambria Math" w:cs="Cambria Math"/>
          <w:color w:val="auto"/>
          <w:sz w:val="24"/>
          <w:szCs w:val="24"/>
          <w:lang w:val="hy-AM"/>
        </w:rPr>
        <w:t>․</w:t>
      </w:r>
      <w:r w:rsidR="00027279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 </w:t>
      </w:r>
    </w:p>
    <w:p w:rsidR="001822BC" w:rsidRPr="005111C6" w:rsidRDefault="00376037" w:rsidP="003F0053">
      <w:pPr>
        <w:pStyle w:val="BodyAA"/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«1.1) </w:t>
      </w:r>
      <w:r w:rsidR="001822BC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իրականացնում է ուսումնական հաստատություններում վարչատնտեսական գործառույթների համակարգում (բացառությամբ մասնագիտացված ուսումնական հաստատությունների և հատուկ դպրոց-ռեսուրս կենտրոնների.).</w:t>
      </w:r>
    </w:p>
    <w:p w:rsidR="00376037" w:rsidRPr="005111C6" w:rsidRDefault="001822BC" w:rsidP="003F0053">
      <w:pPr>
        <w:pStyle w:val="BodyAA"/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1.</w:t>
      </w:r>
      <w:r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2</w:t>
      </w:r>
      <w:r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) </w:t>
      </w:r>
      <w:r w:rsidR="00376037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իրականացնում է կրթության պետական կառավարման լիազորված մարմնի կողմից վարչատնտեսական գործառույթների պատվիրակված ծառայություններ իրականացման մշտադիտարկում</w:t>
      </w:r>
      <w:r w:rsidR="00A97744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</w:t>
      </w:r>
      <w:r w:rsidR="00A97744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(բացառությամբ մասնագիտացված ուսումնական հաստատությունների և հատուկ դպրոց-ռեսուրս կենտրոնների.)</w:t>
      </w:r>
      <w:r w:rsidR="00A97744" w:rsidRPr="005111C6">
        <w:rPr>
          <w:rFonts w:ascii="Cambria Math" w:eastAsia="GHEA Grapalat" w:hAnsi="Cambria Math" w:cs="Cambria Math"/>
          <w:color w:val="auto"/>
          <w:sz w:val="24"/>
          <w:szCs w:val="24"/>
          <w:lang w:val="hy-AM"/>
        </w:rPr>
        <w:t>․</w:t>
      </w:r>
    </w:p>
    <w:p w:rsidR="00376037" w:rsidRPr="005111C6" w:rsidRDefault="00376037" w:rsidP="00EC0C57">
      <w:pPr>
        <w:pStyle w:val="BodyAA"/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bdr w:val="none" w:sz="0" w:space="0" w:color="auto" w:frame="1"/>
          <w:lang w:val="hy-AM"/>
        </w:rPr>
      </w:pPr>
      <w:r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1.</w:t>
      </w:r>
      <w:r w:rsidR="0069445D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3</w:t>
      </w:r>
      <w:r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) </w:t>
      </w:r>
      <w:r w:rsidR="00847B96" w:rsidRPr="005111C6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լիազոր մարմնի պահանջով հավաքագրում, ամփոփում և լիազոր մարմնին է ներկայացնում ուսումնական հաստատություններն վերաբերերող տեղեկատվությունը, ինչպես նաև հաստատում է ուսումնական հաստատությունների կողմից Կրթության կառավարման տեղեկատվական համակարգ մուտքագրված տվյալները.</w:t>
      </w:r>
    </w:p>
    <w:p w:rsidR="00532F08" w:rsidRPr="005111C6" w:rsidRDefault="00376037" w:rsidP="009B6DD5">
      <w:pPr>
        <w:pStyle w:val="BodyAA"/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bdr w:val="none" w:sz="0" w:space="0" w:color="auto" w:frame="1"/>
          <w:lang w:val="hy-AM"/>
        </w:rPr>
      </w:pPr>
      <w:r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lastRenderedPageBreak/>
        <w:t xml:space="preserve">1.4)  </w:t>
      </w:r>
      <w:r w:rsidRPr="005111C6">
        <w:rPr>
          <w:rFonts w:ascii="GHEA Grapalat" w:hAnsi="GHEA Grapalat"/>
          <w:color w:val="auto"/>
          <w:sz w:val="24"/>
          <w:szCs w:val="24"/>
          <w:lang w:val="hy-AM"/>
        </w:rPr>
        <w:t>իրականացնում է ոլորտի ոչ ֆինանսական ցուցանիշների ընդունման, ամփոփման աշխատանքներ և ներկայացնում լիազոր մարմնին.</w:t>
      </w:r>
      <w:r w:rsidRPr="005111C6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>»</w:t>
      </w:r>
      <w:r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։</w:t>
      </w:r>
    </w:p>
    <w:p w:rsidR="00596B52" w:rsidRPr="005111C6" w:rsidRDefault="00EC188D" w:rsidP="003F0053">
      <w:pPr>
        <w:pStyle w:val="BodyAA"/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5111C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     </w:t>
      </w:r>
      <w:r w:rsidR="008F54D1" w:rsidRPr="005111C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Հոդված </w:t>
      </w:r>
      <w:r w:rsidR="00436DDF" w:rsidRPr="005111C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bdr w:val="none" w:sz="0" w:space="0" w:color="auto" w:frame="1"/>
          <w:lang w:val="hy-AM"/>
        </w:rPr>
        <w:t>3</w:t>
      </w:r>
      <w:r w:rsidR="008F54D1" w:rsidRPr="005111C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bdr w:val="none" w:sz="0" w:space="0" w:color="auto" w:frame="1"/>
          <w:lang w:val="hy-AM"/>
        </w:rPr>
        <w:t>.</w:t>
      </w:r>
      <w:r w:rsidR="008F54D1" w:rsidRPr="005111C6">
        <w:rPr>
          <w:rFonts w:ascii="GHEA Grapalat" w:eastAsia="GHEA Grapalat" w:hAnsi="GHEA Grapalat" w:cs="GHEA Grapalat"/>
          <w:color w:val="auto"/>
          <w:sz w:val="24"/>
          <w:szCs w:val="24"/>
          <w:bdr w:val="none" w:sz="0" w:space="0" w:color="auto" w:frame="1"/>
          <w:lang w:val="hy-AM"/>
        </w:rPr>
        <w:t xml:space="preserve"> </w:t>
      </w:r>
      <w:r w:rsidR="00573D68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3</w:t>
      </w:r>
      <w:r w:rsidR="00081562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9</w:t>
      </w:r>
      <w:r w:rsidR="00573D68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-րդ հոդված</w:t>
      </w:r>
      <w:r w:rsidR="00596B52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ը լրացնել նոր՝ 4-րդ </w:t>
      </w:r>
      <w:r w:rsidR="002258D3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կետ</w:t>
      </w:r>
      <w:r w:rsidR="00596B52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ով՝ </w:t>
      </w:r>
      <w:r w:rsidR="00081562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</w:t>
      </w:r>
      <w:r w:rsidR="00596B52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հետևյալ բովանդակությամբ</w:t>
      </w:r>
      <w:r w:rsidR="00596B52" w:rsidRPr="005111C6">
        <w:rPr>
          <w:rFonts w:ascii="Cambria Math" w:eastAsia="GHEA Grapalat" w:hAnsi="Cambria Math" w:cs="Cambria Math"/>
          <w:color w:val="auto"/>
          <w:sz w:val="24"/>
          <w:szCs w:val="24"/>
          <w:lang w:val="hy-AM"/>
        </w:rPr>
        <w:t>․</w:t>
      </w:r>
      <w:r w:rsidR="00596B52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 </w:t>
      </w:r>
    </w:p>
    <w:p w:rsidR="00596B52" w:rsidRPr="005111C6" w:rsidRDefault="00596B52" w:rsidP="003F0053">
      <w:pPr>
        <w:pStyle w:val="BodyAA"/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«4</w:t>
      </w:r>
      <w:r w:rsidRPr="005111C6">
        <w:rPr>
          <w:rFonts w:ascii="GHEA Grapalat" w:eastAsia="GHEA Grapalat" w:hAnsi="GHEA Grapalat" w:cs="Cambria Math"/>
          <w:color w:val="auto"/>
          <w:sz w:val="24"/>
          <w:szCs w:val="24"/>
          <w:lang w:val="hy-AM"/>
        </w:rPr>
        <w:t>)</w:t>
      </w:r>
      <w:r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</w:t>
      </w:r>
      <w:r w:rsidR="00CA0E2C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աջակցում է կրթահամալիրների՝ որպես համայնքային կենտրոնների </w:t>
      </w:r>
      <w:r w:rsidR="00DE6237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գործունեության </w:t>
      </w:r>
      <w:r w:rsidR="00DE6237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զարգացման</w:t>
      </w:r>
      <w:r w:rsidR="00DE6237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ը</w:t>
      </w:r>
      <w:r w:rsidR="00CA0E2C"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.</w:t>
      </w:r>
      <w:r w:rsidRPr="005111C6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>»</w:t>
      </w:r>
      <w:r w:rsidRPr="005111C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։</w:t>
      </w:r>
    </w:p>
    <w:p w:rsidR="002727DA" w:rsidRPr="005111C6" w:rsidRDefault="00EC188D" w:rsidP="003F0053">
      <w:pPr>
        <w:spacing w:line="360" w:lineRule="auto"/>
        <w:jc w:val="both"/>
        <w:rPr>
          <w:rFonts w:ascii="GHEA Grapalat" w:eastAsia="GHEA Grapalat" w:hAnsi="GHEA Grapalat" w:cs="GHEA Grapalat"/>
          <w:bdr w:val="none" w:sz="0" w:space="0" w:color="auto" w:frame="1"/>
          <w:lang w:val="hy-AM"/>
        </w:rPr>
      </w:pPr>
      <w:r w:rsidRPr="005111C6">
        <w:rPr>
          <w:rFonts w:ascii="GHEA Grapalat" w:eastAsia="GHEA Grapalat" w:hAnsi="GHEA Grapalat" w:cs="GHEA Grapalat"/>
          <w:b/>
          <w:bCs/>
          <w:bdr w:val="none" w:sz="0" w:space="0" w:color="auto" w:frame="1"/>
          <w:lang w:val="hy-AM"/>
        </w:rPr>
        <w:t xml:space="preserve">   </w:t>
      </w:r>
      <w:r w:rsidR="00081562" w:rsidRPr="005111C6">
        <w:rPr>
          <w:rFonts w:ascii="GHEA Grapalat" w:eastAsia="GHEA Grapalat" w:hAnsi="GHEA Grapalat" w:cs="GHEA Grapalat"/>
          <w:b/>
          <w:bCs/>
          <w:bdr w:val="none" w:sz="0" w:space="0" w:color="auto" w:frame="1"/>
          <w:lang w:val="hy-AM"/>
        </w:rPr>
        <w:t xml:space="preserve"> </w:t>
      </w:r>
      <w:r w:rsidRPr="005111C6">
        <w:rPr>
          <w:rFonts w:ascii="GHEA Grapalat" w:eastAsia="GHEA Grapalat" w:hAnsi="GHEA Grapalat" w:cs="GHEA Grapalat"/>
          <w:b/>
          <w:bCs/>
          <w:bdr w:val="none" w:sz="0" w:space="0" w:color="auto" w:frame="1"/>
          <w:lang w:val="hy-AM"/>
        </w:rPr>
        <w:t xml:space="preserve">  </w:t>
      </w:r>
      <w:r w:rsidR="00573D68" w:rsidRPr="005111C6">
        <w:rPr>
          <w:rFonts w:ascii="GHEA Grapalat" w:eastAsia="GHEA Grapalat" w:hAnsi="GHEA Grapalat" w:cs="GHEA Grapalat"/>
          <w:b/>
          <w:bCs/>
          <w:bdr w:val="none" w:sz="0" w:space="0" w:color="auto" w:frame="1"/>
          <w:lang w:val="hy-AM"/>
        </w:rPr>
        <w:t xml:space="preserve">Հոդված </w:t>
      </w:r>
      <w:r w:rsidR="008F54D1" w:rsidRPr="005111C6">
        <w:rPr>
          <w:rFonts w:ascii="GHEA Grapalat" w:eastAsia="GHEA Grapalat" w:hAnsi="GHEA Grapalat" w:cs="GHEA Grapalat"/>
          <w:b/>
          <w:bCs/>
          <w:bdr w:val="none" w:sz="0" w:space="0" w:color="auto" w:frame="1"/>
          <w:lang w:val="hy-AM"/>
        </w:rPr>
        <w:t>3</w:t>
      </w:r>
      <w:r w:rsidR="00573D68" w:rsidRPr="005111C6">
        <w:rPr>
          <w:rFonts w:ascii="GHEA Grapalat" w:eastAsia="GHEA Grapalat" w:hAnsi="GHEA Grapalat" w:cs="GHEA Grapalat"/>
          <w:b/>
          <w:bCs/>
          <w:bdr w:val="none" w:sz="0" w:space="0" w:color="auto" w:frame="1"/>
          <w:lang w:val="hy-AM"/>
        </w:rPr>
        <w:t>.</w:t>
      </w:r>
      <w:r w:rsidR="00573D68" w:rsidRPr="005111C6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 xml:space="preserve"> </w:t>
      </w:r>
      <w:r w:rsidR="00081562" w:rsidRPr="005111C6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 xml:space="preserve">Սույն </w:t>
      </w:r>
      <w:r w:rsidR="00573D68" w:rsidRPr="005111C6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 xml:space="preserve">Օրենքի </w:t>
      </w:r>
      <w:r w:rsidR="00081562" w:rsidRPr="005111C6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>1-ին</w:t>
      </w:r>
      <w:r w:rsidR="002C7463" w:rsidRPr="005111C6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 xml:space="preserve"> հոդվածով</w:t>
      </w:r>
      <w:r w:rsidR="004B35EF" w:rsidRPr="005111C6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 xml:space="preserve">, 2-րդ </w:t>
      </w:r>
      <w:r w:rsidR="00573D68" w:rsidRPr="005111C6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>հոդված</w:t>
      </w:r>
      <w:r w:rsidR="002C7463" w:rsidRPr="005111C6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 xml:space="preserve">ի </w:t>
      </w:r>
      <w:r w:rsidR="002C7463" w:rsidRPr="005111C6">
        <w:rPr>
          <w:rFonts w:ascii="GHEA Grapalat" w:eastAsia="GHEA Grapalat" w:hAnsi="GHEA Grapalat" w:cs="GHEA Grapalat"/>
          <w:lang w:val="hy-AM"/>
        </w:rPr>
        <w:t>1.1) 1.</w:t>
      </w:r>
      <w:r w:rsidR="002C7463" w:rsidRPr="005111C6">
        <w:rPr>
          <w:rFonts w:ascii="GHEA Grapalat" w:eastAsia="GHEA Grapalat" w:hAnsi="GHEA Grapalat" w:cs="GHEA Grapalat"/>
          <w:lang w:val="hy-AM"/>
        </w:rPr>
        <w:t>2</w:t>
      </w:r>
      <w:r w:rsidR="002C7463" w:rsidRPr="005111C6">
        <w:rPr>
          <w:rFonts w:ascii="GHEA Grapalat" w:eastAsia="GHEA Grapalat" w:hAnsi="GHEA Grapalat" w:cs="GHEA Grapalat"/>
          <w:lang w:val="hy-AM"/>
        </w:rPr>
        <w:t xml:space="preserve">) </w:t>
      </w:r>
      <w:r w:rsidR="002C7463" w:rsidRPr="005111C6">
        <w:rPr>
          <w:rFonts w:ascii="GHEA Grapalat" w:eastAsia="GHEA Grapalat" w:hAnsi="GHEA Grapalat" w:cs="GHEA Grapalat"/>
          <w:lang w:val="hy-AM"/>
        </w:rPr>
        <w:t>կետերով</w:t>
      </w:r>
      <w:r w:rsidR="00937A9D" w:rsidRPr="005111C6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 xml:space="preserve"> սահմանված լիազորությունների իրականացման ժամկետ է սահմանվում 2026 թվական</w:t>
      </w:r>
      <w:r w:rsidR="00C64B0E" w:rsidRPr="005111C6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>ի</w:t>
      </w:r>
      <w:r w:rsidR="00E933E1" w:rsidRPr="005111C6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 xml:space="preserve">  </w:t>
      </w:r>
      <w:r w:rsidR="002C7463" w:rsidRPr="005111C6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 xml:space="preserve">սեպտեմբերի </w:t>
      </w:r>
      <w:r w:rsidR="00935018" w:rsidRPr="005111C6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>1-</w:t>
      </w:r>
      <w:r w:rsidR="00322DEB" w:rsidRPr="005111C6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>ը</w:t>
      </w:r>
      <w:r w:rsidR="00937A9D" w:rsidRPr="005111C6">
        <w:rPr>
          <w:rFonts w:ascii="GHEA Grapalat" w:eastAsia="GHEA Grapalat" w:hAnsi="GHEA Grapalat" w:cs="GHEA Grapalat"/>
          <w:bdr w:val="none" w:sz="0" w:space="0" w:color="auto" w:frame="1"/>
          <w:lang w:val="hy-AM"/>
        </w:rPr>
        <w:t>։</w:t>
      </w:r>
    </w:p>
    <w:p w:rsidR="00B77E97" w:rsidRPr="005111C6" w:rsidRDefault="00B77E97" w:rsidP="00B77E97">
      <w:pPr>
        <w:spacing w:line="360" w:lineRule="auto"/>
        <w:jc w:val="both"/>
        <w:rPr>
          <w:rFonts w:ascii="GHEA Grapalat" w:eastAsia="GHEA Grapalat" w:hAnsi="GHEA Grapalat" w:cs="GHEA Grapalat"/>
          <w:bdr w:val="none" w:sz="0" w:space="0" w:color="auto" w:frame="1"/>
          <w:lang w:val="hy-AM"/>
        </w:rPr>
      </w:pPr>
      <w:r w:rsidRPr="005111C6">
        <w:rPr>
          <w:rFonts w:ascii="GHEA Grapalat" w:eastAsia="GHEA Grapalat" w:hAnsi="GHEA Grapalat" w:cs="GHEA Grapalat"/>
          <w:b/>
          <w:bCs/>
          <w:bdr w:val="none" w:sz="0" w:space="0" w:color="auto" w:frame="1"/>
          <w:lang w:val="hy-AM"/>
        </w:rPr>
        <w:t xml:space="preserve">    </w:t>
      </w:r>
      <w:r w:rsidRPr="005111C6">
        <w:rPr>
          <w:rFonts w:ascii="GHEA Grapalat" w:eastAsia="GHEA Grapalat" w:hAnsi="GHEA Grapalat" w:cs="GHEA Grapalat"/>
          <w:b/>
          <w:bCs/>
          <w:bdr w:val="none" w:sz="0" w:space="0" w:color="auto" w:frame="1"/>
          <w:lang w:val="hy-AM"/>
        </w:rPr>
        <w:t xml:space="preserve">Հոդված </w:t>
      </w:r>
      <w:r w:rsidRPr="005111C6">
        <w:rPr>
          <w:rFonts w:ascii="GHEA Grapalat" w:eastAsia="GHEA Grapalat" w:hAnsi="GHEA Grapalat" w:cs="GHEA Grapalat"/>
          <w:b/>
          <w:bCs/>
          <w:bdr w:val="none" w:sz="0" w:space="0" w:color="auto" w:frame="1"/>
          <w:lang w:val="hy-AM"/>
        </w:rPr>
        <w:t>4</w:t>
      </w:r>
      <w:r w:rsidRPr="005111C6">
        <w:rPr>
          <w:rFonts w:ascii="GHEA Grapalat" w:eastAsia="GHEA Grapalat" w:hAnsi="GHEA Grapalat" w:cs="GHEA Grapalat"/>
          <w:b/>
          <w:bCs/>
          <w:bdr w:val="none" w:sz="0" w:space="0" w:color="auto" w:frame="1"/>
          <w:lang w:val="hy-AM"/>
        </w:rPr>
        <w:t xml:space="preserve">. </w:t>
      </w:r>
      <w:r w:rsidRPr="005111C6">
        <w:rPr>
          <w:rFonts w:ascii="GHEA Grapalat" w:eastAsia="GHEA Grapalat" w:hAnsi="GHEA Grapalat" w:cs="GHEA Grapalat"/>
          <w:bCs/>
          <w:bdr w:val="none" w:sz="0" w:space="0" w:color="auto" w:frame="1"/>
          <w:lang w:val="hy-AM"/>
        </w:rPr>
        <w:t xml:space="preserve">Սույն օրենքն ուժի մեջ է մտնում </w:t>
      </w:r>
      <w:r w:rsidRPr="005111C6">
        <w:rPr>
          <w:rFonts w:ascii="GHEA Grapalat" w:hAnsi="GHEA Grapalat"/>
          <w:shd w:val="clear" w:color="auto" w:fill="FFFFFF"/>
          <w:lang w:val="hy-AM"/>
        </w:rPr>
        <w:t>պաշտոնական հրապարակման օրվան հաջորդող տասներորդ օրը:</w:t>
      </w:r>
    </w:p>
    <w:bookmarkEnd w:id="0"/>
    <w:p w:rsidR="00B77E97" w:rsidRPr="005111C6" w:rsidRDefault="00B77E97" w:rsidP="003F0053">
      <w:pPr>
        <w:spacing w:line="360" w:lineRule="auto"/>
        <w:jc w:val="both"/>
        <w:rPr>
          <w:rFonts w:ascii="GHEA Grapalat" w:hAnsi="GHEA Grapalat"/>
          <w:lang w:val="hy-AM"/>
        </w:rPr>
      </w:pPr>
    </w:p>
    <w:sectPr w:rsidR="00B77E97" w:rsidRPr="005111C6" w:rsidSect="00EC188D">
      <w:pgSz w:w="12240" w:h="15840"/>
      <w:pgMar w:top="1440" w:right="99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2D04"/>
    <w:multiLevelType w:val="hybridMultilevel"/>
    <w:tmpl w:val="06121E7E"/>
    <w:lvl w:ilvl="0" w:tplc="B2E6A100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B5D"/>
    <w:rsid w:val="00027279"/>
    <w:rsid w:val="000470BB"/>
    <w:rsid w:val="00081562"/>
    <w:rsid w:val="0008609F"/>
    <w:rsid w:val="00142AA3"/>
    <w:rsid w:val="00171985"/>
    <w:rsid w:val="00174FAB"/>
    <w:rsid w:val="00177C4A"/>
    <w:rsid w:val="001822BC"/>
    <w:rsid w:val="001E2D7C"/>
    <w:rsid w:val="001F0905"/>
    <w:rsid w:val="00200F9E"/>
    <w:rsid w:val="00220247"/>
    <w:rsid w:val="00220FBA"/>
    <w:rsid w:val="002258D3"/>
    <w:rsid w:val="002454A2"/>
    <w:rsid w:val="002727DA"/>
    <w:rsid w:val="002C7463"/>
    <w:rsid w:val="00322DEB"/>
    <w:rsid w:val="0034206A"/>
    <w:rsid w:val="0034617C"/>
    <w:rsid w:val="00355E68"/>
    <w:rsid w:val="00376037"/>
    <w:rsid w:val="003F0053"/>
    <w:rsid w:val="00436DDF"/>
    <w:rsid w:val="00467A83"/>
    <w:rsid w:val="004B35EF"/>
    <w:rsid w:val="004C6C6D"/>
    <w:rsid w:val="005111C6"/>
    <w:rsid w:val="00532F08"/>
    <w:rsid w:val="00543CC5"/>
    <w:rsid w:val="00573D68"/>
    <w:rsid w:val="00580B10"/>
    <w:rsid w:val="00596B52"/>
    <w:rsid w:val="005E3A73"/>
    <w:rsid w:val="005F7BDD"/>
    <w:rsid w:val="00623E42"/>
    <w:rsid w:val="0069445D"/>
    <w:rsid w:val="00697049"/>
    <w:rsid w:val="006A40D7"/>
    <w:rsid w:val="007106B5"/>
    <w:rsid w:val="00717F16"/>
    <w:rsid w:val="00847B96"/>
    <w:rsid w:val="008A258D"/>
    <w:rsid w:val="008F54D1"/>
    <w:rsid w:val="00935018"/>
    <w:rsid w:val="00935471"/>
    <w:rsid w:val="00937A9D"/>
    <w:rsid w:val="009A5930"/>
    <w:rsid w:val="009B6DD5"/>
    <w:rsid w:val="00A13B7D"/>
    <w:rsid w:val="00A97744"/>
    <w:rsid w:val="00AB3EB8"/>
    <w:rsid w:val="00AD4B5D"/>
    <w:rsid w:val="00B77E97"/>
    <w:rsid w:val="00BB1754"/>
    <w:rsid w:val="00BF5E94"/>
    <w:rsid w:val="00C517CC"/>
    <w:rsid w:val="00C623F0"/>
    <w:rsid w:val="00C64B0E"/>
    <w:rsid w:val="00CA0E2C"/>
    <w:rsid w:val="00CE469A"/>
    <w:rsid w:val="00D010FF"/>
    <w:rsid w:val="00D42BA5"/>
    <w:rsid w:val="00DA01B3"/>
    <w:rsid w:val="00DE6237"/>
    <w:rsid w:val="00E10745"/>
    <w:rsid w:val="00E13834"/>
    <w:rsid w:val="00E72B9E"/>
    <w:rsid w:val="00E933E1"/>
    <w:rsid w:val="00EC0C57"/>
    <w:rsid w:val="00EC188D"/>
    <w:rsid w:val="00EC4AAB"/>
    <w:rsid w:val="00F0059B"/>
    <w:rsid w:val="00F363E8"/>
    <w:rsid w:val="00F5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22EC9-B5ED-4B91-AE10-69133ACD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D68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573D6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ru-RU"/>
    </w:rPr>
  </w:style>
  <w:style w:type="paragraph" w:customStyle="1" w:styleId="BodyAA">
    <w:name w:val="Body A A"/>
    <w:rsid w:val="00573D68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0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xkn</cp:lastModifiedBy>
  <cp:revision>189</cp:revision>
  <dcterms:created xsi:type="dcterms:W3CDTF">2024-09-09T06:33:00Z</dcterms:created>
  <dcterms:modified xsi:type="dcterms:W3CDTF">2025-01-10T10:48:00Z</dcterms:modified>
</cp:coreProperties>
</file>