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787D7" w14:textId="77777777" w:rsidR="00667E49" w:rsidRDefault="00667E49" w:rsidP="00661944">
      <w:pPr>
        <w:tabs>
          <w:tab w:val="left" w:pos="0"/>
        </w:tabs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14:paraId="14DBE879" w14:textId="72857A73" w:rsidR="00763374" w:rsidRDefault="00763374" w:rsidP="00661944">
      <w:pPr>
        <w:tabs>
          <w:tab w:val="left" w:pos="0"/>
        </w:tabs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ՆԱԽԱԳԻԾ</w:t>
      </w:r>
    </w:p>
    <w:p w14:paraId="537238DB" w14:textId="77777777" w:rsidR="00E3180D" w:rsidRDefault="00E3180D" w:rsidP="00661944">
      <w:pPr>
        <w:tabs>
          <w:tab w:val="left" w:pos="0"/>
        </w:tabs>
        <w:spacing w:after="0" w:line="360" w:lineRule="auto"/>
        <w:ind w:firstLine="720"/>
        <w:jc w:val="right"/>
        <w:rPr>
          <w:rFonts w:ascii="GHEA Grapalat" w:hAnsi="GHEA Grapalat"/>
          <w:b/>
          <w:sz w:val="24"/>
          <w:szCs w:val="24"/>
        </w:rPr>
      </w:pPr>
    </w:p>
    <w:p w14:paraId="5FFC0DA9" w14:textId="77777777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63A50002" w14:textId="77777777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14:paraId="4BFE30FB" w14:textId="77777777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</w:p>
    <w:p w14:paraId="71A9E85E" w14:textId="71F5A205" w:rsidR="00763374" w:rsidRDefault="00763374" w:rsidP="00661944">
      <w:pPr>
        <w:shd w:val="clear" w:color="auto" w:fill="FFFFFF"/>
        <w:tabs>
          <w:tab w:val="left" w:pos="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r w:rsidR="00522B0A">
        <w:rPr>
          <w:rFonts w:ascii="GHEA Grapalat" w:hAnsi="GHEA Grapalat"/>
          <w:b/>
          <w:sz w:val="24"/>
          <w:szCs w:val="24"/>
          <w:lang w:val="hy-AM"/>
        </w:rPr>
        <w:t>ԳՆՈՒՄՆԵՐԻ ՄԱՍԻՆ</w:t>
      </w:r>
      <w:r>
        <w:rPr>
          <w:rFonts w:ascii="GHEA Grapalat" w:hAnsi="GHEA Grapalat"/>
          <w:b/>
          <w:sz w:val="24"/>
          <w:szCs w:val="24"/>
        </w:rPr>
        <w:t xml:space="preserve">» ՕՐԵՆՔՈՒՄ </w:t>
      </w:r>
      <w:r w:rsidRPr="00494D05">
        <w:rPr>
          <w:rFonts w:ascii="GHEA Grapalat" w:hAnsi="GHEA Grapalat"/>
          <w:b/>
          <w:sz w:val="24"/>
          <w:szCs w:val="24"/>
        </w:rPr>
        <w:t>ՓՈՓՈԽՈՒԹՅՈՒՆ</w:t>
      </w:r>
      <w:r w:rsidR="00D07F79" w:rsidRPr="00494D05">
        <w:rPr>
          <w:rFonts w:ascii="GHEA Grapalat" w:hAnsi="GHEA Grapalat"/>
          <w:b/>
          <w:sz w:val="24"/>
          <w:szCs w:val="24"/>
        </w:rPr>
        <w:t>ՆԵՐ</w:t>
      </w:r>
      <w:r w:rsidRPr="00494D05">
        <w:rPr>
          <w:rFonts w:ascii="GHEA Grapalat" w:hAnsi="GHEA Grapalat"/>
          <w:b/>
          <w:sz w:val="24"/>
          <w:szCs w:val="24"/>
        </w:rPr>
        <w:t xml:space="preserve"> </w:t>
      </w:r>
      <w:r w:rsidR="0051376C">
        <w:rPr>
          <w:rFonts w:ascii="GHEA Grapalat" w:hAnsi="GHEA Grapalat"/>
          <w:b/>
          <w:sz w:val="24"/>
          <w:szCs w:val="24"/>
        </w:rPr>
        <w:t xml:space="preserve">ԵՎ ԼՐԱՑՈՒՄՆԵՐ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14:paraId="1E446087" w14:textId="77777777" w:rsidR="00763374" w:rsidRDefault="00763374" w:rsidP="00AC7AE1">
      <w:pPr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Cs/>
          <w:spacing w:val="-6"/>
          <w:sz w:val="24"/>
          <w:szCs w:val="24"/>
        </w:rPr>
      </w:pPr>
    </w:p>
    <w:p w14:paraId="4037D09E" w14:textId="38B8CE37" w:rsidR="00522B0A" w:rsidRPr="00BA7A5C" w:rsidRDefault="00763374" w:rsidP="00AC7AE1">
      <w:pPr>
        <w:pStyle w:val="a7"/>
        <w:shd w:val="clear" w:color="auto" w:fill="FFFFFF"/>
        <w:spacing w:before="0" w:beforeAutospacing="0" w:after="0" w:afterAutospacing="0" w:line="360" w:lineRule="auto"/>
        <w:ind w:firstLine="630"/>
        <w:jc w:val="both"/>
        <w:rPr>
          <w:rFonts w:ascii="GHEA Grapalat" w:hAnsi="GHEA Grapalat"/>
          <w:bCs/>
          <w:spacing w:val="-6"/>
          <w:lang w:val="hy-AM"/>
        </w:rPr>
      </w:pPr>
      <w:proofErr w:type="spellStart"/>
      <w:r w:rsidRPr="00BA7A5C">
        <w:rPr>
          <w:rFonts w:ascii="GHEA Grapalat" w:hAnsi="GHEA Grapalat"/>
          <w:b/>
          <w:bCs/>
          <w:spacing w:val="-6"/>
        </w:rPr>
        <w:t>Հոդված</w:t>
      </w:r>
      <w:proofErr w:type="spellEnd"/>
      <w:r w:rsidRPr="00BA7A5C">
        <w:rPr>
          <w:rFonts w:ascii="GHEA Grapalat" w:hAnsi="GHEA Grapalat"/>
          <w:b/>
          <w:bCs/>
          <w:spacing w:val="-6"/>
        </w:rPr>
        <w:t xml:space="preserve"> 1.</w:t>
      </w:r>
      <w:r w:rsidRPr="00BA7A5C">
        <w:rPr>
          <w:rFonts w:ascii="GHEA Grapalat" w:hAnsi="GHEA Grapalat"/>
          <w:bCs/>
          <w:spacing w:val="-6"/>
        </w:rPr>
        <w:t xml:space="preserve"> </w:t>
      </w:r>
      <w:r w:rsidR="00CC643E" w:rsidRPr="00BA7A5C">
        <w:rPr>
          <w:rFonts w:ascii="GHEA Grapalat" w:hAnsi="GHEA Grapalat"/>
          <w:bCs/>
          <w:spacing w:val="-6"/>
          <w:lang w:val="hy-AM"/>
        </w:rPr>
        <w:t>«</w:t>
      </w:r>
      <w:r w:rsidR="00522B0A" w:rsidRPr="00BA7A5C">
        <w:rPr>
          <w:rFonts w:ascii="GHEA Grapalat" w:hAnsi="GHEA Grapalat"/>
          <w:bCs/>
          <w:spacing w:val="-6"/>
          <w:lang w:val="hy-AM"/>
        </w:rPr>
        <w:t>Գնումների մասին</w:t>
      </w:r>
      <w:r w:rsidRPr="00BA7A5C">
        <w:rPr>
          <w:rFonts w:ascii="GHEA Grapalat" w:hAnsi="GHEA Grapalat"/>
          <w:bCs/>
          <w:spacing w:val="-6"/>
          <w:lang w:val="hy-AM"/>
        </w:rPr>
        <w:t xml:space="preserve">» </w:t>
      </w:r>
      <w:r w:rsidR="00CC643E" w:rsidRPr="00BA7A5C">
        <w:rPr>
          <w:rFonts w:ascii="GHEA Grapalat" w:hAnsi="GHEA Grapalat"/>
          <w:bCs/>
          <w:spacing w:val="-6"/>
          <w:lang w:val="hy-AM"/>
        </w:rPr>
        <w:t>201</w:t>
      </w:r>
      <w:r w:rsidR="00522B0A" w:rsidRPr="00BA7A5C">
        <w:rPr>
          <w:rFonts w:ascii="GHEA Grapalat" w:hAnsi="GHEA Grapalat"/>
          <w:bCs/>
          <w:spacing w:val="-6"/>
          <w:lang w:val="hy-AM"/>
        </w:rPr>
        <w:t>6</w:t>
      </w:r>
      <w:r w:rsidR="00CC643E" w:rsidRPr="00BA7A5C">
        <w:rPr>
          <w:rFonts w:ascii="GHEA Grapalat" w:hAnsi="GHEA Grapalat"/>
          <w:bCs/>
          <w:spacing w:val="-6"/>
          <w:lang w:val="hy-AM"/>
        </w:rPr>
        <w:t xml:space="preserve"> թվականի </w:t>
      </w:r>
      <w:r w:rsidR="00522B0A" w:rsidRPr="00BA7A5C">
        <w:rPr>
          <w:rFonts w:ascii="GHEA Grapalat" w:hAnsi="GHEA Grapalat"/>
          <w:bCs/>
          <w:spacing w:val="-6"/>
          <w:lang w:val="hy-AM"/>
        </w:rPr>
        <w:t>դեկտեմբերի 16</w:t>
      </w:r>
      <w:r w:rsidR="00CC643E" w:rsidRPr="00BA7A5C">
        <w:rPr>
          <w:rFonts w:ascii="GHEA Grapalat" w:hAnsi="GHEA Grapalat"/>
          <w:bCs/>
          <w:spacing w:val="-6"/>
          <w:lang w:val="hy-AM"/>
        </w:rPr>
        <w:t>-ի</w:t>
      </w:r>
      <w:r w:rsidRPr="00BA7A5C">
        <w:rPr>
          <w:rFonts w:ascii="GHEA Grapalat" w:hAnsi="GHEA Grapalat"/>
          <w:bCs/>
          <w:spacing w:val="-6"/>
          <w:lang w:val="hy-AM"/>
        </w:rPr>
        <w:t xml:space="preserve"> </w:t>
      </w:r>
      <w:r w:rsidR="00CC643E" w:rsidRPr="00BA7A5C">
        <w:rPr>
          <w:rFonts w:ascii="GHEA Grapalat" w:hAnsi="GHEA Grapalat"/>
          <w:bCs/>
          <w:spacing w:val="-6"/>
          <w:lang w:val="hy-AM"/>
        </w:rPr>
        <w:t>ՀՕ-</w:t>
      </w:r>
      <w:r w:rsidR="00522B0A" w:rsidRPr="00BA7A5C">
        <w:rPr>
          <w:rFonts w:ascii="GHEA Grapalat" w:hAnsi="GHEA Grapalat"/>
          <w:bCs/>
          <w:spacing w:val="-6"/>
          <w:lang w:val="hy-AM"/>
        </w:rPr>
        <w:t>21</w:t>
      </w:r>
      <w:r w:rsidR="00CC643E" w:rsidRPr="00BA7A5C">
        <w:rPr>
          <w:rFonts w:ascii="GHEA Grapalat" w:hAnsi="GHEA Grapalat"/>
          <w:bCs/>
          <w:spacing w:val="-6"/>
          <w:lang w:val="hy-AM"/>
        </w:rPr>
        <w:t xml:space="preserve">-Ն </w:t>
      </w:r>
      <w:r w:rsidRPr="00BA7A5C">
        <w:rPr>
          <w:rFonts w:ascii="GHEA Grapalat" w:hAnsi="GHEA Grapalat"/>
          <w:bCs/>
          <w:spacing w:val="-6"/>
          <w:lang w:val="hy-AM"/>
        </w:rPr>
        <w:t>օրենքի</w:t>
      </w:r>
      <w:r w:rsidR="00DD4F66" w:rsidRPr="00BA7A5C">
        <w:rPr>
          <w:rFonts w:ascii="GHEA Grapalat" w:hAnsi="GHEA Grapalat"/>
          <w:bCs/>
          <w:spacing w:val="-6"/>
          <w:lang w:val="hy-AM"/>
        </w:rPr>
        <w:t xml:space="preserve"> </w:t>
      </w:r>
      <w:r w:rsidR="00F3701C" w:rsidRPr="00BA7A5C">
        <w:rPr>
          <w:rFonts w:ascii="GHEA Grapalat" w:hAnsi="GHEA Grapalat"/>
          <w:bCs/>
          <w:spacing w:val="-6"/>
          <w:lang w:val="hy-AM"/>
        </w:rPr>
        <w:t xml:space="preserve">(այսուհետ՝ Օրենք) </w:t>
      </w:r>
      <w:r w:rsidR="007C7CB6" w:rsidRPr="00BA7A5C">
        <w:rPr>
          <w:rFonts w:ascii="GHEA Grapalat" w:hAnsi="GHEA Grapalat"/>
          <w:bCs/>
          <w:spacing w:val="-6"/>
          <w:lang w:val="hy-AM"/>
        </w:rPr>
        <w:t xml:space="preserve">2-րդ հոդվածի 1-ին մասի </w:t>
      </w:r>
      <w:r w:rsidR="0051376C" w:rsidRPr="00BA7A5C">
        <w:rPr>
          <w:rFonts w:ascii="GHEA Grapalat" w:hAnsi="GHEA Grapalat"/>
          <w:bCs/>
          <w:spacing w:val="-6"/>
        </w:rPr>
        <w:t>2</w:t>
      </w:r>
      <w:r w:rsidR="007C7CB6" w:rsidRPr="00BA7A5C">
        <w:rPr>
          <w:rFonts w:ascii="GHEA Grapalat" w:hAnsi="GHEA Grapalat"/>
          <w:bCs/>
          <w:spacing w:val="-6"/>
          <w:lang w:val="hy-AM"/>
        </w:rPr>
        <w:t>-րդ կետ</w:t>
      </w:r>
      <w:r w:rsidR="00522B0A" w:rsidRPr="00BA7A5C">
        <w:rPr>
          <w:rFonts w:ascii="GHEA Grapalat" w:hAnsi="GHEA Grapalat"/>
          <w:bCs/>
          <w:spacing w:val="-6"/>
          <w:lang w:val="hy-AM"/>
        </w:rPr>
        <w:t xml:space="preserve">ը </w:t>
      </w:r>
      <w:proofErr w:type="spellStart"/>
      <w:r w:rsidR="0051376C" w:rsidRPr="00BA7A5C">
        <w:rPr>
          <w:rFonts w:ascii="GHEA Grapalat" w:hAnsi="GHEA Grapalat"/>
          <w:bCs/>
          <w:spacing w:val="-6"/>
        </w:rPr>
        <w:t>լրացնել</w:t>
      </w:r>
      <w:proofErr w:type="spellEnd"/>
      <w:r w:rsidR="0051376C" w:rsidRPr="00BA7A5C">
        <w:rPr>
          <w:rFonts w:ascii="GHEA Grapalat" w:hAnsi="GHEA Grapalat"/>
          <w:bCs/>
          <w:spacing w:val="-6"/>
        </w:rPr>
        <w:t xml:space="preserve"> </w:t>
      </w:r>
      <w:proofErr w:type="spellStart"/>
      <w:r w:rsidR="0051376C" w:rsidRPr="00BA7A5C">
        <w:rPr>
          <w:rFonts w:ascii="GHEA Grapalat" w:hAnsi="GHEA Grapalat"/>
          <w:bCs/>
          <w:spacing w:val="-6"/>
        </w:rPr>
        <w:t>հետևյալ</w:t>
      </w:r>
      <w:proofErr w:type="spellEnd"/>
      <w:r w:rsidR="0051376C" w:rsidRPr="00BA7A5C">
        <w:rPr>
          <w:rFonts w:ascii="GHEA Grapalat" w:hAnsi="GHEA Grapalat"/>
          <w:bCs/>
          <w:spacing w:val="-6"/>
        </w:rPr>
        <w:t xml:space="preserve"> </w:t>
      </w:r>
      <w:proofErr w:type="spellStart"/>
      <w:r w:rsidR="0051376C" w:rsidRPr="00BA7A5C">
        <w:rPr>
          <w:rFonts w:ascii="GHEA Grapalat" w:hAnsi="GHEA Grapalat"/>
          <w:bCs/>
          <w:spacing w:val="-6"/>
        </w:rPr>
        <w:t>բովանդակությամբ</w:t>
      </w:r>
      <w:proofErr w:type="spellEnd"/>
      <w:r w:rsidR="0051376C" w:rsidRPr="00BA7A5C">
        <w:rPr>
          <w:rFonts w:ascii="GHEA Grapalat" w:hAnsi="GHEA Grapalat"/>
          <w:bCs/>
          <w:spacing w:val="-6"/>
        </w:rPr>
        <w:t xml:space="preserve"> </w:t>
      </w:r>
      <w:r w:rsidR="0051376C" w:rsidRPr="00BA7A5C">
        <w:rPr>
          <w:rFonts w:ascii="GHEA Grapalat" w:hAnsi="GHEA Grapalat"/>
          <w:bCs/>
          <w:spacing w:val="-6"/>
          <w:lang w:val="hy-AM"/>
        </w:rPr>
        <w:t>«</w:t>
      </w:r>
      <w:r w:rsidR="0051376C" w:rsidRPr="00BA7A5C">
        <w:rPr>
          <w:rFonts w:ascii="GHEA Grapalat" w:hAnsi="GHEA Grapalat"/>
          <w:bCs/>
          <w:spacing w:val="-6"/>
        </w:rPr>
        <w:t>գ</w:t>
      </w:r>
      <w:r w:rsidR="0051376C" w:rsidRPr="00BA7A5C">
        <w:rPr>
          <w:rFonts w:ascii="GHEA Grapalat" w:hAnsi="GHEA Grapalat"/>
          <w:bCs/>
          <w:spacing w:val="-6"/>
          <w:lang w:val="hy-AM"/>
        </w:rPr>
        <w:t>»</w:t>
      </w:r>
      <w:r w:rsidR="0051376C" w:rsidRPr="00BA7A5C">
        <w:rPr>
          <w:rFonts w:ascii="GHEA Grapalat" w:hAnsi="GHEA Grapalat"/>
          <w:bCs/>
          <w:spacing w:val="-6"/>
        </w:rPr>
        <w:t xml:space="preserve"> </w:t>
      </w:r>
      <w:proofErr w:type="spellStart"/>
      <w:r w:rsidR="00EC0D27" w:rsidRPr="00BA7A5C">
        <w:rPr>
          <w:rFonts w:ascii="GHEA Grapalat" w:hAnsi="GHEA Grapalat"/>
          <w:bCs/>
          <w:spacing w:val="-6"/>
        </w:rPr>
        <w:t>ենթակետով</w:t>
      </w:r>
      <w:proofErr w:type="spellEnd"/>
      <w:r w:rsidR="00522B0A" w:rsidRPr="00BA7A5C">
        <w:rPr>
          <w:rFonts w:ascii="GHEA Grapalat" w:hAnsi="GHEA Grapalat"/>
          <w:bCs/>
          <w:spacing w:val="-6"/>
          <w:lang w:val="hy-AM"/>
        </w:rPr>
        <w:t>.</w:t>
      </w:r>
    </w:p>
    <w:p w14:paraId="384B125E" w14:textId="1B265FD7" w:rsidR="00522B0A" w:rsidRPr="00BA7A5C" w:rsidRDefault="00522B0A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 w:rsidR="00EC0D27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գ. կազմակերպություններ, որոնց հանդեպ </w:t>
      </w:r>
      <w:r w:rsidR="00EC0D27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</w:t>
      </w:r>
      <w:r w:rsidR="00630D68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կետի</w:t>
      </w:r>
      <w:r w:rsidR="00EC0D27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ա) ենթակետով նախատեսված անձը, անկախ բաժնեմասի (փայաբաժնի) չափից, ունի տվյալ կազմակերպության կառավարման մարմինների որոշումները կանխորոշելու, նրա որոշումների կայացման (կիրառման) վրա ազդելու կամ կազմակերպության գործունեության ուղղությունները, ոլորտները կանխորոշելու հնարավորություն և սույն ենթակետով նախատեսված անձը տվյալ կազմակերպությունից սույն օրենքի 23-րդ հոդվածի 1-ին մասի 6-րդ կետով նախատեսված հիմքով ձեռք է բերում ապրանքներ, աշխատանքներ կամ ծառայություններ: Սույն ենթակետով նախատեսված կազմակերպությունների ցանկը հաստատում է Հանրային ծառայությունները կարգավորող հանձնաժողովը.</w:t>
      </w:r>
      <w:r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»:</w:t>
      </w:r>
    </w:p>
    <w:p w14:paraId="330C793D" w14:textId="77777777" w:rsidR="00522B0A" w:rsidRPr="00BA7A5C" w:rsidRDefault="00522B0A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0093F1E1" w14:textId="5BC24584" w:rsidR="00522B0A" w:rsidRPr="002747A5" w:rsidRDefault="00BB3B21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BA7A5C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2. </w:t>
      </w:r>
      <w:r w:rsidR="00AE2376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</w:t>
      </w:r>
      <w:r w:rsidR="00EC0D27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2</w:t>
      </w:r>
      <w:r w:rsidR="00AE2376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3-րդ հոդված</w:t>
      </w:r>
      <w:r w:rsidR="00EC0D27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ի 1-</w:t>
      </w:r>
      <w:r w:rsidR="00EC0D27" w:rsidRPr="002747A5">
        <w:rPr>
          <w:rFonts w:ascii="GHEA Grapalat" w:hAnsi="GHEA Grapalat"/>
          <w:bCs/>
          <w:spacing w:val="-6"/>
          <w:sz w:val="24"/>
          <w:szCs w:val="24"/>
          <w:lang w:val="hy-AM"/>
        </w:rPr>
        <w:t>ին մասը լրացնել հետևյալ բովանդակությամբ 6-րդ կետով.</w:t>
      </w:r>
    </w:p>
    <w:p w14:paraId="06705307" w14:textId="5D9BC0F2" w:rsidR="007E7DE5" w:rsidRPr="00BA7A5C" w:rsidRDefault="007E7DE5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2747A5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Pr="002747A5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 w:rsidR="00EC0D27" w:rsidRPr="002747A5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 xml:space="preserve"> </w:t>
      </w:r>
      <w:r w:rsidR="00EC0D27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6) սույն օրենքի 2-րդ հոդվածի 1-ին </w:t>
      </w:r>
      <w:r w:rsidR="00CD5719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</w:t>
      </w:r>
      <w:r w:rsidR="00EC0D27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2-րդ </w:t>
      </w:r>
      <w:r w:rsidR="00CD5719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կետի</w:t>
      </w:r>
      <w:r w:rsidR="00EC0D27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ա) ենթակետով նախատեսված անձը գնումն իրականացնում է </w:t>
      </w:r>
      <w:r w:rsidR="00EC0D27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նույն </w:t>
      </w:r>
      <w:r w:rsidR="00CD5719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կետի</w:t>
      </w:r>
      <w:r w:rsidR="00EC0D27" w:rsidRPr="002747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բ)</w:t>
      </w:r>
      <w:r w:rsidR="00EC0D27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ենթակետով նախատեսված կազմակերպությունից:</w:t>
      </w:r>
      <w:r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» :</w:t>
      </w:r>
    </w:p>
    <w:p w14:paraId="1E2DDF61" w14:textId="77777777" w:rsidR="00522B0A" w:rsidRPr="00BA7A5C" w:rsidRDefault="00522B0A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p w14:paraId="522AD508" w14:textId="4CFDCA00" w:rsidR="00EC0D27" w:rsidRPr="00BA7A5C" w:rsidRDefault="00D65812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Cs/>
          <w:spacing w:val="-6"/>
          <w:sz w:val="24"/>
          <w:szCs w:val="24"/>
        </w:rPr>
      </w:pPr>
      <w:r w:rsidRPr="00BA7A5C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3. </w:t>
      </w:r>
      <w:r w:rsidR="007E7DE5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Օրենքի </w:t>
      </w:r>
      <w:r w:rsidR="00EC0D27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52</w:t>
      </w:r>
      <w:r w:rsidR="007E7DE5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-րդ հոդված</w:t>
      </w:r>
      <w:proofErr w:type="spellStart"/>
      <w:r w:rsidR="0052739F" w:rsidRPr="00BA7A5C">
        <w:rPr>
          <w:rFonts w:ascii="GHEA Grapalat" w:hAnsi="GHEA Grapalat"/>
          <w:bCs/>
          <w:spacing w:val="-6"/>
          <w:sz w:val="24"/>
          <w:szCs w:val="24"/>
        </w:rPr>
        <w:t>ում</w:t>
      </w:r>
      <w:proofErr w:type="spellEnd"/>
      <w:r w:rsidR="00EC0D27" w:rsidRPr="00BA7A5C">
        <w:rPr>
          <w:rFonts w:ascii="GHEA Grapalat" w:hAnsi="GHEA Grapalat"/>
          <w:bCs/>
          <w:spacing w:val="-6"/>
          <w:sz w:val="24"/>
          <w:szCs w:val="24"/>
        </w:rPr>
        <w:t>.</w:t>
      </w:r>
    </w:p>
    <w:p w14:paraId="60DF49AE" w14:textId="168E804A" w:rsidR="007E7DE5" w:rsidRPr="00BA7A5C" w:rsidRDefault="00EC0D27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  <w:r w:rsidRPr="00BA7A5C">
        <w:rPr>
          <w:rFonts w:ascii="GHEA Grapalat" w:hAnsi="GHEA Grapalat"/>
          <w:bCs/>
          <w:spacing w:val="-6"/>
          <w:sz w:val="24"/>
          <w:szCs w:val="24"/>
        </w:rPr>
        <w:t>1.</w:t>
      </w:r>
      <w:r w:rsidR="007E7DE5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1-ին </w:t>
      </w:r>
      <w:proofErr w:type="gramStart"/>
      <w:r w:rsidR="007E7DE5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մաս</w:t>
      </w:r>
      <w:r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ը</w:t>
      </w:r>
      <w:r w:rsidR="007E7DE5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 շարադրել</w:t>
      </w:r>
      <w:proofErr w:type="gramEnd"/>
      <w:r w:rsidR="007E7DE5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հետևյալ խմբագրությամբ.</w:t>
      </w:r>
    </w:p>
    <w:p w14:paraId="31266039" w14:textId="77777777" w:rsidR="00EC0D27" w:rsidRPr="00BA7A5C" w:rsidRDefault="007E7DE5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 w:rsidR="00EC0D27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Հանրային կազմակերպությունների կողմից Հայաստանի Հանրապետության տարածքում իրականացվող գնումների`</w:t>
      </w:r>
    </w:p>
    <w:p w14:paraId="28463A82" w14:textId="77777777" w:rsidR="00EC0D27" w:rsidRPr="00BA7A5C" w:rsidRDefault="00EC0D27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 հետ կապված հարաբերությունները կարգավորվում են այդ կազմակերպությունների հաստատած գնումների կատարման կարգերով.</w:t>
      </w:r>
    </w:p>
    <w:p w14:paraId="293F51DD" w14:textId="77777777" w:rsidR="00EC0D27" w:rsidRPr="00BA7A5C" w:rsidRDefault="00EC0D27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2) կատարման կարգերը, գնման գործընթացների կազմակերպման մասին հայտարարությունները, հրավերները, գնումների բազային միավորը գերազանցող` կնքված պայմանագրերի մասին հայտարարությունները, ինչպես նաև գնումների կատարման կարգերով նախատեսված՝ գնումների գործընթացին մասնակցելու իրավունք չունեցող մասնակիցների ցուցակները հրապարակվում են նաև տեղեկագրում.</w:t>
      </w:r>
    </w:p>
    <w:p w14:paraId="7D344D72" w14:textId="77777777" w:rsidR="00EC0D27" w:rsidRPr="00BA7A5C" w:rsidRDefault="00EC0D27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3) բողոքարկումն, այդ թվում մասնակցին գնումների գործընթացին մասնակցելու իրավունք չունեցող մասնակիցների ցուցակում ներառելու որոշումը, իրականացվում է սույն օրենքի 6-րդ բաժնով սահմանված կարգով.</w:t>
      </w:r>
    </w:p>
    <w:p w14:paraId="5A8BF72A" w14:textId="77777777" w:rsidR="00EC0D27" w:rsidRPr="00BA7A5C" w:rsidRDefault="00EC0D27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4) պայմանագրերի կատարման և կառավարման շրջանակում</w:t>
      </w:r>
      <w:r w:rsidRPr="00BA7A5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իրականացվում է հանրային հսկողություն՝ սույն օրենքի 5</w:t>
      </w: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1</w:t>
      </w: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հոդվածով սահմանված կարգով.</w:t>
      </w:r>
    </w:p>
    <w:p w14:paraId="711A6FF3" w14:textId="5E8A77BE" w:rsidR="007E7DE5" w:rsidRPr="00BA7A5C" w:rsidRDefault="00EC0D27" w:rsidP="00AC7AE1">
      <w:pPr>
        <w:shd w:val="clear" w:color="auto" w:fill="FFFFFF"/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5) գործընթացներին չեն կարող մասնակցել սույն օրենքի 6-րդ հոդվածի 1-ին մասի 6-րդ կետով նախատեսված ցուցակում ներառված մասնակիցները:</w:t>
      </w:r>
      <w:r w:rsidR="00661944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 w:rsidR="0052739F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.</w:t>
      </w:r>
    </w:p>
    <w:p w14:paraId="1E45B205" w14:textId="5F3BB386" w:rsidR="007E7DE5" w:rsidRPr="00BA7A5C" w:rsidRDefault="00EC0D27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  <w:r w:rsidRPr="00AC7AE1">
        <w:rPr>
          <w:rFonts w:ascii="GHEA Grapalat" w:hAnsi="GHEA Grapalat"/>
          <w:bCs/>
          <w:spacing w:val="-6"/>
          <w:sz w:val="24"/>
          <w:szCs w:val="24"/>
          <w:lang w:val="hy-AM"/>
        </w:rPr>
        <w:t>2. 2-րդ</w:t>
      </w: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մասում</w:t>
      </w:r>
      <w:r w:rsidRPr="00BA7A5C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 </w:t>
      </w:r>
      <w:r w:rsidRPr="00BA7A5C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հանրային կազմակերպությունների</w:t>
      </w:r>
      <w:r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բառերից առաջ լրացնել </w:t>
      </w:r>
      <w:r w:rsidR="00DB67C2" w:rsidRPr="00BA7A5C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 w:rsidR="00DB67C2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սույն օրենքի 2-րդ հոդվածի 1-ին մասի 2-րդ կետի </w:t>
      </w:r>
      <w:r w:rsidR="00DB67C2" w:rsidRPr="00BA7A5C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 w:rsidR="00DB67C2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="00DB67C2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» </w:t>
      </w:r>
      <w:r w:rsidR="00DB67C2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</w:t>
      </w:r>
      <w:r w:rsidR="00DB67C2" w:rsidRPr="00BA7A5C">
        <w:rPr>
          <w:rFonts w:ascii="GHEA Grapalat" w:eastAsia="Times New Roman" w:hAnsi="GHEA Grapalat" w:cs="Times New Roman"/>
          <w:bCs/>
          <w:spacing w:val="-6"/>
          <w:sz w:val="24"/>
          <w:szCs w:val="24"/>
          <w:lang w:val="hy-AM"/>
        </w:rPr>
        <w:t>«</w:t>
      </w:r>
      <w:r w:rsidR="00DB67C2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</w:t>
      </w:r>
      <w:r w:rsidR="00DB67C2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»</w:t>
      </w:r>
      <w:r w:rsidR="00DB67C2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ենթակետերով նախատեսված</w:t>
      </w:r>
      <w:r w:rsidR="00DB67C2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» բառեր</w:t>
      </w:r>
      <w:r w:rsidR="0052739F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ով</w:t>
      </w:r>
      <w:r w:rsidR="00DB67C2"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>:</w:t>
      </w:r>
    </w:p>
    <w:p w14:paraId="72CB1D4A" w14:textId="77777777" w:rsidR="007E7DE5" w:rsidRPr="00BA7A5C" w:rsidRDefault="007E7DE5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p w14:paraId="3B24E7D2" w14:textId="5CEA8636" w:rsidR="00544008" w:rsidRPr="00BA7A5C" w:rsidRDefault="00957DFF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 xml:space="preserve">Հոդված </w:t>
      </w:r>
      <w:r w:rsidR="00D65812" w:rsidRPr="00BA7A5C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4</w:t>
      </w:r>
      <w:r w:rsidRPr="00BA7A5C">
        <w:rPr>
          <w:rFonts w:ascii="GHEA Grapalat" w:hAnsi="GHEA Grapalat"/>
          <w:b/>
          <w:bCs/>
          <w:spacing w:val="-6"/>
          <w:sz w:val="24"/>
          <w:szCs w:val="24"/>
          <w:lang w:val="hy-AM"/>
        </w:rPr>
        <w:t>.</w:t>
      </w:r>
      <w:r w:rsidRPr="00BA7A5C">
        <w:rPr>
          <w:rFonts w:ascii="GHEA Grapalat" w:hAnsi="GHEA Grapalat"/>
          <w:bCs/>
          <w:spacing w:val="-6"/>
          <w:sz w:val="24"/>
          <w:szCs w:val="24"/>
          <w:lang w:val="hy-AM"/>
        </w:rPr>
        <w:t xml:space="preserve"> </w:t>
      </w:r>
      <w:r w:rsidR="00544008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Եզրափակիչ մաս և անցումային դրույթներ</w:t>
      </w:r>
    </w:p>
    <w:p w14:paraId="163508A7" w14:textId="77777777" w:rsidR="003F530D" w:rsidRPr="00BA7A5C" w:rsidRDefault="00544008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763374"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օրվանից:</w:t>
      </w:r>
    </w:p>
    <w:p w14:paraId="0B99BB66" w14:textId="77777777" w:rsidR="00544008" w:rsidRPr="00BA7A5C" w:rsidRDefault="00544008" w:rsidP="00AC7AE1">
      <w:pPr>
        <w:shd w:val="clear" w:color="auto" w:fill="FFFFFF"/>
        <w:tabs>
          <w:tab w:val="left" w:pos="0"/>
        </w:tabs>
        <w:spacing w:after="0" w:line="360" w:lineRule="auto"/>
        <w:ind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A7A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 Սույն օրենքի պահանջները չեն տարածվում մինչև սույն օրենքն ուժի մեջ մտնելը սկսած և չավարտված գնման գործընթացների վրա:</w:t>
      </w:r>
    </w:p>
    <w:p w14:paraId="23B6EB88" w14:textId="77777777" w:rsidR="00544008" w:rsidRDefault="00544008" w:rsidP="00AC7AE1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63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3B769214" w14:textId="77777777" w:rsidR="00544008" w:rsidRDefault="00544008" w:rsidP="00AC7AE1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630"/>
        <w:jc w:val="both"/>
        <w:rPr>
          <w:rFonts w:ascii="GHEA Grapalat" w:hAnsi="GHEA Grapalat"/>
          <w:bCs/>
          <w:spacing w:val="-6"/>
          <w:sz w:val="24"/>
          <w:szCs w:val="24"/>
          <w:lang w:val="hy-AM"/>
        </w:rPr>
      </w:pPr>
    </w:p>
    <w:p w14:paraId="4ECEE2A8" w14:textId="77777777" w:rsidR="00544008" w:rsidRPr="00667E49" w:rsidRDefault="00544008" w:rsidP="00661944">
      <w:pPr>
        <w:shd w:val="clear" w:color="auto" w:fill="FFFFFF"/>
        <w:tabs>
          <w:tab w:val="left" w:pos="0"/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b/>
          <w:bCs/>
          <w:spacing w:val="-6"/>
          <w:sz w:val="24"/>
          <w:szCs w:val="24"/>
          <w:lang w:val="hy-AM"/>
        </w:rPr>
      </w:pPr>
    </w:p>
    <w:sectPr w:rsidR="00544008" w:rsidRPr="00667E49" w:rsidSect="00E318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25E49"/>
    <w:multiLevelType w:val="hybridMultilevel"/>
    <w:tmpl w:val="43FA336E"/>
    <w:lvl w:ilvl="0" w:tplc="144AA1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1545F8"/>
    <w:multiLevelType w:val="hybridMultilevel"/>
    <w:tmpl w:val="31340250"/>
    <w:lvl w:ilvl="0" w:tplc="F2E843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FE1B73"/>
    <w:multiLevelType w:val="hybridMultilevel"/>
    <w:tmpl w:val="5008A5B4"/>
    <w:lvl w:ilvl="0" w:tplc="8EDC2A80">
      <w:start w:val="1"/>
      <w:numFmt w:val="decimal"/>
      <w:lvlText w:val="%1."/>
      <w:lvlJc w:val="left"/>
      <w:pPr>
        <w:ind w:left="2880" w:hanging="360"/>
      </w:pPr>
      <w:rPr>
        <w:rFonts w:ascii="GHEA Grapalat" w:eastAsiaTheme="minorHAnsi" w:hAnsi="GHEA Grapalat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899048E"/>
    <w:multiLevelType w:val="hybridMultilevel"/>
    <w:tmpl w:val="5D2272D0"/>
    <w:lvl w:ilvl="0" w:tplc="08AE5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E449CC"/>
    <w:multiLevelType w:val="hybridMultilevel"/>
    <w:tmpl w:val="144029AE"/>
    <w:lvl w:ilvl="0" w:tplc="26026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9A"/>
    <w:rsid w:val="000047E5"/>
    <w:rsid w:val="0005029D"/>
    <w:rsid w:val="00051C02"/>
    <w:rsid w:val="00081C13"/>
    <w:rsid w:val="000E6995"/>
    <w:rsid w:val="00252DE2"/>
    <w:rsid w:val="002747A5"/>
    <w:rsid w:val="003332AF"/>
    <w:rsid w:val="0036526E"/>
    <w:rsid w:val="00445C13"/>
    <w:rsid w:val="00462135"/>
    <w:rsid w:val="00494D05"/>
    <w:rsid w:val="0051376C"/>
    <w:rsid w:val="00517DC1"/>
    <w:rsid w:val="00522B0A"/>
    <w:rsid w:val="0052739F"/>
    <w:rsid w:val="00544008"/>
    <w:rsid w:val="00630D68"/>
    <w:rsid w:val="00644DF5"/>
    <w:rsid w:val="00661944"/>
    <w:rsid w:val="00667E49"/>
    <w:rsid w:val="00681825"/>
    <w:rsid w:val="0071139A"/>
    <w:rsid w:val="00763374"/>
    <w:rsid w:val="007C7CB6"/>
    <w:rsid w:val="007E3D98"/>
    <w:rsid w:val="007E7DE5"/>
    <w:rsid w:val="00860154"/>
    <w:rsid w:val="009124C0"/>
    <w:rsid w:val="00957DFF"/>
    <w:rsid w:val="009635A3"/>
    <w:rsid w:val="009C174A"/>
    <w:rsid w:val="00A73444"/>
    <w:rsid w:val="00A87AE6"/>
    <w:rsid w:val="00AC7AE1"/>
    <w:rsid w:val="00AE2376"/>
    <w:rsid w:val="00AF7D6D"/>
    <w:rsid w:val="00BA7A5C"/>
    <w:rsid w:val="00BB3B21"/>
    <w:rsid w:val="00CC643E"/>
    <w:rsid w:val="00CD5719"/>
    <w:rsid w:val="00D07F79"/>
    <w:rsid w:val="00D65812"/>
    <w:rsid w:val="00DB67C2"/>
    <w:rsid w:val="00DD4F66"/>
    <w:rsid w:val="00E3180D"/>
    <w:rsid w:val="00E4081E"/>
    <w:rsid w:val="00E67527"/>
    <w:rsid w:val="00E915EE"/>
    <w:rsid w:val="00EC0D27"/>
    <w:rsid w:val="00EC4BDD"/>
    <w:rsid w:val="00F32CE1"/>
    <w:rsid w:val="00F3701C"/>
    <w:rsid w:val="00F66B8F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0BA"/>
  <w15:chartTrackingRefBased/>
  <w15:docId w15:val="{8F1E89F4-3ED1-4C54-8F7B-FBBEC2E0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3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4"/>
    <w:uiPriority w:val="34"/>
    <w:qFormat/>
    <w:locked/>
    <w:rsid w:val="00763374"/>
  </w:style>
  <w:style w:type="paragraph" w:styleId="a4">
    <w:name w:val="List Paragraph"/>
    <w:aliases w:val="Akapit z listą BS,List Paragraph 1,List_Paragraph,Multilevel para_II,List Paragraph (numbered (a)),OBC Bullet,List Paragraph11,Normal numbered,Paragraphe de liste PBLH,Bullets,References,IBL List Paragraph,List Paragraph nowy"/>
    <w:basedOn w:val="a"/>
    <w:link w:val="a3"/>
    <w:uiPriority w:val="34"/>
    <w:qFormat/>
    <w:rsid w:val="007633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15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15E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68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D4F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C92B-3688-4B1B-BD8E-EB23D60A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320</Words>
  <Characters>2319</Characters>
  <Application>Microsoft Office Word</Application>
  <DocSecurity>0</DocSecurity>
  <Lines>51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Սյուզաննա Ամզարյան</dc:creator>
  <cp:keywords>https://mul2-minfin.gov.am/tasks/936409/oneclick?token=6738c895e37654979b7a12656d4a68e2</cp:keywords>
  <dc:description/>
  <cp:lastModifiedBy>User</cp:lastModifiedBy>
  <cp:revision>10</cp:revision>
  <cp:lastPrinted>2024-01-15T07:48:00Z</cp:lastPrinted>
  <dcterms:created xsi:type="dcterms:W3CDTF">2024-11-14T08:15:00Z</dcterms:created>
  <dcterms:modified xsi:type="dcterms:W3CDTF">2025-01-08T07:07:00Z</dcterms:modified>
</cp:coreProperties>
</file>