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658BB" w:rsidRPr="00A658BB" w:rsidRDefault="00A658BB" w:rsidP="00BC116F">
      <w:pPr>
        <w:tabs>
          <w:tab w:val="left" w:pos="709"/>
          <w:tab w:val="left" w:pos="851"/>
          <w:tab w:val="left" w:pos="993"/>
        </w:tabs>
        <w:spacing w:after="0" w:line="360" w:lineRule="auto"/>
        <w:ind w:right="49"/>
        <w:jc w:val="center"/>
        <w:rPr>
          <w:rFonts w:ascii="GHEA Grapalat" w:eastAsia="Times New Roman" w:hAnsi="GHEA Grapalat" w:cs="Calibri"/>
          <w:b/>
          <w:color w:val="000000"/>
          <w:sz w:val="24"/>
          <w:szCs w:val="24"/>
          <w:lang w:val="hy-AM" w:eastAsia="ru-RU"/>
        </w:rPr>
      </w:pPr>
      <w:r w:rsidRPr="00A658BB">
        <w:rPr>
          <w:rFonts w:ascii="GHEA Grapalat" w:eastAsia="Times New Roman" w:hAnsi="GHEA Grapalat" w:cs="Calibri"/>
          <w:b/>
          <w:color w:val="000000"/>
          <w:sz w:val="24"/>
          <w:szCs w:val="24"/>
          <w:lang w:val="hy-AM" w:eastAsia="ru-RU"/>
        </w:rPr>
        <w:t>ՀԻՄՆԱՎՈՐՈՒՄ</w:t>
      </w:r>
    </w:p>
    <w:p w:rsidR="00A658BB" w:rsidRPr="00A658BB" w:rsidRDefault="00A658BB" w:rsidP="00BC116F">
      <w:pPr>
        <w:tabs>
          <w:tab w:val="left" w:pos="709"/>
          <w:tab w:val="left" w:pos="851"/>
          <w:tab w:val="left" w:pos="993"/>
        </w:tabs>
        <w:spacing w:after="0" w:line="360" w:lineRule="auto"/>
        <w:ind w:right="49"/>
        <w:jc w:val="center"/>
        <w:rPr>
          <w:rFonts w:ascii="GHEA Grapalat" w:eastAsia="Times New Roman" w:hAnsi="GHEA Grapalat" w:cs="Calibri"/>
          <w:b/>
          <w:sz w:val="24"/>
          <w:szCs w:val="24"/>
          <w:lang w:val="hy-AM" w:eastAsia="ru-RU"/>
        </w:rPr>
      </w:pPr>
      <w:r w:rsidRPr="00A658BB">
        <w:rPr>
          <w:rFonts w:ascii="GHEA Grapalat" w:eastAsia="Times New Roman" w:hAnsi="GHEA Grapalat" w:cs="Calibri"/>
          <w:b/>
          <w:color w:val="000000"/>
          <w:sz w:val="24"/>
          <w:szCs w:val="24"/>
          <w:lang w:val="hy-AM" w:eastAsia="ru-RU"/>
        </w:rPr>
        <w:t xml:space="preserve">««ԴԱՏԱԿԱՆ ՕՐԵՆՍԳԻՐՔ» ՍԱՀՄԱՆԱԴՐԱԿԱՆ ՕՐԵՆՔՈՒՄ  ՓՈՓՈԽՈՒԹՅՈՒՆՆԵՐ ԵՎ ԼՐԱՑՈՒՄՆԵՐ ԿԱՏԱՐԵԼՈՒ ՄԱՍԻՆ» </w:t>
      </w:r>
      <w:r w:rsidRPr="00A658BB">
        <w:rPr>
          <w:rFonts w:ascii="GHEA Grapalat" w:eastAsia="GHEA Grapalat" w:hAnsi="GHEA Grapalat" w:cs="GHEA Grapalat"/>
          <w:b/>
          <w:sz w:val="24"/>
          <w:szCs w:val="24"/>
          <w:lang w:val="hy-AM" w:eastAsia="ru-RU"/>
        </w:rPr>
        <w:t>ՍԱՀՄԱՆԱԴՐԱԿԱՆ ՕՐԵՆՔԻ</w:t>
      </w:r>
      <w:r w:rsidRPr="00A658BB">
        <w:rPr>
          <w:rFonts w:ascii="GHEA Grapalat" w:eastAsia="Times New Roman" w:hAnsi="GHEA Grapalat" w:cs="Calibri"/>
          <w:b/>
          <w:color w:val="000000"/>
          <w:sz w:val="24"/>
          <w:szCs w:val="24"/>
          <w:lang w:val="hy-AM" w:eastAsia="ru-RU"/>
        </w:rPr>
        <w:t xml:space="preserve"> </w:t>
      </w:r>
      <w:r w:rsidRPr="00A658BB">
        <w:rPr>
          <w:rFonts w:ascii="GHEA Grapalat" w:eastAsia="GHEA Grapalat" w:hAnsi="GHEA Grapalat" w:cs="GHEA Grapalat"/>
          <w:b/>
          <w:sz w:val="24"/>
          <w:szCs w:val="24"/>
          <w:lang w:val="hy-AM" w:eastAsia="ru-RU"/>
        </w:rPr>
        <w:t>ԵՎ ՀԱՐԱԿԻՑ ՕՐԵՆՔՆԵՐԻ ՆԱԽԱԳԾԵՐԻ</w:t>
      </w:r>
      <w:r w:rsidRPr="00A658BB">
        <w:rPr>
          <w:rFonts w:ascii="GHEA Grapalat" w:eastAsia="Times New Roman" w:hAnsi="GHEA Grapalat" w:cs="Calibri"/>
          <w:b/>
          <w:color w:val="000000"/>
          <w:sz w:val="24"/>
          <w:szCs w:val="24"/>
          <w:lang w:val="hy-AM" w:eastAsia="ru-RU"/>
        </w:rPr>
        <w:t xml:space="preserve"> ԸՆԴՈՒՆՄԱՆ</w:t>
      </w:r>
    </w:p>
    <w:p w:rsidR="00A658BB" w:rsidRPr="00A658BB" w:rsidRDefault="00A658BB" w:rsidP="00A658BB">
      <w:pPr>
        <w:tabs>
          <w:tab w:val="left" w:pos="709"/>
          <w:tab w:val="left" w:pos="851"/>
          <w:tab w:val="left" w:pos="993"/>
        </w:tabs>
        <w:spacing w:after="0" w:line="360" w:lineRule="auto"/>
        <w:ind w:right="49" w:firstLine="540"/>
        <w:jc w:val="both"/>
        <w:rPr>
          <w:rFonts w:ascii="GHEA Grapalat" w:eastAsia="Times New Roman" w:hAnsi="GHEA Grapalat" w:cs="Calibri"/>
          <w:b/>
          <w:color w:val="000000"/>
          <w:sz w:val="24"/>
          <w:szCs w:val="24"/>
          <w:lang w:val="hy-AM" w:eastAsia="ru-RU"/>
        </w:rPr>
      </w:pPr>
    </w:p>
    <w:p w:rsidR="00A658BB" w:rsidRPr="00A658BB" w:rsidRDefault="00A658BB" w:rsidP="002B10A6">
      <w:pPr>
        <w:numPr>
          <w:ilvl w:val="0"/>
          <w:numId w:val="1"/>
        </w:numPr>
        <w:pBdr>
          <w:top w:val="nil"/>
          <w:left w:val="nil"/>
          <w:bottom w:val="nil"/>
          <w:right w:val="nil"/>
          <w:between w:val="nil"/>
        </w:pBdr>
        <w:tabs>
          <w:tab w:val="left" w:pos="709"/>
          <w:tab w:val="left" w:pos="851"/>
          <w:tab w:val="left" w:pos="993"/>
        </w:tabs>
        <w:spacing w:after="0" w:line="360" w:lineRule="auto"/>
        <w:ind w:left="0" w:right="49" w:firstLine="540"/>
        <w:jc w:val="both"/>
        <w:rPr>
          <w:rFonts w:ascii="GHEA Grapalat" w:eastAsia="Times New Roman" w:hAnsi="GHEA Grapalat" w:cs="Calibri"/>
          <w:b/>
          <w:color w:val="000000"/>
          <w:sz w:val="24"/>
          <w:szCs w:val="24"/>
          <w:lang w:val="hy-AM" w:eastAsia="ru-RU"/>
        </w:rPr>
      </w:pPr>
      <w:r w:rsidRPr="00A658BB">
        <w:rPr>
          <w:rFonts w:ascii="GHEA Grapalat" w:eastAsia="Times New Roman" w:hAnsi="GHEA Grapalat" w:cs="Calibri"/>
          <w:b/>
          <w:color w:val="000000"/>
          <w:sz w:val="24"/>
          <w:szCs w:val="24"/>
          <w:lang w:val="hy-AM" w:eastAsia="ru-RU"/>
        </w:rPr>
        <w:t>Ընթացիկ իրավիճակը և իրավական ակտերի ընդունման անհրաժեշտությունը.</w:t>
      </w:r>
      <w:bookmarkStart w:id="0" w:name="_GoBack"/>
      <w:bookmarkEnd w:id="0"/>
    </w:p>
    <w:p w:rsidR="00A658BB" w:rsidRPr="00A658BB" w:rsidRDefault="00A658BB" w:rsidP="00A658BB">
      <w:pPr>
        <w:pBdr>
          <w:top w:val="nil"/>
          <w:left w:val="nil"/>
          <w:bottom w:val="nil"/>
          <w:right w:val="nil"/>
          <w:between w:val="nil"/>
        </w:pBdr>
        <w:tabs>
          <w:tab w:val="left" w:pos="709"/>
          <w:tab w:val="left" w:pos="851"/>
          <w:tab w:val="left" w:pos="993"/>
        </w:tabs>
        <w:spacing w:after="0" w:line="360" w:lineRule="auto"/>
        <w:ind w:right="49" w:firstLine="540"/>
        <w:jc w:val="both"/>
        <w:rPr>
          <w:rFonts w:ascii="GHEA Grapalat" w:eastAsia="Times New Roman" w:hAnsi="GHEA Grapalat" w:cs="Calibri"/>
          <w:bCs/>
          <w:color w:val="000000"/>
          <w:sz w:val="24"/>
          <w:szCs w:val="24"/>
          <w:lang w:val="hy-AM" w:eastAsia="ru-RU"/>
        </w:rPr>
      </w:pPr>
      <w:r w:rsidRPr="00A658BB">
        <w:rPr>
          <w:rFonts w:ascii="GHEA Grapalat" w:eastAsia="Times New Roman" w:hAnsi="GHEA Grapalat" w:cs="Calibri"/>
          <w:bCs/>
          <w:color w:val="000000"/>
          <w:sz w:val="24"/>
          <w:szCs w:val="24"/>
          <w:lang w:val="hy-AM" w:eastAsia="ru-RU"/>
        </w:rPr>
        <w:t>Կառավարության 2023-2026թթ. հակակոռուպցիոն ռազմավարությամբ կարևորվել է այն հանգամանքը, որ կոռուպցիայի կանխարգելման միջոցով հնարավոր է դառնում հանրային պաշտոն զբաղեցնող ազնիվ, բարեխիղճ և գործունյա անձի և ծառայողի կերպարի ստեղծումը, հանրային ծառայության համակարգի նկատմամբ հասարակության վստահության բարձրացումը: Այս տեսանկյունից 2019-2022 թթ</w:t>
      </w:r>
      <w:r w:rsidRPr="00A658BB">
        <w:rPr>
          <w:rFonts w:ascii="Cambria Math" w:eastAsia="Times New Roman" w:hAnsi="Cambria Math" w:cs="Cambria Math"/>
          <w:bCs/>
          <w:color w:val="000000"/>
          <w:sz w:val="24"/>
          <w:szCs w:val="24"/>
          <w:lang w:val="hy-AM" w:eastAsia="ru-RU"/>
        </w:rPr>
        <w:t>․</w:t>
      </w:r>
      <w:r w:rsidRPr="00A658BB">
        <w:rPr>
          <w:rFonts w:ascii="GHEA Grapalat" w:eastAsia="Times New Roman" w:hAnsi="GHEA Grapalat" w:cs="Calibri"/>
          <w:bCs/>
          <w:color w:val="000000"/>
          <w:sz w:val="24"/>
          <w:szCs w:val="24"/>
          <w:lang w:val="hy-AM" w:eastAsia="ru-RU"/>
        </w:rPr>
        <w:t xml:space="preserve"> հակակոռուպցիոն քաղաքականությունը ուղղված էր բարեվարքության ստուգման այնպիսի նոր գործիքակազմի ներդրմանը, որը հնարավորություն կտար ուսումնասիրելու Հայաստանի Հանրապետության պետական պաշտոնի հավակնող անձանց բարեվարքությունը: Ըստ այդմ, 2020 թվականին «Կոռուպցիայի կանխարգելման հանձնաժողովի մասին» օրենքով ԿԿՀ-ին է վերապահվել պետական պաշտոնի հավակնող անձանց բարեվարքության ուսումնասիրության իրականացումը՝ այն սահմանափակելով որոշակի հանրային պաշտոններ զբաղեցնելու համար բարեվարքության ուսումնասիրությամբ: Միևնույն ժամանակ, բարեվարքության վերաբերյալ ուսումնասիրությունների արդյունքների հրապարակային չլինելը հնարավորություն չի տալիս հանրային վերահսկողության մեխանիզմների միջոցով ևս ամրապնդել բարեվարքության համակարգը։ Հարկ է հաշվի առնել նաև բարեվարքության ուսումնասիրության շրջանակում քննարկվող՝ օրենքով գաղտնիք հանդիսացող տեղեկությունների, երրորդ անձանց մասին տեղեկությունների և անձնական տվյալների, անձի մասնավոր կյանքին առնչվող տեղեկությունների և օպերատիվ հետախուզական ճանապարհով ստացված տեղեկությունների առկայության հանգամանքը, ինչպես նաև դրանց հրապարակայնության առնչությամբ ՄԻԵԴ-ի </w:t>
      </w:r>
      <w:r w:rsidRPr="00A658BB">
        <w:rPr>
          <w:rFonts w:ascii="GHEA Grapalat" w:eastAsia="Times New Roman" w:hAnsi="GHEA Grapalat" w:cs="Calibri"/>
          <w:bCs/>
          <w:color w:val="000000"/>
          <w:sz w:val="24"/>
          <w:szCs w:val="24"/>
          <w:lang w:val="hy-AM" w:eastAsia="ru-RU"/>
        </w:rPr>
        <w:lastRenderedPageBreak/>
        <w:t xml:space="preserve">նախադեպային որոշումները և օտարերկրյա պետությունների փորձը, որի համատեքստում անհրաժեշտություն է առաջանում դիտարկել հրապարակայնության պահանջի սահմանման նպատակահարմարության հարցը։ Նշյալից բացի, առկա են բարեվարքության ուսումնասիրության համակարգի արդյունավետությունը նվազեցնող խոչընդոտներ և հանգամանքներ, ինչպես օրինակ, ԿԿՀ-ի կողմից թեկնածուի բարեվարքության բացասական եզրակացության պարագայում, նրա` համապատասխան պաշտոնի նշանակումը կամ առաջխաղացումն առանց պատճառաբանված որոշման իրականացնելը, ԿԿՀ բարեվարքության եզրակացության եզրափակիչ մասը չհրապարակելը: </w:t>
      </w:r>
    </w:p>
    <w:p w:rsidR="00A658BB" w:rsidRPr="00A658BB" w:rsidRDefault="00A658BB" w:rsidP="00A658BB">
      <w:pPr>
        <w:pBdr>
          <w:top w:val="nil"/>
          <w:left w:val="nil"/>
          <w:bottom w:val="nil"/>
          <w:right w:val="nil"/>
          <w:between w:val="nil"/>
        </w:pBdr>
        <w:tabs>
          <w:tab w:val="left" w:pos="709"/>
          <w:tab w:val="left" w:pos="851"/>
          <w:tab w:val="left" w:pos="993"/>
        </w:tabs>
        <w:spacing w:after="0" w:line="360" w:lineRule="auto"/>
        <w:ind w:right="49" w:firstLine="540"/>
        <w:jc w:val="both"/>
        <w:rPr>
          <w:rFonts w:ascii="GHEA Grapalat" w:eastAsia="Times New Roman" w:hAnsi="GHEA Grapalat" w:cs="Calibri"/>
          <w:bCs/>
          <w:color w:val="000000"/>
          <w:sz w:val="24"/>
          <w:szCs w:val="24"/>
          <w:lang w:val="af-ZA" w:eastAsia="ru-RU"/>
        </w:rPr>
      </w:pPr>
      <w:r w:rsidRPr="00A658BB">
        <w:rPr>
          <w:rFonts w:ascii="GHEA Grapalat" w:eastAsia="Times New Roman" w:hAnsi="GHEA Grapalat" w:cs="Calibri"/>
          <w:bCs/>
          <w:color w:val="000000"/>
          <w:sz w:val="24"/>
          <w:szCs w:val="24"/>
          <w:lang w:val="af-ZA" w:eastAsia="ru-RU"/>
        </w:rPr>
        <w:t>Ըստ այդմ՝ Հակակոռուպցիոն բարեփոխումների ռազմավարությանը կից գործողությունների ծրագրի 1.14-րդ գործողությամբ նախատեսվել է բարձրացնել ԿԿՀ կողմից բարեվարքության վերաբերյալ եզրակացությունների հիման վրա նշանակում իրականացնող մարմնի հաշվետվողականությունը, իսկ 1.15-րդ գործողությամբ նախատեսվել է ԿԿՀ բարեվարքության եզրակացությունների եզրափակիչ մասի հրապարակայնության և պատճառաբանվածության սահմանում, որը հիմնականում առնչվում է դատավորների դատախազների և քննիչների գործունեությանը։</w:t>
      </w:r>
    </w:p>
    <w:p w:rsidR="00A658BB" w:rsidRPr="00A658BB" w:rsidRDefault="00A658BB" w:rsidP="00A658BB">
      <w:pPr>
        <w:pBdr>
          <w:top w:val="nil"/>
          <w:left w:val="nil"/>
          <w:bottom w:val="nil"/>
          <w:right w:val="nil"/>
          <w:between w:val="nil"/>
        </w:pBdr>
        <w:tabs>
          <w:tab w:val="left" w:pos="709"/>
          <w:tab w:val="left" w:pos="851"/>
          <w:tab w:val="left" w:pos="993"/>
        </w:tabs>
        <w:spacing w:after="0" w:line="360" w:lineRule="auto"/>
        <w:ind w:right="49" w:firstLine="540"/>
        <w:jc w:val="both"/>
        <w:rPr>
          <w:rFonts w:ascii="GHEA Grapalat" w:eastAsia="Times New Roman" w:hAnsi="GHEA Grapalat" w:cs="Calibri"/>
          <w:bCs/>
          <w:color w:val="000000"/>
          <w:sz w:val="24"/>
          <w:szCs w:val="24"/>
          <w:lang w:val="hy-AM" w:eastAsia="ru-RU"/>
        </w:rPr>
      </w:pPr>
      <w:r w:rsidRPr="00A658BB">
        <w:rPr>
          <w:rFonts w:ascii="GHEA Grapalat" w:eastAsia="Times New Roman" w:hAnsi="GHEA Grapalat" w:cs="Calibri"/>
          <w:bCs/>
          <w:color w:val="000000"/>
          <w:sz w:val="24"/>
          <w:szCs w:val="24"/>
          <w:lang w:val="hy-AM" w:eastAsia="ru-RU"/>
        </w:rPr>
        <w:t>Նշված հարցերին անդրադարձ է կատարվել միջազգային տարբեր կառույցների զեկույցներում և գնահատականներում: Այսպես՝</w:t>
      </w:r>
    </w:p>
    <w:p w:rsidR="00A658BB" w:rsidRPr="00A658BB" w:rsidRDefault="00A658BB" w:rsidP="00A658BB">
      <w:pPr>
        <w:numPr>
          <w:ilvl w:val="0"/>
          <w:numId w:val="2"/>
        </w:numPr>
        <w:pBdr>
          <w:top w:val="nil"/>
          <w:left w:val="nil"/>
          <w:bottom w:val="nil"/>
          <w:right w:val="nil"/>
          <w:between w:val="nil"/>
        </w:pBdr>
        <w:tabs>
          <w:tab w:val="left" w:pos="709"/>
          <w:tab w:val="left" w:pos="851"/>
          <w:tab w:val="left" w:pos="993"/>
        </w:tabs>
        <w:spacing w:after="0" w:line="360" w:lineRule="auto"/>
        <w:ind w:left="0" w:right="49" w:firstLine="540"/>
        <w:contextualSpacing/>
        <w:jc w:val="both"/>
        <w:rPr>
          <w:rFonts w:ascii="GHEA Grapalat" w:eastAsia="Times New Roman" w:hAnsi="GHEA Grapalat" w:cs="Calibri"/>
          <w:bCs/>
          <w:color w:val="000000"/>
          <w:sz w:val="24"/>
          <w:szCs w:val="24"/>
          <w:lang w:val="hy-AM" w:eastAsia="ru-RU"/>
        </w:rPr>
      </w:pPr>
      <w:r w:rsidRPr="00A658BB">
        <w:rPr>
          <w:rFonts w:ascii="GHEA Grapalat" w:eastAsia="Times New Roman" w:hAnsi="GHEA Grapalat" w:cs="Calibri"/>
          <w:bCs/>
          <w:color w:val="000000"/>
          <w:sz w:val="24"/>
          <w:szCs w:val="24"/>
          <w:lang w:val="hy-AM" w:eastAsia="ru-RU"/>
        </w:rPr>
        <w:t>Տնտեսական համագործակցության և զարգացման կազմակերպության (ՏՀԶԿ) Հայաստանի վերաբերյալ 5-րդ փուլի գնահատման զեկույցում</w:t>
      </w:r>
      <w:r w:rsidRPr="00A658BB">
        <w:rPr>
          <w:rFonts w:ascii="GHEA Grapalat" w:eastAsia="Times New Roman" w:hAnsi="GHEA Grapalat" w:cs="Calibri"/>
          <w:bCs/>
          <w:color w:val="000000"/>
          <w:sz w:val="24"/>
          <w:szCs w:val="24"/>
          <w:vertAlign w:val="superscript"/>
          <w:lang w:val="hy-AM" w:eastAsia="ru-RU"/>
        </w:rPr>
        <w:footnoteReference w:id="1"/>
      </w:r>
      <w:r w:rsidRPr="00A658BB">
        <w:rPr>
          <w:rFonts w:ascii="GHEA Grapalat" w:eastAsia="Times New Roman" w:hAnsi="GHEA Grapalat" w:cs="Calibri"/>
          <w:bCs/>
          <w:color w:val="000000"/>
          <w:sz w:val="24"/>
          <w:szCs w:val="24"/>
          <w:lang w:val="hy-AM" w:eastAsia="ru-RU"/>
        </w:rPr>
        <w:t xml:space="preserve">  ՏՀԶԿ գնահատող թիմը, անդրադառնալով բարեվարքության վերաբերյալ եզրակացությունների դերին, գտել է, որ այդ եզրակացությունները պետք է ավելի մեծ ազդեցություն ունենան դատավորների ընտրության վերաբերյալ որոշումների կայացման հարցում։ ՏՀԶԿ-ն նշված խնդրահարույց հանգամանքների մասին նշել է նաև դատավորների առաջխաղացման, դատարանների նախագահների </w:t>
      </w:r>
      <w:r w:rsidRPr="00A658BB">
        <w:rPr>
          <w:rFonts w:ascii="GHEA Grapalat" w:eastAsia="Times New Roman" w:hAnsi="GHEA Grapalat" w:cs="Calibri"/>
          <w:bCs/>
          <w:color w:val="000000"/>
          <w:sz w:val="24"/>
          <w:szCs w:val="24"/>
          <w:lang w:val="hy-AM" w:eastAsia="ru-RU"/>
        </w:rPr>
        <w:lastRenderedPageBreak/>
        <w:t>ընտրության գործընթացների վերաբերյալ։  Առաջարկվել է, որ պաշտոնատար անձանց նշանակման գործընթացները լինեն թափանցիկ՝ ամրապնդելով հանրային վստահությունը տվյալ գործընթացների նկատմամբ: Միաժամանակ, կարևորվել է բացասական բարեվարքության եզրակացություն ունեցող թեկնածուների նշանակելու դեպքում հիմնավոր պատճառաբանվածության առկայությունը, թե ինչու է կատարվում նմանատիպ ընտրություն:</w:t>
      </w:r>
    </w:p>
    <w:p w:rsidR="00A658BB" w:rsidRPr="00A658BB" w:rsidRDefault="00A658BB" w:rsidP="00A658BB">
      <w:pPr>
        <w:numPr>
          <w:ilvl w:val="0"/>
          <w:numId w:val="2"/>
        </w:numPr>
        <w:pBdr>
          <w:top w:val="nil"/>
          <w:left w:val="nil"/>
          <w:bottom w:val="nil"/>
          <w:right w:val="nil"/>
          <w:between w:val="nil"/>
        </w:pBdr>
        <w:tabs>
          <w:tab w:val="left" w:pos="709"/>
          <w:tab w:val="left" w:pos="851"/>
          <w:tab w:val="left" w:pos="993"/>
        </w:tabs>
        <w:spacing w:after="0" w:line="360" w:lineRule="auto"/>
        <w:ind w:left="0" w:right="49" w:firstLine="540"/>
        <w:contextualSpacing/>
        <w:jc w:val="both"/>
        <w:rPr>
          <w:rFonts w:ascii="GHEA Grapalat" w:eastAsia="Times New Roman" w:hAnsi="GHEA Grapalat" w:cs="Calibri"/>
          <w:bCs/>
          <w:color w:val="000000"/>
          <w:sz w:val="24"/>
          <w:szCs w:val="24"/>
          <w:lang w:val="hy-AM" w:eastAsia="ru-RU"/>
        </w:rPr>
      </w:pPr>
      <w:r w:rsidRPr="00A658BB">
        <w:rPr>
          <w:rFonts w:ascii="GHEA Grapalat" w:eastAsia="Times New Roman" w:hAnsi="GHEA Grapalat" w:cs="Calibri"/>
          <w:bCs/>
          <w:color w:val="000000"/>
          <w:sz w:val="24"/>
          <w:szCs w:val="24"/>
          <w:lang w:val="hy-AM" w:eastAsia="ru-RU"/>
        </w:rPr>
        <w:t>«ԱՄՆ Պետքարտուղարության Հայաստանում 2023թ</w:t>
      </w:r>
      <w:r w:rsidRPr="00A658BB">
        <w:rPr>
          <w:rFonts w:ascii="Cambria Math" w:eastAsia="Times New Roman" w:hAnsi="Cambria Math" w:cs="Cambria Math"/>
          <w:bCs/>
          <w:color w:val="000000"/>
          <w:sz w:val="24"/>
          <w:szCs w:val="24"/>
          <w:lang w:val="hy-AM" w:eastAsia="ru-RU"/>
        </w:rPr>
        <w:t>․</w:t>
      </w:r>
      <w:r w:rsidRPr="00A658BB">
        <w:rPr>
          <w:rFonts w:ascii="GHEA Grapalat" w:eastAsia="Times New Roman" w:hAnsi="GHEA Grapalat" w:cs="Calibri"/>
          <w:bCs/>
          <w:color w:val="000000"/>
          <w:sz w:val="24"/>
          <w:szCs w:val="24"/>
          <w:lang w:val="hy-AM" w:eastAsia="ru-RU"/>
        </w:rPr>
        <w:t xml:space="preserve"> մարդու իրավունքների վիճակի վերաբերյալ զեկույցում»</w:t>
      </w:r>
      <w:r w:rsidRPr="00A658BB">
        <w:rPr>
          <w:rFonts w:ascii="GHEA Grapalat" w:eastAsia="Times New Roman" w:hAnsi="GHEA Grapalat" w:cs="Calibri"/>
          <w:sz w:val="24"/>
          <w:szCs w:val="24"/>
          <w:vertAlign w:val="superscript"/>
          <w:lang w:val="hy-AM" w:eastAsia="ja-JP"/>
        </w:rPr>
        <w:footnoteReference w:id="2"/>
      </w:r>
      <w:r w:rsidRPr="00A658BB">
        <w:rPr>
          <w:rFonts w:ascii="GHEA Grapalat" w:eastAsia="Times New Roman" w:hAnsi="GHEA Grapalat" w:cs="Calibri"/>
          <w:bCs/>
          <w:color w:val="000000"/>
          <w:sz w:val="24"/>
          <w:szCs w:val="24"/>
          <w:lang w:val="hy-AM" w:eastAsia="ru-RU"/>
        </w:rPr>
        <w:t xml:space="preserve"> նշվել է, որ ԿԿՀ-ի կողմից կատարվող բարեվարքության վերաբերյալ եզրակացությունները հրապարակային չեն և ԲԴԽ-ն հաճախ հաշվի չի առնում դրանք դատավորների նշանակման գործընթացում, անգամ քաղաքական կողմնորոշում ունենալու կամ չհիմնավորվող գույքի առկայության պարագայում։ </w:t>
      </w:r>
    </w:p>
    <w:p w:rsidR="00A658BB" w:rsidRPr="00A658BB" w:rsidRDefault="00A658BB" w:rsidP="00A658BB">
      <w:pPr>
        <w:numPr>
          <w:ilvl w:val="0"/>
          <w:numId w:val="2"/>
        </w:numPr>
        <w:pBdr>
          <w:top w:val="nil"/>
          <w:left w:val="nil"/>
          <w:bottom w:val="nil"/>
          <w:right w:val="nil"/>
          <w:between w:val="nil"/>
        </w:pBdr>
        <w:tabs>
          <w:tab w:val="left" w:pos="709"/>
          <w:tab w:val="left" w:pos="851"/>
          <w:tab w:val="left" w:pos="993"/>
        </w:tabs>
        <w:spacing w:after="0" w:line="360" w:lineRule="auto"/>
        <w:ind w:left="0" w:right="49" w:firstLine="540"/>
        <w:contextualSpacing/>
        <w:jc w:val="both"/>
        <w:rPr>
          <w:rFonts w:ascii="GHEA Grapalat" w:eastAsia="Times New Roman" w:hAnsi="GHEA Grapalat" w:cs="Calibri"/>
          <w:bCs/>
          <w:color w:val="000000"/>
          <w:sz w:val="24"/>
          <w:szCs w:val="24"/>
          <w:lang w:val="hy-AM" w:eastAsia="ru-RU"/>
        </w:rPr>
      </w:pPr>
      <w:r w:rsidRPr="00A658BB">
        <w:rPr>
          <w:rFonts w:ascii="GHEA Grapalat" w:eastAsia="Times New Roman" w:hAnsi="GHEA Grapalat" w:cs="Calibri"/>
          <w:bCs/>
          <w:color w:val="000000"/>
          <w:sz w:val="24"/>
          <w:szCs w:val="24"/>
          <w:lang w:val="hy-AM" w:eastAsia="ru-RU"/>
        </w:rPr>
        <w:t>Վենետիկի հանձնաժողովը</w:t>
      </w:r>
      <w:r w:rsidRPr="00A658BB">
        <w:rPr>
          <w:rFonts w:ascii="GHEA Grapalat" w:eastAsia="Times New Roman" w:hAnsi="GHEA Grapalat" w:cs="Arial"/>
          <w:sz w:val="24"/>
          <w:szCs w:val="24"/>
          <w:vertAlign w:val="superscript"/>
          <w:lang w:val="hy-AM" w:eastAsia="ja-JP"/>
        </w:rPr>
        <w:footnoteReference w:id="3"/>
      </w:r>
      <w:r w:rsidRPr="00A658BB">
        <w:rPr>
          <w:rFonts w:ascii="GHEA Grapalat" w:eastAsia="Times New Roman" w:hAnsi="GHEA Grapalat" w:cs="Calibri"/>
          <w:bCs/>
          <w:color w:val="000000"/>
          <w:sz w:val="24"/>
          <w:szCs w:val="24"/>
          <w:lang w:val="hy-AM" w:eastAsia="ru-RU"/>
        </w:rPr>
        <w:t xml:space="preserve"> , թեև չի գնահատել Հայաստանում դատավորների թեկնածուների բարեվարքության ստուգման համակարգը, սակայն անդրադարձել է դատավորների ընտրության գործընթացին ընդհանուր առմամբ։ Մասնավորապես, գնահատելով Դատական օրենսգրքի նախագծային տարբերակը, Վենետիկի հանձնաժողովը խնդրահարույց է համարել այն հանգամանքը, որ ԲԴԽ-ն պարտավորված չէ պատճառաբանելու իր որոշումները և բացատրելու հարցազրույցի արդյունքում քվեարկության արդյունքները։ </w:t>
      </w:r>
    </w:p>
    <w:p w:rsidR="00A658BB" w:rsidRPr="00A658BB" w:rsidRDefault="00A658BB" w:rsidP="00A658BB">
      <w:pPr>
        <w:pBdr>
          <w:top w:val="nil"/>
          <w:left w:val="nil"/>
          <w:bottom w:val="nil"/>
          <w:right w:val="nil"/>
          <w:between w:val="nil"/>
        </w:pBdr>
        <w:tabs>
          <w:tab w:val="left" w:pos="709"/>
          <w:tab w:val="left" w:pos="851"/>
          <w:tab w:val="left" w:pos="993"/>
        </w:tabs>
        <w:spacing w:after="0" w:line="360" w:lineRule="auto"/>
        <w:ind w:right="49" w:firstLine="540"/>
        <w:jc w:val="both"/>
        <w:rPr>
          <w:rFonts w:ascii="GHEA Grapalat" w:eastAsia="Times New Roman" w:hAnsi="GHEA Grapalat" w:cs="Calibri"/>
          <w:bCs/>
          <w:color w:val="000000"/>
          <w:sz w:val="24"/>
          <w:szCs w:val="24"/>
          <w:lang w:val="hy-AM" w:eastAsia="ru-RU"/>
        </w:rPr>
      </w:pPr>
      <w:r w:rsidRPr="00A658BB">
        <w:rPr>
          <w:rFonts w:ascii="GHEA Grapalat" w:eastAsia="Times New Roman" w:hAnsi="GHEA Grapalat" w:cs="Calibri"/>
          <w:bCs/>
          <w:color w:val="000000"/>
          <w:sz w:val="24"/>
          <w:szCs w:val="24"/>
          <w:lang w:val="hy-AM" w:eastAsia="ru-RU"/>
        </w:rPr>
        <w:t xml:space="preserve">Փաստացի միջազգային կազմակերպությունները ուղղակիորեն կոչ չեն անում սահմանելու բարեվարքության վերաբերյալ եզրակացությունների կամ դրանց եզրափակիչ մասերի հրապարակայնություն։ Սակայն վերջիններս մատնանշում են դատավորների ընտրության գործընթացում բարեվարքության վերաբերյալ եզրակացության առավել վճռորոշ դերի անհրաժեշտության մասին, ինչին մեծապես կօժանդակի վերջինիս հրապարակայնության պահանջի սահմանումը։ Չնայած նշված զեկույցները անդրադառնում են դատավորների </w:t>
      </w:r>
      <w:r w:rsidRPr="00A658BB">
        <w:rPr>
          <w:rFonts w:ascii="GHEA Grapalat" w:eastAsia="Times New Roman" w:hAnsi="GHEA Grapalat" w:cs="Calibri"/>
          <w:bCs/>
          <w:color w:val="000000"/>
          <w:sz w:val="24"/>
          <w:szCs w:val="24"/>
          <w:lang w:val="hy-AM" w:eastAsia="ru-RU"/>
        </w:rPr>
        <w:lastRenderedPageBreak/>
        <w:t>ընտրության հարցին, սակայն նույն չափանիշները, ըստ էության, կիրառելի են ողջ դատաիրավական համակարգի, այդ թվում նաև՝ դատախազների և քննիչների նկատմամբ:</w:t>
      </w:r>
    </w:p>
    <w:p w:rsidR="00A658BB" w:rsidRPr="00A658BB" w:rsidRDefault="00A658BB" w:rsidP="00A658BB">
      <w:pPr>
        <w:pBdr>
          <w:top w:val="nil"/>
          <w:left w:val="nil"/>
          <w:bottom w:val="nil"/>
          <w:right w:val="nil"/>
          <w:between w:val="nil"/>
        </w:pBdr>
        <w:tabs>
          <w:tab w:val="left" w:pos="709"/>
          <w:tab w:val="left" w:pos="851"/>
          <w:tab w:val="left" w:pos="993"/>
        </w:tabs>
        <w:spacing w:after="0" w:line="360" w:lineRule="auto"/>
        <w:ind w:right="49" w:firstLine="540"/>
        <w:jc w:val="both"/>
        <w:rPr>
          <w:rFonts w:ascii="GHEA Grapalat" w:eastAsia="Times New Roman" w:hAnsi="GHEA Grapalat" w:cs="Calibri"/>
          <w:sz w:val="24"/>
          <w:szCs w:val="24"/>
          <w:lang w:val="hy-AM" w:eastAsia="ja-JP"/>
        </w:rPr>
      </w:pPr>
      <w:r w:rsidRPr="00A658BB">
        <w:rPr>
          <w:rFonts w:ascii="GHEA Grapalat" w:eastAsia="Times New Roman" w:hAnsi="GHEA Grapalat" w:cs="Calibri"/>
          <w:sz w:val="24"/>
          <w:szCs w:val="24"/>
          <w:lang w:val="hy-AM" w:eastAsia="ja-JP"/>
        </w:rPr>
        <w:t>Բարեվարքության վերաբերյալ եզրակացությունների հրապարակայնության անհրաժեշտության մասին բարձրաձայնում են քաղաքացիական հասարակության կազմակերպությունները՝ դատավորների ընտրության գործընթացի թափանցիկության և հաշվետվողականության տեսանկյունից</w:t>
      </w:r>
      <w:r w:rsidRPr="00A658BB">
        <w:rPr>
          <w:rFonts w:ascii="GHEA Grapalat" w:eastAsia="Times New Roman" w:hAnsi="GHEA Grapalat" w:cs="Calibri"/>
          <w:sz w:val="24"/>
          <w:szCs w:val="24"/>
          <w:vertAlign w:val="superscript"/>
          <w:lang w:val="hy-AM" w:eastAsia="ja-JP"/>
        </w:rPr>
        <w:footnoteReference w:id="4"/>
      </w:r>
      <w:r w:rsidRPr="00A658BB">
        <w:rPr>
          <w:rFonts w:ascii="GHEA Grapalat" w:eastAsia="Times New Roman" w:hAnsi="GHEA Grapalat" w:cs="Calibri"/>
          <w:sz w:val="24"/>
          <w:szCs w:val="24"/>
          <w:lang w:val="hy-AM" w:eastAsia="ja-JP"/>
        </w:rPr>
        <w:t>։</w:t>
      </w:r>
    </w:p>
    <w:p w:rsidR="00A658BB" w:rsidRPr="00A658BB" w:rsidRDefault="00A658BB" w:rsidP="00A658BB">
      <w:pPr>
        <w:pBdr>
          <w:top w:val="nil"/>
          <w:left w:val="nil"/>
          <w:bottom w:val="nil"/>
          <w:right w:val="nil"/>
          <w:between w:val="nil"/>
        </w:pBdr>
        <w:tabs>
          <w:tab w:val="left" w:pos="709"/>
          <w:tab w:val="left" w:pos="851"/>
          <w:tab w:val="left" w:pos="993"/>
        </w:tabs>
        <w:spacing w:after="0" w:line="360" w:lineRule="auto"/>
        <w:ind w:right="49" w:firstLine="540"/>
        <w:jc w:val="both"/>
        <w:rPr>
          <w:rFonts w:ascii="GHEA Grapalat" w:eastAsia="Times New Roman" w:hAnsi="GHEA Grapalat" w:cs="Calibri"/>
          <w:sz w:val="24"/>
          <w:szCs w:val="24"/>
          <w:lang w:val="hy-AM" w:eastAsia="ja-JP"/>
        </w:rPr>
      </w:pPr>
      <w:r w:rsidRPr="00A658BB">
        <w:rPr>
          <w:rFonts w:ascii="GHEA Grapalat" w:eastAsia="Times New Roman" w:hAnsi="GHEA Grapalat" w:cs="Calibri"/>
          <w:sz w:val="24"/>
          <w:szCs w:val="24"/>
          <w:lang w:val="hy-AM" w:eastAsia="ja-JP"/>
        </w:rPr>
        <w:t>Ըստ այդմ՝ անհրաժեշտություն է առաջանում ապահովել բարեվարքության գնահատման մեխանիզմների հրապարակայնությունը՝ միաժամանակ հավասարակշռելով գնահատում անցնողների անձնական տվյալների և հեղինակության պաշտպանության անհրաժեշտությունը և դատական, դատախազական և քննչական մարմինների նկատմամբ արդյունավետ հանրային վերահսկողության իրականացնելու կարևորությունը։</w:t>
      </w:r>
    </w:p>
    <w:p w:rsidR="00A658BB" w:rsidRPr="00A658BB" w:rsidRDefault="00A658BB" w:rsidP="00A658BB">
      <w:pPr>
        <w:pBdr>
          <w:top w:val="nil"/>
          <w:left w:val="nil"/>
          <w:bottom w:val="nil"/>
          <w:right w:val="nil"/>
          <w:between w:val="nil"/>
        </w:pBdr>
        <w:tabs>
          <w:tab w:val="left" w:pos="709"/>
          <w:tab w:val="left" w:pos="851"/>
          <w:tab w:val="left" w:pos="993"/>
        </w:tabs>
        <w:spacing w:after="0" w:line="360" w:lineRule="auto"/>
        <w:ind w:right="49" w:firstLine="540"/>
        <w:jc w:val="both"/>
        <w:rPr>
          <w:rFonts w:ascii="GHEA Grapalat" w:eastAsia="Times New Roman" w:hAnsi="GHEA Grapalat" w:cs="Calibri"/>
          <w:bCs/>
          <w:color w:val="000000"/>
          <w:sz w:val="24"/>
          <w:szCs w:val="24"/>
          <w:lang w:val="hy-AM" w:eastAsia="ru-RU"/>
        </w:rPr>
      </w:pPr>
      <w:r w:rsidRPr="00A658BB">
        <w:rPr>
          <w:rFonts w:ascii="GHEA Grapalat" w:eastAsia="Times New Roman" w:hAnsi="GHEA Grapalat" w:cs="Calibri"/>
          <w:bCs/>
          <w:color w:val="000000"/>
          <w:sz w:val="24"/>
          <w:szCs w:val="24"/>
          <w:lang w:val="hy-AM" w:eastAsia="ru-RU"/>
        </w:rPr>
        <w:t>Ամբողջ վերոգրյալը ցույց է տալիս բարեվարքության ուսումնասիրության համակարգի կատարելագործման անհրաժեշտությունը:</w:t>
      </w:r>
    </w:p>
    <w:p w:rsidR="00A658BB" w:rsidRPr="00A658BB" w:rsidRDefault="00A658BB" w:rsidP="00A658BB">
      <w:pPr>
        <w:pBdr>
          <w:top w:val="nil"/>
          <w:left w:val="nil"/>
          <w:bottom w:val="nil"/>
          <w:right w:val="nil"/>
          <w:between w:val="nil"/>
        </w:pBdr>
        <w:tabs>
          <w:tab w:val="left" w:pos="709"/>
          <w:tab w:val="left" w:pos="851"/>
          <w:tab w:val="left" w:pos="993"/>
        </w:tabs>
        <w:spacing w:after="0" w:line="360" w:lineRule="auto"/>
        <w:ind w:right="49" w:firstLine="540"/>
        <w:jc w:val="both"/>
        <w:rPr>
          <w:rFonts w:ascii="GHEA Grapalat" w:eastAsia="Times New Roman" w:hAnsi="GHEA Grapalat" w:cs="Calibri"/>
          <w:sz w:val="24"/>
          <w:szCs w:val="24"/>
          <w:lang w:val="hy-AM" w:eastAsia="ja-JP"/>
        </w:rPr>
      </w:pPr>
      <w:r w:rsidRPr="00A658BB">
        <w:rPr>
          <w:rFonts w:ascii="GHEA Grapalat" w:eastAsia="Times New Roman" w:hAnsi="GHEA Grapalat" w:cs="Calibri"/>
          <w:sz w:val="24"/>
          <w:szCs w:val="24"/>
          <w:lang w:val="hy-AM" w:eastAsia="ja-JP"/>
        </w:rPr>
        <w:t>Խնդրի շուրջ արդյունավետ լուծումներ ներկայացնելու նպատակով, նախևառաջ, անհրաժեշտ է անդրադառնալ դրանց վերաբերելի միջազգային չափանիշներին և այն հիմնական սկզբունքներին, որոնք պետք է հաշվի առնել հնարավոր լուծման եղանակները դիտարկելիս: Այսպես՝</w:t>
      </w:r>
    </w:p>
    <w:p w:rsidR="00A658BB" w:rsidRPr="00A658BB" w:rsidRDefault="00A658BB" w:rsidP="00A658BB">
      <w:pPr>
        <w:numPr>
          <w:ilvl w:val="0"/>
          <w:numId w:val="2"/>
        </w:numPr>
        <w:pBdr>
          <w:top w:val="nil"/>
          <w:left w:val="nil"/>
          <w:bottom w:val="nil"/>
          <w:right w:val="nil"/>
          <w:between w:val="nil"/>
        </w:pBdr>
        <w:tabs>
          <w:tab w:val="left" w:pos="709"/>
          <w:tab w:val="left" w:pos="851"/>
          <w:tab w:val="left" w:pos="993"/>
        </w:tabs>
        <w:spacing w:after="0" w:line="360" w:lineRule="auto"/>
        <w:ind w:left="0" w:right="49" w:firstLine="540"/>
        <w:contextualSpacing/>
        <w:jc w:val="both"/>
        <w:rPr>
          <w:rFonts w:ascii="GHEA Grapalat" w:eastAsia="Times New Roman" w:hAnsi="GHEA Grapalat" w:cs="Calibri"/>
          <w:sz w:val="24"/>
          <w:szCs w:val="24"/>
          <w:lang w:val="hy-AM" w:eastAsia="ja-JP"/>
        </w:rPr>
      </w:pPr>
      <w:r w:rsidRPr="00A658BB">
        <w:rPr>
          <w:rFonts w:ascii="GHEA Grapalat" w:eastAsia="Times New Roman" w:hAnsi="GHEA Grapalat" w:cs="Calibri"/>
          <w:bCs/>
          <w:color w:val="000000"/>
          <w:sz w:val="24"/>
          <w:szCs w:val="24"/>
          <w:lang w:val="hy-AM" w:eastAsia="ru-RU"/>
        </w:rPr>
        <w:t xml:space="preserve">Յուրաքանչյուր մոդելի ընտրության դեպքում անհրաժեշտ է դիտարկել դրա անհրաժեշտությունը Հայաստանում կոռուպցիայի դեմ պայքարի և դատաիրավական համակարգի բարեփոխման անհրաժեշտության համատեքստում ՝ հաշվի առնելով երկրում </w:t>
      </w:r>
      <w:r w:rsidRPr="00A658BB">
        <w:rPr>
          <w:rFonts w:ascii="GHEA Grapalat" w:eastAsia="Times New Roman" w:hAnsi="GHEA Grapalat" w:cs="Calibri"/>
          <w:bCs/>
          <w:color w:val="000000"/>
          <w:sz w:val="24"/>
          <w:szCs w:val="24"/>
          <w:lang w:val="hy-AM" w:eastAsia="ru-RU"/>
        </w:rPr>
        <w:lastRenderedPageBreak/>
        <w:t>կոռուպցիայի և բարեվարքության համակարգի մակարդակը, ինչպես նաև կոռուպցիայի դեմ պայքարի արդեն իսկ առկա գործիքակազմերը։</w:t>
      </w:r>
    </w:p>
    <w:p w:rsidR="00A658BB" w:rsidRPr="00A658BB" w:rsidRDefault="00A658BB" w:rsidP="00A658BB">
      <w:pPr>
        <w:numPr>
          <w:ilvl w:val="0"/>
          <w:numId w:val="2"/>
        </w:numPr>
        <w:pBdr>
          <w:top w:val="nil"/>
          <w:left w:val="nil"/>
          <w:bottom w:val="nil"/>
          <w:right w:val="nil"/>
          <w:between w:val="nil"/>
        </w:pBdr>
        <w:tabs>
          <w:tab w:val="left" w:pos="709"/>
          <w:tab w:val="left" w:pos="851"/>
          <w:tab w:val="left" w:pos="993"/>
        </w:tabs>
        <w:spacing w:after="0" w:line="360" w:lineRule="auto"/>
        <w:ind w:left="0" w:right="49" w:firstLine="540"/>
        <w:contextualSpacing/>
        <w:jc w:val="both"/>
        <w:rPr>
          <w:rFonts w:ascii="GHEA Grapalat" w:eastAsia="Times New Roman" w:hAnsi="GHEA Grapalat" w:cs="Calibri"/>
          <w:sz w:val="24"/>
          <w:szCs w:val="24"/>
          <w:lang w:val="hy-AM" w:eastAsia="ja-JP"/>
        </w:rPr>
      </w:pPr>
      <w:r w:rsidRPr="00A658BB">
        <w:rPr>
          <w:rFonts w:ascii="GHEA Grapalat" w:eastAsia="Times New Roman" w:hAnsi="GHEA Grapalat" w:cs="Calibri"/>
          <w:bCs/>
          <w:color w:val="000000"/>
          <w:sz w:val="24"/>
          <w:szCs w:val="24"/>
          <w:lang w:val="hy-AM" w:eastAsia="ru-RU"/>
        </w:rPr>
        <w:t xml:space="preserve">Լուծումները ներդնելիս անհրաժեշտ է հաշվի առնել  Մարդու իրավունքների եվրոպական կոնվենցիայի և Սահմանադրությամբ ամրագրված հիմնարար իրավունքները։ </w:t>
      </w:r>
    </w:p>
    <w:p w:rsidR="00A658BB" w:rsidRPr="00A658BB" w:rsidRDefault="00A658BB" w:rsidP="00A658BB">
      <w:pPr>
        <w:numPr>
          <w:ilvl w:val="0"/>
          <w:numId w:val="2"/>
        </w:numPr>
        <w:pBdr>
          <w:top w:val="nil"/>
          <w:left w:val="nil"/>
          <w:bottom w:val="nil"/>
          <w:right w:val="nil"/>
          <w:between w:val="nil"/>
        </w:pBdr>
        <w:tabs>
          <w:tab w:val="left" w:pos="709"/>
          <w:tab w:val="left" w:pos="851"/>
          <w:tab w:val="left" w:pos="993"/>
        </w:tabs>
        <w:spacing w:after="0" w:line="360" w:lineRule="auto"/>
        <w:ind w:left="0" w:right="49" w:firstLine="540"/>
        <w:contextualSpacing/>
        <w:jc w:val="both"/>
        <w:rPr>
          <w:rFonts w:ascii="GHEA Grapalat" w:eastAsia="Times New Roman" w:hAnsi="GHEA Grapalat" w:cs="Calibri"/>
          <w:sz w:val="24"/>
          <w:szCs w:val="24"/>
          <w:lang w:val="hy-AM" w:eastAsia="ja-JP"/>
        </w:rPr>
      </w:pPr>
      <w:r w:rsidRPr="00A658BB">
        <w:rPr>
          <w:rFonts w:ascii="GHEA Grapalat" w:eastAsia="Times New Roman" w:hAnsi="GHEA Grapalat" w:cs="Calibri"/>
          <w:sz w:val="24"/>
          <w:szCs w:val="24"/>
          <w:lang w:val="hy-AM" w:eastAsia="ja-JP"/>
        </w:rPr>
        <w:t>Ստուգվող անձինք պետք է օժտված լինեն ՄԻԵԿ 6-րդ հոդվածով սահմանված բավարար ընթացակարգային երաշխիքներով իրենց տեսակետը պաշտպանելու և հավասար կերպով ներկայացնելու համար:</w:t>
      </w:r>
    </w:p>
    <w:p w:rsidR="00A658BB" w:rsidRPr="00A658BB" w:rsidRDefault="00A658BB" w:rsidP="00A658BB">
      <w:pPr>
        <w:numPr>
          <w:ilvl w:val="0"/>
          <w:numId w:val="2"/>
        </w:numPr>
        <w:pBdr>
          <w:top w:val="nil"/>
          <w:left w:val="nil"/>
          <w:bottom w:val="nil"/>
          <w:right w:val="nil"/>
          <w:between w:val="nil"/>
        </w:pBdr>
        <w:tabs>
          <w:tab w:val="left" w:pos="709"/>
          <w:tab w:val="left" w:pos="851"/>
          <w:tab w:val="left" w:pos="993"/>
        </w:tabs>
        <w:spacing w:after="0" w:line="360" w:lineRule="auto"/>
        <w:ind w:left="0" w:right="49" w:firstLine="540"/>
        <w:contextualSpacing/>
        <w:jc w:val="both"/>
        <w:rPr>
          <w:rFonts w:ascii="GHEA Grapalat" w:eastAsia="Times New Roman" w:hAnsi="GHEA Grapalat" w:cs="Calibri"/>
          <w:sz w:val="24"/>
          <w:szCs w:val="24"/>
          <w:lang w:val="hy-AM" w:eastAsia="ja-JP"/>
        </w:rPr>
      </w:pPr>
      <w:r w:rsidRPr="00A658BB">
        <w:rPr>
          <w:rFonts w:ascii="GHEA Grapalat" w:eastAsia="Times New Roman" w:hAnsi="GHEA Grapalat" w:cs="Calibri"/>
          <w:sz w:val="24"/>
          <w:szCs w:val="24"/>
          <w:lang w:val="hy-AM" w:eastAsia="ja-JP"/>
        </w:rPr>
        <w:t xml:space="preserve">Բարեվարքության վերաբերյալ եզրակացությունները հրապարակելու հարցը լուծելիս պետք է հաշվի առնել մարդու անձնական կյանքի գաղտնիության իրավունքը, որը ենթադրում է խիստ անձնական տվյալների և, հատկապես, երրորդ անձանց վերաբերյալ տվյալների սահմանափակում: </w:t>
      </w:r>
      <w:r w:rsidRPr="00A658BB">
        <w:rPr>
          <w:rFonts w:ascii="GHEA Grapalat" w:eastAsia="Times New Roman" w:hAnsi="GHEA Grapalat" w:cs="Times New Roman"/>
          <w:sz w:val="24"/>
          <w:szCs w:val="24"/>
          <w:lang w:val="hy-AM" w:eastAsia="ru-RU"/>
        </w:rPr>
        <w:t>Վենետիկի հանձնաժողովը «Բարեվարքության ստուգման» Ուկրաինայի օրենքի վերաբերյալ իր դեռևս 2015 թվականի միջանկյալ կարծիքում ողջունել է այն հանգամանքը, որ բարեվարքության ստուգման սկզբունքներում ամրագրված է բարեվարքության ստուգման ընթացքում հավաքագրված տեղեկատվության չբացահայտման և անձնական բնույթի տեղեկատվության գաղտնիության պահպանման սկզբունքները</w:t>
      </w:r>
      <w:r w:rsidRPr="00A658BB">
        <w:rPr>
          <w:rFonts w:ascii="GHEA Grapalat" w:eastAsia="Times New Roman" w:hAnsi="GHEA Grapalat" w:cs="Times New Roman"/>
          <w:sz w:val="24"/>
          <w:szCs w:val="24"/>
          <w:vertAlign w:val="superscript"/>
          <w:lang w:val="hy-AM" w:eastAsia="ru-RU"/>
        </w:rPr>
        <w:footnoteReference w:id="5"/>
      </w:r>
      <w:r w:rsidRPr="00A658BB">
        <w:rPr>
          <w:rFonts w:ascii="GHEA Grapalat" w:eastAsia="Times New Roman" w:hAnsi="GHEA Grapalat" w:cs="Times New Roman"/>
          <w:sz w:val="24"/>
          <w:szCs w:val="24"/>
          <w:lang w:val="hy-AM" w:eastAsia="ru-RU"/>
        </w:rPr>
        <w:t>:</w:t>
      </w:r>
    </w:p>
    <w:p w:rsidR="00A658BB" w:rsidRPr="00A658BB" w:rsidRDefault="00A658BB" w:rsidP="00A658BB">
      <w:pPr>
        <w:numPr>
          <w:ilvl w:val="0"/>
          <w:numId w:val="2"/>
        </w:numPr>
        <w:pBdr>
          <w:top w:val="nil"/>
          <w:left w:val="nil"/>
          <w:bottom w:val="nil"/>
          <w:right w:val="nil"/>
          <w:between w:val="nil"/>
        </w:pBdr>
        <w:tabs>
          <w:tab w:val="left" w:pos="709"/>
          <w:tab w:val="left" w:pos="851"/>
          <w:tab w:val="left" w:pos="993"/>
        </w:tabs>
        <w:spacing w:after="0" w:line="360" w:lineRule="auto"/>
        <w:ind w:left="0" w:right="49" w:firstLine="540"/>
        <w:contextualSpacing/>
        <w:jc w:val="both"/>
        <w:rPr>
          <w:rFonts w:ascii="GHEA Grapalat" w:eastAsia="Times New Roman" w:hAnsi="GHEA Grapalat" w:cs="Calibri"/>
          <w:sz w:val="24"/>
          <w:szCs w:val="24"/>
          <w:lang w:val="hy-AM" w:eastAsia="ja-JP"/>
        </w:rPr>
      </w:pPr>
      <w:r w:rsidRPr="00A658BB">
        <w:rPr>
          <w:rFonts w:ascii="GHEA Grapalat" w:eastAsia="Times New Roman" w:hAnsi="GHEA Grapalat" w:cs="Calibri"/>
          <w:sz w:val="24"/>
          <w:szCs w:val="24"/>
          <w:lang w:val="hy-AM" w:eastAsia="ja-JP"/>
        </w:rPr>
        <w:t>Պատճառաբանված և մանրամասն փաստահեն բարեվարքության ուսումնասիրության եզրակացությունը կարևոր է իրավական որոշակիության և արդյունավետ բողոքարկման հնարավորությունից օգտվելու համար</w:t>
      </w:r>
    </w:p>
    <w:p w:rsidR="00A658BB" w:rsidRPr="00A658BB" w:rsidRDefault="00A658BB" w:rsidP="00A658BB">
      <w:pPr>
        <w:numPr>
          <w:ilvl w:val="0"/>
          <w:numId w:val="2"/>
        </w:numPr>
        <w:pBdr>
          <w:top w:val="nil"/>
          <w:left w:val="nil"/>
          <w:bottom w:val="nil"/>
          <w:right w:val="nil"/>
          <w:between w:val="nil"/>
        </w:pBdr>
        <w:tabs>
          <w:tab w:val="left" w:pos="709"/>
          <w:tab w:val="left" w:pos="851"/>
          <w:tab w:val="left" w:pos="993"/>
        </w:tabs>
        <w:spacing w:after="0" w:line="360" w:lineRule="auto"/>
        <w:ind w:left="0" w:right="49" w:firstLine="540"/>
        <w:contextualSpacing/>
        <w:jc w:val="both"/>
        <w:rPr>
          <w:rFonts w:ascii="GHEA Grapalat" w:eastAsia="Times New Roman" w:hAnsi="GHEA Grapalat" w:cs="Calibri"/>
          <w:sz w:val="24"/>
          <w:szCs w:val="24"/>
          <w:lang w:val="hy-AM" w:eastAsia="ja-JP"/>
        </w:rPr>
      </w:pPr>
      <w:r w:rsidRPr="00A658BB">
        <w:rPr>
          <w:rFonts w:ascii="GHEA Grapalat" w:eastAsia="Times New Roman" w:hAnsi="GHEA Grapalat" w:cs="Calibri"/>
          <w:sz w:val="24"/>
          <w:szCs w:val="24"/>
          <w:lang w:val="hy-AM" w:eastAsia="ja-JP"/>
        </w:rPr>
        <w:t xml:space="preserve">Եզրակացություն կազմելու ընթացքում պետք է ապահովել անձի լսված լինելու իրավունքը, հնարավորություն տալ մասնակցել վարույթին, իսկ եզրակացությունը` բողոքարկել դատական կարգով: Բողոքարկման հնարավորության անհրաժեշտության մասին Եվրոպական դատավորների խորհրդատվական խորհրդի (ԵԴԽԽ) «Դատավորների շրջանում կոռուպցիայի </w:t>
      </w:r>
      <w:r w:rsidRPr="00A658BB">
        <w:rPr>
          <w:rFonts w:ascii="GHEA Grapalat" w:eastAsia="Times New Roman" w:hAnsi="GHEA Grapalat" w:cs="Calibri"/>
          <w:sz w:val="24"/>
          <w:szCs w:val="24"/>
          <w:lang w:val="hy-AM" w:eastAsia="ja-JP"/>
        </w:rPr>
        <w:lastRenderedPageBreak/>
        <w:t>կանխարգելման մասին» 21 (2018) կարծիքում ընդգծվել է, որ այն թեկնածուները, ովքեր մերժվել են բարեվարքության ուսումնասիրության արդյունքում, պետք է իրավունք ունենան բողոքարկել այդ որոշումը։ ԵԱՀԿ/ԺՀՄԻԳ-ը Արևելյան Եվրոպայում, Հարավային Կովկասում և Կենտրոնական Ասիայում դատական անկախության Կիևյան առաջարկություններում նշել է, որ այն երկրներում, որտեղ առկա են բարեվարքության ստուգումներ, պետք է իրականացվեն զգուշությամբ և ուղղակիորեն օրենքով նախատեսված կարգով։ Այսպիսի ստուգման արդյունքները պետք է հասանելի դառնան դիմորդին, ով պետք է իրավունք ունենա բողոքարկել դրանք դատարանում։</w:t>
      </w:r>
    </w:p>
    <w:p w:rsidR="00A658BB" w:rsidRPr="00A658BB" w:rsidRDefault="00A658BB" w:rsidP="00A658BB">
      <w:pPr>
        <w:numPr>
          <w:ilvl w:val="0"/>
          <w:numId w:val="2"/>
        </w:numPr>
        <w:pBdr>
          <w:top w:val="nil"/>
          <w:left w:val="nil"/>
          <w:bottom w:val="nil"/>
          <w:right w:val="nil"/>
          <w:between w:val="nil"/>
        </w:pBdr>
        <w:tabs>
          <w:tab w:val="left" w:pos="709"/>
          <w:tab w:val="left" w:pos="851"/>
          <w:tab w:val="left" w:pos="993"/>
        </w:tabs>
        <w:spacing w:after="0" w:line="360" w:lineRule="auto"/>
        <w:ind w:left="0" w:right="49" w:firstLine="540"/>
        <w:contextualSpacing/>
        <w:jc w:val="both"/>
        <w:rPr>
          <w:rFonts w:ascii="GHEA Grapalat" w:eastAsia="Times New Roman" w:hAnsi="GHEA Grapalat" w:cs="Calibri"/>
          <w:sz w:val="24"/>
          <w:szCs w:val="24"/>
          <w:lang w:val="hy-AM" w:eastAsia="ja-JP"/>
        </w:rPr>
      </w:pPr>
      <w:r w:rsidRPr="00A658BB">
        <w:rPr>
          <w:rFonts w:ascii="GHEA Grapalat" w:eastAsia="Times New Roman" w:hAnsi="GHEA Grapalat" w:cs="Calibri"/>
          <w:sz w:val="24"/>
          <w:szCs w:val="24"/>
          <w:lang w:val="hy-AM" w:eastAsia="ja-JP"/>
        </w:rPr>
        <w:t>Կարող է դիտարկվել եզրակացությունների մասնակի կամ միայն եզրափակիչ մասի հրապարակման հնարավորությունը կամ միայն հրապարակվել բարեվարքություն անցած թեկնածուի անուն ազգանունը և եզրակացության արդյունքը:</w:t>
      </w:r>
    </w:p>
    <w:p w:rsidR="00A658BB" w:rsidRPr="00A658BB" w:rsidRDefault="00A658BB" w:rsidP="00A658BB">
      <w:pPr>
        <w:numPr>
          <w:ilvl w:val="0"/>
          <w:numId w:val="2"/>
        </w:numPr>
        <w:pBdr>
          <w:top w:val="nil"/>
          <w:left w:val="nil"/>
          <w:bottom w:val="nil"/>
          <w:right w:val="nil"/>
          <w:between w:val="nil"/>
        </w:pBdr>
        <w:tabs>
          <w:tab w:val="left" w:pos="709"/>
          <w:tab w:val="left" w:pos="851"/>
          <w:tab w:val="left" w:pos="993"/>
        </w:tabs>
        <w:spacing w:after="0" w:line="360" w:lineRule="auto"/>
        <w:ind w:left="0" w:right="49" w:firstLine="540"/>
        <w:contextualSpacing/>
        <w:jc w:val="both"/>
        <w:rPr>
          <w:rFonts w:ascii="GHEA Grapalat" w:eastAsia="Times New Roman" w:hAnsi="GHEA Grapalat" w:cs="Calibri"/>
          <w:sz w:val="24"/>
          <w:szCs w:val="24"/>
          <w:lang w:val="hy-AM" w:eastAsia="ja-JP"/>
        </w:rPr>
      </w:pPr>
      <w:r w:rsidRPr="00A658BB">
        <w:rPr>
          <w:rFonts w:ascii="GHEA Grapalat" w:eastAsia="Times New Roman" w:hAnsi="GHEA Grapalat" w:cs="Calibri"/>
          <w:sz w:val="24"/>
          <w:szCs w:val="24"/>
          <w:lang w:val="hy-AM" w:eastAsia="ja-JP"/>
        </w:rPr>
        <w:t>Բարեվարքության վերաբերյալ եզրակացության պարտադիր և որոշիչ լինելը միանշանակ ընդունված սկզբունք չէ, այն կարող է լինել խորհրդատվական բնույթի: Սակայն եթե նշանակող մարմինը հաշվի չի առնում եզրակացությունը, այդ դեպքում հատկապես կարևորվում է իր որոշման պատճառաբանված լինելը:</w:t>
      </w:r>
    </w:p>
    <w:p w:rsidR="00A658BB" w:rsidRPr="00A658BB" w:rsidRDefault="00A658BB" w:rsidP="00A658BB">
      <w:pPr>
        <w:numPr>
          <w:ilvl w:val="0"/>
          <w:numId w:val="2"/>
        </w:numPr>
        <w:pBdr>
          <w:top w:val="nil"/>
          <w:left w:val="nil"/>
          <w:bottom w:val="nil"/>
          <w:right w:val="nil"/>
          <w:between w:val="nil"/>
        </w:pBdr>
        <w:tabs>
          <w:tab w:val="left" w:pos="709"/>
          <w:tab w:val="left" w:pos="851"/>
          <w:tab w:val="left" w:pos="993"/>
        </w:tabs>
        <w:spacing w:after="0" w:line="360" w:lineRule="auto"/>
        <w:ind w:left="0" w:right="49" w:firstLine="540"/>
        <w:contextualSpacing/>
        <w:jc w:val="both"/>
        <w:rPr>
          <w:rFonts w:ascii="GHEA Grapalat" w:eastAsia="Times New Roman" w:hAnsi="GHEA Grapalat" w:cs="Calibri"/>
          <w:sz w:val="24"/>
          <w:szCs w:val="24"/>
          <w:lang w:val="hy-AM" w:eastAsia="ja-JP"/>
        </w:rPr>
      </w:pPr>
      <w:r w:rsidRPr="00A658BB">
        <w:rPr>
          <w:rFonts w:ascii="GHEA Grapalat" w:eastAsia="Times New Roman" w:hAnsi="GHEA Grapalat" w:cs="Calibri"/>
          <w:bCs/>
          <w:color w:val="000000"/>
          <w:sz w:val="24"/>
          <w:szCs w:val="24"/>
          <w:lang w:val="hy-AM" w:eastAsia="ru-RU"/>
        </w:rPr>
        <w:t xml:space="preserve">Միջազգային փորձի ուսումնասիրության արդյունքում պարզ է դառնում, որ բարեվարքության ուսումնասիրությունը եվրոպական երկրներում մեծամասամբ հրապարակային չէ։ Այն երկրներում, որտեղ այդ ուսումնասիրությունների արդյունքները հրապարակային են, անցել են ընդհանուր վեթթինգի գործընթաց, որն իրականացվում է բացառիկ հանգամանքներում։ </w:t>
      </w:r>
    </w:p>
    <w:p w:rsidR="00A658BB" w:rsidRPr="00A658BB" w:rsidRDefault="00A658BB" w:rsidP="00A658BB">
      <w:pPr>
        <w:pBdr>
          <w:top w:val="nil"/>
          <w:left w:val="nil"/>
          <w:bottom w:val="nil"/>
          <w:right w:val="nil"/>
          <w:between w:val="nil"/>
        </w:pBdr>
        <w:tabs>
          <w:tab w:val="left" w:pos="709"/>
          <w:tab w:val="left" w:pos="851"/>
          <w:tab w:val="left" w:pos="993"/>
        </w:tabs>
        <w:spacing w:after="0" w:line="360" w:lineRule="auto"/>
        <w:ind w:right="49" w:firstLine="540"/>
        <w:jc w:val="both"/>
        <w:rPr>
          <w:rFonts w:ascii="GHEA Grapalat" w:eastAsia="Times New Roman" w:hAnsi="GHEA Grapalat" w:cs="Calibri"/>
          <w:bCs/>
          <w:color w:val="000000"/>
          <w:sz w:val="24"/>
          <w:szCs w:val="24"/>
          <w:lang w:val="af-ZA" w:eastAsia="ru-RU"/>
        </w:rPr>
      </w:pPr>
      <w:r w:rsidRPr="00A658BB">
        <w:rPr>
          <w:rFonts w:ascii="GHEA Grapalat" w:eastAsia="Times New Roman" w:hAnsi="GHEA Grapalat" w:cs="Calibri"/>
          <w:bCs/>
          <w:color w:val="000000"/>
          <w:sz w:val="24"/>
          <w:szCs w:val="24"/>
          <w:lang w:val="hy-AM" w:eastAsia="ru-RU"/>
        </w:rPr>
        <w:t>Տվյալ խնդրի շուրջ լուծումներ առաջարկելու նպատակով դիտարկվել են նաև երեք համադրելի պետությունների՝ Մոլդովայի, Ուկրաինայի և Ալբանիայի փորձը և պրակտիկան</w:t>
      </w:r>
      <w:r w:rsidRPr="00A658BB">
        <w:rPr>
          <w:rFonts w:ascii="GHEA Grapalat" w:eastAsia="Times New Roman" w:hAnsi="GHEA Grapalat" w:cs="Calibri"/>
          <w:bCs/>
          <w:color w:val="000000"/>
          <w:sz w:val="24"/>
          <w:szCs w:val="24"/>
          <w:lang w:val="af-ZA" w:eastAsia="ru-RU"/>
        </w:rPr>
        <w:t xml:space="preserve">, որոնք ամփոփված են ստորև ներկայացված աղյուսակում: Հարկ է նշել, որ երեք երկրներում գործում են զուգահեռ երկու՝ մեղմ և կոշտ մեխանիզմներ, որոնք տարբերվում են </w:t>
      </w:r>
      <w:r w:rsidRPr="00A658BB">
        <w:rPr>
          <w:rFonts w:ascii="GHEA Grapalat" w:eastAsia="Times New Roman" w:hAnsi="GHEA Grapalat" w:cs="Calibri"/>
          <w:bCs/>
          <w:color w:val="000000"/>
          <w:sz w:val="24"/>
          <w:szCs w:val="24"/>
          <w:lang w:val="af-ZA" w:eastAsia="ru-RU"/>
        </w:rPr>
        <w:lastRenderedPageBreak/>
        <w:t>բարեվարքության ուսումնասիրությունների հրապարակայնության և պաշտոնում նշանակման որոշումների պատճառաբանվածության կամ դրանց հայեցողական բնույթի առումով:</w:t>
      </w:r>
    </w:p>
    <w:p w:rsidR="00A658BB" w:rsidRPr="00A658BB" w:rsidRDefault="00A658BB" w:rsidP="00A658BB">
      <w:pPr>
        <w:pBdr>
          <w:top w:val="nil"/>
          <w:left w:val="nil"/>
          <w:bottom w:val="nil"/>
          <w:right w:val="nil"/>
          <w:between w:val="nil"/>
        </w:pBdr>
        <w:tabs>
          <w:tab w:val="left" w:pos="709"/>
          <w:tab w:val="left" w:pos="851"/>
          <w:tab w:val="left" w:pos="993"/>
        </w:tabs>
        <w:spacing w:after="0" w:line="360" w:lineRule="auto"/>
        <w:ind w:right="49" w:firstLine="540"/>
        <w:jc w:val="both"/>
        <w:rPr>
          <w:rFonts w:ascii="GHEA Grapalat" w:eastAsia="Times New Roman" w:hAnsi="GHEA Grapalat" w:cs="Calibri"/>
          <w:bCs/>
          <w:color w:val="000000"/>
          <w:sz w:val="24"/>
          <w:szCs w:val="24"/>
          <w:lang w:val="af-ZA" w:eastAsia="ru-RU"/>
        </w:rPr>
      </w:pPr>
    </w:p>
    <w:tbl>
      <w:tblPr>
        <w:tblStyle w:val="TableGrid1"/>
        <w:tblW w:w="5000" w:type="pct"/>
        <w:tblLook w:val="04A0" w:firstRow="1" w:lastRow="0" w:firstColumn="1" w:lastColumn="0" w:noHBand="0" w:noVBand="1"/>
      </w:tblPr>
      <w:tblGrid>
        <w:gridCol w:w="2385"/>
        <w:gridCol w:w="3741"/>
        <w:gridCol w:w="4403"/>
      </w:tblGrid>
      <w:tr w:rsidR="00A658BB" w:rsidRPr="00A658BB" w:rsidTr="00237886">
        <w:tc>
          <w:tcPr>
            <w:tcW w:w="5000" w:type="pct"/>
            <w:gridSpan w:val="3"/>
          </w:tcPr>
          <w:p w:rsidR="00A658BB" w:rsidRPr="00A658BB" w:rsidRDefault="00A658BB" w:rsidP="00A658BB">
            <w:pPr>
              <w:tabs>
                <w:tab w:val="left" w:pos="709"/>
                <w:tab w:val="left" w:pos="851"/>
                <w:tab w:val="left" w:pos="993"/>
              </w:tabs>
              <w:ind w:right="49" w:firstLine="540"/>
              <w:jc w:val="center"/>
              <w:rPr>
                <w:rFonts w:ascii="GHEA Grapalat" w:eastAsia="Times New Roman" w:hAnsi="GHEA Grapalat" w:cs="Times New Roman"/>
                <w:b/>
                <w:bCs/>
                <w:sz w:val="24"/>
                <w:szCs w:val="24"/>
                <w:lang w:val="af-ZA" w:eastAsia="ru-RU"/>
              </w:rPr>
            </w:pPr>
            <w:r w:rsidRPr="00A658BB">
              <w:rPr>
                <w:rFonts w:ascii="GHEA Grapalat" w:eastAsia="Times New Roman" w:hAnsi="GHEA Grapalat" w:cs="Times New Roman"/>
                <w:b/>
                <w:bCs/>
                <w:sz w:val="24"/>
                <w:szCs w:val="24"/>
                <w:lang w:val="af-ZA" w:eastAsia="ru-RU"/>
              </w:rPr>
              <w:t>ՄՈԼԴՈՎԱ</w:t>
            </w:r>
          </w:p>
          <w:p w:rsidR="00A658BB" w:rsidRPr="00A658BB" w:rsidRDefault="00A658BB" w:rsidP="00A658BB">
            <w:pPr>
              <w:tabs>
                <w:tab w:val="left" w:pos="709"/>
                <w:tab w:val="left" w:pos="851"/>
                <w:tab w:val="left" w:pos="993"/>
              </w:tabs>
              <w:ind w:right="49" w:firstLine="540"/>
              <w:jc w:val="center"/>
              <w:rPr>
                <w:rFonts w:ascii="GHEA Grapalat" w:eastAsia="Times New Roman" w:hAnsi="GHEA Grapalat" w:cs="Times New Roman"/>
                <w:b/>
                <w:bCs/>
                <w:sz w:val="24"/>
                <w:szCs w:val="24"/>
                <w:lang w:val="af-ZA" w:eastAsia="ru-RU"/>
              </w:rPr>
            </w:pPr>
          </w:p>
        </w:tc>
      </w:tr>
      <w:tr w:rsidR="00A658BB" w:rsidRPr="00A658BB" w:rsidTr="00237886">
        <w:tc>
          <w:tcPr>
            <w:tcW w:w="848" w:type="pct"/>
          </w:tcPr>
          <w:p w:rsidR="00A658BB" w:rsidRPr="00A658BB" w:rsidRDefault="00A658BB" w:rsidP="00A658BB">
            <w:pPr>
              <w:tabs>
                <w:tab w:val="left" w:pos="709"/>
                <w:tab w:val="left" w:pos="851"/>
                <w:tab w:val="left" w:pos="993"/>
              </w:tabs>
              <w:spacing w:line="276" w:lineRule="auto"/>
              <w:ind w:right="49" w:firstLine="540"/>
              <w:jc w:val="center"/>
              <w:rPr>
                <w:rFonts w:ascii="GHEA Grapalat" w:eastAsia="Times New Roman" w:hAnsi="GHEA Grapalat" w:cs="Times New Roman"/>
                <w:b/>
                <w:bCs/>
                <w:sz w:val="24"/>
                <w:szCs w:val="24"/>
                <w:lang w:val="af-ZA" w:eastAsia="ru-RU"/>
              </w:rPr>
            </w:pPr>
            <w:r w:rsidRPr="00A658BB">
              <w:rPr>
                <w:rFonts w:ascii="GHEA Grapalat" w:eastAsia="Times New Roman" w:hAnsi="GHEA Grapalat" w:cs="Times New Roman"/>
                <w:b/>
                <w:bCs/>
                <w:sz w:val="24"/>
                <w:szCs w:val="24"/>
                <w:lang w:val="af-ZA" w:eastAsia="ru-RU"/>
              </w:rPr>
              <w:t>Չափանիշներ</w:t>
            </w:r>
          </w:p>
        </w:tc>
        <w:tc>
          <w:tcPr>
            <w:tcW w:w="1919" w:type="pct"/>
          </w:tcPr>
          <w:p w:rsidR="00A658BB" w:rsidRPr="00A658BB" w:rsidRDefault="00A658BB" w:rsidP="00A658BB">
            <w:pPr>
              <w:tabs>
                <w:tab w:val="left" w:pos="709"/>
                <w:tab w:val="left" w:pos="851"/>
                <w:tab w:val="left" w:pos="993"/>
              </w:tabs>
              <w:spacing w:line="276" w:lineRule="auto"/>
              <w:ind w:right="49" w:firstLine="540"/>
              <w:jc w:val="center"/>
              <w:rPr>
                <w:rFonts w:ascii="GHEA Grapalat" w:eastAsia="Times New Roman" w:hAnsi="GHEA Grapalat" w:cs="Times New Roman"/>
                <w:b/>
                <w:bCs/>
                <w:sz w:val="24"/>
                <w:szCs w:val="24"/>
                <w:lang w:val="af-ZA" w:eastAsia="ru-RU"/>
              </w:rPr>
            </w:pPr>
            <w:r w:rsidRPr="00A658BB">
              <w:rPr>
                <w:rFonts w:ascii="GHEA Grapalat" w:eastAsia="Times New Roman" w:hAnsi="GHEA Grapalat" w:cs="Times New Roman"/>
                <w:b/>
                <w:bCs/>
                <w:sz w:val="24"/>
                <w:szCs w:val="24"/>
                <w:lang w:val="af-ZA" w:eastAsia="ru-RU"/>
              </w:rPr>
              <w:t>Մեղմ ընթացակարգեր՝ ավելի մեղմ հրապարակայնության ռեժիմով և պահանջներով</w:t>
            </w:r>
          </w:p>
        </w:tc>
        <w:tc>
          <w:tcPr>
            <w:tcW w:w="2233" w:type="pct"/>
          </w:tcPr>
          <w:p w:rsidR="00A658BB" w:rsidRPr="00A658BB" w:rsidRDefault="00A658BB" w:rsidP="00A658BB">
            <w:pPr>
              <w:tabs>
                <w:tab w:val="left" w:pos="709"/>
                <w:tab w:val="left" w:pos="851"/>
                <w:tab w:val="left" w:pos="993"/>
              </w:tabs>
              <w:spacing w:line="276" w:lineRule="auto"/>
              <w:ind w:right="49" w:firstLine="540"/>
              <w:jc w:val="center"/>
              <w:rPr>
                <w:rFonts w:ascii="GHEA Grapalat" w:eastAsia="Times New Roman" w:hAnsi="GHEA Grapalat" w:cs="Times New Roman"/>
                <w:b/>
                <w:bCs/>
                <w:sz w:val="24"/>
                <w:szCs w:val="24"/>
                <w:lang w:val="af-ZA" w:eastAsia="ru-RU"/>
              </w:rPr>
            </w:pPr>
            <w:r w:rsidRPr="00A658BB">
              <w:rPr>
                <w:rFonts w:ascii="GHEA Grapalat" w:eastAsia="Times New Roman" w:hAnsi="GHEA Grapalat" w:cs="Times New Roman"/>
                <w:b/>
                <w:bCs/>
                <w:sz w:val="24"/>
                <w:szCs w:val="24"/>
                <w:lang w:val="af-ZA" w:eastAsia="ru-RU"/>
              </w:rPr>
              <w:t>Կոշտ ընթացակարգեր՝ հրապարակայնության և պատճառաբանվածության բարձր շեմով</w:t>
            </w:r>
          </w:p>
          <w:p w:rsidR="00A658BB" w:rsidRPr="00A658BB" w:rsidRDefault="00A658BB" w:rsidP="00A658BB">
            <w:pPr>
              <w:tabs>
                <w:tab w:val="left" w:pos="709"/>
                <w:tab w:val="left" w:pos="851"/>
                <w:tab w:val="left" w:pos="993"/>
              </w:tabs>
              <w:spacing w:line="276" w:lineRule="auto"/>
              <w:ind w:right="49" w:firstLine="540"/>
              <w:rPr>
                <w:rFonts w:ascii="GHEA Grapalat" w:eastAsia="Times New Roman" w:hAnsi="GHEA Grapalat" w:cs="Times New Roman"/>
                <w:sz w:val="24"/>
                <w:szCs w:val="24"/>
                <w:lang w:val="af-ZA" w:eastAsia="ru-RU"/>
              </w:rPr>
            </w:pPr>
          </w:p>
        </w:tc>
      </w:tr>
      <w:tr w:rsidR="00A658BB" w:rsidRPr="00A658BB" w:rsidTr="00237886">
        <w:tc>
          <w:tcPr>
            <w:tcW w:w="848" w:type="pct"/>
          </w:tcPr>
          <w:p w:rsidR="00A658BB" w:rsidRPr="00A658BB" w:rsidRDefault="00A658BB" w:rsidP="00A658BB">
            <w:pPr>
              <w:tabs>
                <w:tab w:val="left" w:pos="709"/>
                <w:tab w:val="left" w:pos="851"/>
                <w:tab w:val="left" w:pos="993"/>
              </w:tabs>
              <w:spacing w:line="276" w:lineRule="auto"/>
              <w:ind w:right="49" w:firstLine="540"/>
              <w:rPr>
                <w:rFonts w:ascii="GHEA Grapalat" w:eastAsia="Times New Roman" w:hAnsi="GHEA Grapalat" w:cs="Times New Roman"/>
                <w:sz w:val="24"/>
                <w:szCs w:val="24"/>
                <w:lang w:val="af-ZA" w:eastAsia="ru-RU"/>
              </w:rPr>
            </w:pPr>
            <w:r w:rsidRPr="00A658BB">
              <w:rPr>
                <w:rFonts w:ascii="GHEA Grapalat" w:eastAsia="Times New Roman" w:hAnsi="GHEA Grapalat" w:cs="Times New Roman"/>
                <w:sz w:val="24"/>
                <w:szCs w:val="24"/>
                <w:lang w:val="af-ZA" w:eastAsia="ru-RU"/>
              </w:rPr>
              <w:t>Ստուգվող սուբյեկտների և ստուգող մարմինների շրջանակ</w:t>
            </w:r>
          </w:p>
        </w:tc>
        <w:tc>
          <w:tcPr>
            <w:tcW w:w="1919" w:type="pct"/>
          </w:tcPr>
          <w:p w:rsidR="00A658BB" w:rsidRPr="00A658BB" w:rsidRDefault="00A658BB" w:rsidP="00A658BB">
            <w:pPr>
              <w:tabs>
                <w:tab w:val="left" w:pos="709"/>
                <w:tab w:val="left" w:pos="851"/>
                <w:tab w:val="left" w:pos="993"/>
              </w:tabs>
              <w:spacing w:line="276" w:lineRule="auto"/>
              <w:ind w:right="49" w:firstLine="540"/>
              <w:jc w:val="both"/>
              <w:rPr>
                <w:rFonts w:ascii="GHEA Grapalat" w:eastAsia="Times New Roman" w:hAnsi="GHEA Grapalat" w:cs="Times New Roman"/>
                <w:b/>
                <w:bCs/>
                <w:sz w:val="24"/>
                <w:szCs w:val="24"/>
                <w:lang w:val="af-ZA" w:eastAsia="ru-RU"/>
              </w:rPr>
            </w:pPr>
            <w:r w:rsidRPr="00A658BB">
              <w:rPr>
                <w:rFonts w:ascii="GHEA Grapalat" w:eastAsia="Times New Roman" w:hAnsi="GHEA Grapalat" w:cs="Times New Roman"/>
                <w:sz w:val="24"/>
                <w:szCs w:val="24"/>
                <w:lang w:val="hy-AM" w:eastAsia="ru-RU"/>
              </w:rPr>
              <w:t>Գ</w:t>
            </w:r>
            <w:r w:rsidRPr="00A658BB">
              <w:rPr>
                <w:rFonts w:ascii="GHEA Grapalat" w:eastAsia="Times New Roman" w:hAnsi="GHEA Grapalat" w:cs="Times New Roman"/>
                <w:sz w:val="24"/>
                <w:szCs w:val="24"/>
                <w:lang w:val="af-ZA" w:eastAsia="ru-RU"/>
              </w:rPr>
              <w:t xml:space="preserve">ործում է առանձին բարեվարքության ստուգման ընթացակարգ բոլոր գործող դատավորների համար, որի չափանիշներն ու հրապարակայնության պայմաններն ավելի ցածր են, քան կոշտ վեթինգի չափանիշները բարձրագույն դատական և դատախազական մարմինների անդամների ընտրության համար սահմանվածները։ </w:t>
            </w:r>
          </w:p>
          <w:p w:rsidR="00A658BB" w:rsidRPr="00A658BB" w:rsidRDefault="00A658BB" w:rsidP="00A658BB">
            <w:pPr>
              <w:tabs>
                <w:tab w:val="left" w:pos="709"/>
                <w:tab w:val="left" w:pos="851"/>
                <w:tab w:val="left" w:pos="993"/>
              </w:tabs>
              <w:spacing w:line="276" w:lineRule="auto"/>
              <w:ind w:right="49" w:firstLine="540"/>
              <w:jc w:val="both"/>
              <w:rPr>
                <w:rFonts w:ascii="GHEA Grapalat" w:eastAsia="Times New Roman" w:hAnsi="GHEA Grapalat" w:cs="Times New Roman"/>
                <w:sz w:val="24"/>
                <w:szCs w:val="24"/>
                <w:lang w:val="af-ZA" w:eastAsia="ru-RU"/>
              </w:rPr>
            </w:pPr>
            <w:r w:rsidRPr="00A658BB">
              <w:rPr>
                <w:rFonts w:ascii="GHEA Grapalat" w:eastAsia="Times New Roman" w:hAnsi="GHEA Grapalat" w:cs="Times New Roman"/>
                <w:sz w:val="24"/>
                <w:szCs w:val="24"/>
                <w:lang w:val="af-ZA" w:eastAsia="ru-RU"/>
              </w:rPr>
              <w:t>Բարեվարքության այդ ստուգումներն իրականացվում են Բարձրագույն մագիստրների խորհրդի պահանջով երկու մասնագիտացված մարմինների կողմից</w:t>
            </w:r>
            <w:r w:rsidRPr="00A658BB">
              <w:rPr>
                <w:rFonts w:ascii="Cambria Math" w:eastAsia="Times New Roman" w:hAnsi="Cambria Math" w:cs="Cambria Math"/>
                <w:sz w:val="24"/>
                <w:szCs w:val="24"/>
                <w:lang w:val="af-ZA" w:eastAsia="ru-RU"/>
              </w:rPr>
              <w:t>․</w:t>
            </w:r>
            <w:r w:rsidRPr="00A658BB">
              <w:rPr>
                <w:rFonts w:ascii="GHEA Grapalat" w:eastAsia="Times New Roman" w:hAnsi="GHEA Grapalat" w:cs="Times New Roman"/>
                <w:sz w:val="24"/>
                <w:szCs w:val="24"/>
                <w:lang w:val="af-ZA" w:eastAsia="ru-RU"/>
              </w:rPr>
              <w:t xml:space="preserve"> դրանք են՝ կոռուպցիայի կանխարգելման մարմինը՝ </w:t>
            </w:r>
            <w:r w:rsidRPr="00A658BB">
              <w:rPr>
                <w:rFonts w:ascii="GHEA Grapalat" w:eastAsia="Times New Roman" w:hAnsi="GHEA Grapalat" w:cs="Times New Roman"/>
                <w:sz w:val="24"/>
                <w:szCs w:val="24"/>
                <w:lang w:val="af-ZA" w:eastAsia="ru-RU"/>
              </w:rPr>
              <w:lastRenderedPageBreak/>
              <w:t>Ազգային բարեվարքության գործակալությունը (National Integrity Agency</w:t>
            </w:r>
            <w:r w:rsidRPr="00A658BB">
              <w:rPr>
                <w:rFonts w:ascii="GHEA Grapalat" w:eastAsia="Times New Roman" w:hAnsi="GHEA Grapalat" w:cs="Times New Roman"/>
                <w:sz w:val="24"/>
                <w:szCs w:val="24"/>
                <w:vertAlign w:val="superscript"/>
                <w:lang w:val="af-ZA" w:eastAsia="ru-RU"/>
              </w:rPr>
              <w:footnoteReference w:id="6"/>
            </w:r>
            <w:r w:rsidRPr="00A658BB">
              <w:rPr>
                <w:rFonts w:ascii="GHEA Grapalat" w:eastAsia="Times New Roman" w:hAnsi="GHEA Grapalat" w:cs="Times New Roman"/>
                <w:sz w:val="24"/>
                <w:szCs w:val="24"/>
                <w:lang w:val="af-ZA" w:eastAsia="ru-RU"/>
              </w:rPr>
              <w:t>), ինչպես նաև հակակոռուպցիոն քննչական մարմինը՝ Ազգային հակակոռուպցիոն կենտրոնը (National Anti-corruption center</w:t>
            </w:r>
            <w:r w:rsidRPr="00A658BB">
              <w:rPr>
                <w:rFonts w:ascii="GHEA Grapalat" w:eastAsia="Times New Roman" w:hAnsi="GHEA Grapalat" w:cs="Times New Roman"/>
                <w:sz w:val="24"/>
                <w:szCs w:val="24"/>
                <w:vertAlign w:val="superscript"/>
                <w:lang w:val="af-ZA" w:eastAsia="ru-RU"/>
              </w:rPr>
              <w:footnoteReference w:id="7"/>
            </w:r>
            <w:r w:rsidRPr="00A658BB">
              <w:rPr>
                <w:rFonts w:ascii="GHEA Grapalat" w:eastAsia="Times New Roman" w:hAnsi="GHEA Grapalat" w:cs="Times New Roman"/>
                <w:sz w:val="24"/>
                <w:szCs w:val="24"/>
                <w:lang w:val="af-ZA" w:eastAsia="ru-RU"/>
              </w:rPr>
              <w:t>)։</w:t>
            </w:r>
          </w:p>
          <w:p w:rsidR="00A658BB" w:rsidRPr="00A658BB" w:rsidRDefault="00A658BB" w:rsidP="00A658BB">
            <w:pPr>
              <w:tabs>
                <w:tab w:val="left" w:pos="709"/>
                <w:tab w:val="left" w:pos="851"/>
                <w:tab w:val="left" w:pos="993"/>
              </w:tabs>
              <w:spacing w:line="276" w:lineRule="auto"/>
              <w:ind w:right="49" w:firstLine="540"/>
              <w:jc w:val="both"/>
              <w:rPr>
                <w:rFonts w:ascii="GHEA Grapalat" w:eastAsia="Times New Roman" w:hAnsi="GHEA Grapalat" w:cs="Times New Roman"/>
                <w:sz w:val="24"/>
                <w:szCs w:val="24"/>
                <w:lang w:val="hy-AM" w:eastAsia="ru-RU"/>
              </w:rPr>
            </w:pPr>
            <w:r w:rsidRPr="00A658BB">
              <w:rPr>
                <w:rFonts w:ascii="GHEA Grapalat" w:eastAsia="Times New Roman" w:hAnsi="GHEA Grapalat" w:cs="Times New Roman"/>
                <w:sz w:val="24"/>
                <w:szCs w:val="24"/>
                <w:lang w:eastAsia="ru-RU"/>
              </w:rPr>
              <w:t>Մոլդովայում</w:t>
            </w:r>
            <w:r w:rsidRPr="00A658BB">
              <w:rPr>
                <w:rFonts w:ascii="GHEA Grapalat" w:eastAsia="Times New Roman" w:hAnsi="GHEA Grapalat" w:cs="Times New Roman"/>
                <w:sz w:val="24"/>
                <w:szCs w:val="24"/>
                <w:lang w:val="af-ZA" w:eastAsia="ru-RU"/>
              </w:rPr>
              <w:t xml:space="preserve"> </w:t>
            </w:r>
            <w:r w:rsidRPr="00A658BB">
              <w:rPr>
                <w:rFonts w:ascii="GHEA Grapalat" w:eastAsia="Times New Roman" w:hAnsi="GHEA Grapalat" w:cs="Times New Roman"/>
                <w:sz w:val="24"/>
                <w:szCs w:val="24"/>
                <w:lang w:eastAsia="ru-RU"/>
              </w:rPr>
              <w:t>այս</w:t>
            </w:r>
            <w:r w:rsidRPr="00A658BB">
              <w:rPr>
                <w:rFonts w:ascii="GHEA Grapalat" w:eastAsia="Times New Roman" w:hAnsi="GHEA Grapalat" w:cs="Times New Roman"/>
                <w:sz w:val="24"/>
                <w:szCs w:val="24"/>
                <w:lang w:val="af-ZA" w:eastAsia="ru-RU"/>
              </w:rPr>
              <w:t xml:space="preserve"> </w:t>
            </w:r>
            <w:r w:rsidRPr="00A658BB">
              <w:rPr>
                <w:rFonts w:ascii="GHEA Grapalat" w:eastAsia="Times New Roman" w:hAnsi="GHEA Grapalat" w:cs="Times New Roman"/>
                <w:sz w:val="24"/>
                <w:szCs w:val="24"/>
                <w:lang w:eastAsia="ru-RU"/>
              </w:rPr>
              <w:t>տեսակ</w:t>
            </w:r>
            <w:r w:rsidRPr="00A658BB">
              <w:rPr>
                <w:rFonts w:ascii="GHEA Grapalat" w:eastAsia="Times New Roman" w:hAnsi="GHEA Grapalat" w:cs="Times New Roman"/>
                <w:sz w:val="24"/>
                <w:szCs w:val="24"/>
                <w:lang w:val="af-ZA" w:eastAsia="ru-RU"/>
              </w:rPr>
              <w:t xml:space="preserve"> </w:t>
            </w:r>
            <w:r w:rsidRPr="00A658BB">
              <w:rPr>
                <w:rFonts w:ascii="GHEA Grapalat" w:eastAsia="Times New Roman" w:hAnsi="GHEA Grapalat" w:cs="Times New Roman"/>
                <w:sz w:val="24"/>
                <w:szCs w:val="24"/>
                <w:lang w:eastAsia="ru-RU"/>
              </w:rPr>
              <w:t>բարեվարքության</w:t>
            </w:r>
            <w:r w:rsidRPr="00A658BB">
              <w:rPr>
                <w:rFonts w:ascii="GHEA Grapalat" w:eastAsia="Times New Roman" w:hAnsi="GHEA Grapalat" w:cs="Times New Roman"/>
                <w:sz w:val="24"/>
                <w:szCs w:val="24"/>
                <w:lang w:val="af-ZA" w:eastAsia="ru-RU"/>
              </w:rPr>
              <w:t xml:space="preserve"> </w:t>
            </w:r>
            <w:r w:rsidRPr="00A658BB">
              <w:rPr>
                <w:rFonts w:ascii="GHEA Grapalat" w:eastAsia="Times New Roman" w:hAnsi="GHEA Grapalat" w:cs="Times New Roman"/>
                <w:sz w:val="24"/>
                <w:szCs w:val="24"/>
                <w:lang w:eastAsia="ru-RU"/>
              </w:rPr>
              <w:t>ստուգման</w:t>
            </w:r>
            <w:r w:rsidRPr="00A658BB">
              <w:rPr>
                <w:rFonts w:ascii="GHEA Grapalat" w:eastAsia="Times New Roman" w:hAnsi="GHEA Grapalat" w:cs="Times New Roman"/>
                <w:sz w:val="24"/>
                <w:szCs w:val="24"/>
                <w:lang w:val="af-ZA" w:eastAsia="ru-RU"/>
              </w:rPr>
              <w:t xml:space="preserve"> </w:t>
            </w:r>
            <w:r w:rsidRPr="00A658BB">
              <w:rPr>
                <w:rFonts w:ascii="GHEA Grapalat" w:eastAsia="Times New Roman" w:hAnsi="GHEA Grapalat" w:cs="Times New Roman"/>
                <w:sz w:val="24"/>
                <w:szCs w:val="24"/>
                <w:lang w:eastAsia="ru-RU"/>
              </w:rPr>
              <w:t>հետ</w:t>
            </w:r>
            <w:r w:rsidRPr="00A658BB">
              <w:rPr>
                <w:rFonts w:ascii="GHEA Grapalat" w:eastAsia="Times New Roman" w:hAnsi="GHEA Grapalat" w:cs="Times New Roman"/>
                <w:sz w:val="24"/>
                <w:szCs w:val="24"/>
                <w:lang w:val="af-ZA" w:eastAsia="ru-RU"/>
              </w:rPr>
              <w:t xml:space="preserve"> </w:t>
            </w:r>
            <w:r w:rsidRPr="00A658BB">
              <w:rPr>
                <w:rFonts w:ascii="GHEA Grapalat" w:eastAsia="Times New Roman" w:hAnsi="GHEA Grapalat" w:cs="Times New Roman"/>
                <w:sz w:val="24"/>
                <w:szCs w:val="24"/>
                <w:lang w:eastAsia="ru-RU"/>
              </w:rPr>
              <w:t>թեկնածուներն</w:t>
            </w:r>
            <w:r w:rsidRPr="00A658BB">
              <w:rPr>
                <w:rFonts w:ascii="GHEA Grapalat" w:eastAsia="Times New Roman" w:hAnsi="GHEA Grapalat" w:cs="Times New Roman"/>
                <w:sz w:val="24"/>
                <w:szCs w:val="24"/>
                <w:lang w:val="af-ZA" w:eastAsia="ru-RU"/>
              </w:rPr>
              <w:t xml:space="preserve"> </w:t>
            </w:r>
            <w:r w:rsidRPr="00A658BB">
              <w:rPr>
                <w:rFonts w:ascii="GHEA Grapalat" w:eastAsia="Times New Roman" w:hAnsi="GHEA Grapalat" w:cs="Times New Roman"/>
                <w:sz w:val="24"/>
                <w:szCs w:val="24"/>
                <w:lang w:eastAsia="ru-RU"/>
              </w:rPr>
              <w:t>առնչվում</w:t>
            </w:r>
            <w:r w:rsidRPr="00A658BB">
              <w:rPr>
                <w:rFonts w:ascii="GHEA Grapalat" w:eastAsia="Times New Roman" w:hAnsi="GHEA Grapalat" w:cs="Times New Roman"/>
                <w:sz w:val="24"/>
                <w:szCs w:val="24"/>
                <w:lang w:val="af-ZA" w:eastAsia="ru-RU"/>
              </w:rPr>
              <w:t xml:space="preserve"> </w:t>
            </w:r>
            <w:r w:rsidRPr="00A658BB">
              <w:rPr>
                <w:rFonts w:ascii="GHEA Grapalat" w:eastAsia="Times New Roman" w:hAnsi="GHEA Grapalat" w:cs="Times New Roman"/>
                <w:sz w:val="24"/>
                <w:szCs w:val="24"/>
                <w:lang w:eastAsia="ru-RU"/>
              </w:rPr>
              <w:t>են</w:t>
            </w:r>
            <w:r w:rsidRPr="00A658BB">
              <w:rPr>
                <w:rFonts w:ascii="GHEA Grapalat" w:eastAsia="Times New Roman" w:hAnsi="GHEA Grapalat" w:cs="Times New Roman"/>
                <w:sz w:val="24"/>
                <w:szCs w:val="24"/>
                <w:lang w:val="af-ZA" w:eastAsia="ru-RU"/>
              </w:rPr>
              <w:t xml:space="preserve">, </w:t>
            </w:r>
            <w:r w:rsidRPr="00A658BB">
              <w:rPr>
                <w:rFonts w:ascii="GHEA Grapalat" w:eastAsia="Times New Roman" w:hAnsi="GHEA Grapalat" w:cs="Times New Roman"/>
                <w:sz w:val="24"/>
                <w:szCs w:val="24"/>
                <w:lang w:eastAsia="ru-RU"/>
              </w:rPr>
              <w:t>երբ</w:t>
            </w:r>
            <w:r w:rsidRPr="00A658BB">
              <w:rPr>
                <w:rFonts w:ascii="GHEA Grapalat" w:eastAsia="Times New Roman" w:hAnsi="GHEA Grapalat" w:cs="Times New Roman"/>
                <w:sz w:val="24"/>
                <w:szCs w:val="24"/>
                <w:lang w:val="af-ZA" w:eastAsia="ru-RU"/>
              </w:rPr>
              <w:t xml:space="preserve"> գնահատում են անցնում </w:t>
            </w:r>
            <w:r w:rsidRPr="00A658BB">
              <w:rPr>
                <w:rFonts w:ascii="GHEA Grapalat" w:eastAsia="Times New Roman" w:hAnsi="GHEA Grapalat" w:cs="Times New Roman"/>
                <w:sz w:val="24"/>
                <w:szCs w:val="24"/>
                <w:lang w:eastAsia="ru-RU"/>
              </w:rPr>
              <w:t>թափուր</w:t>
            </w:r>
            <w:r w:rsidRPr="00A658BB">
              <w:rPr>
                <w:rFonts w:ascii="GHEA Grapalat" w:eastAsia="Times New Roman" w:hAnsi="GHEA Grapalat" w:cs="Times New Roman"/>
                <w:sz w:val="24"/>
                <w:szCs w:val="24"/>
                <w:lang w:val="af-ZA" w:eastAsia="ru-RU"/>
              </w:rPr>
              <w:t xml:space="preserve"> հաստիքների մրցույթի համար։ </w:t>
            </w:r>
            <w:r w:rsidRPr="00A658BB">
              <w:rPr>
                <w:rFonts w:ascii="GHEA Grapalat" w:eastAsia="Times New Roman" w:hAnsi="GHEA Grapalat" w:cs="Times New Roman"/>
                <w:sz w:val="24"/>
                <w:szCs w:val="24"/>
                <w:lang w:val="hy-AM" w:eastAsia="ru-RU"/>
              </w:rPr>
              <w:t xml:space="preserve">Նմանատիպ ընթացակարգ նախատեսված է նաև այն դատավորների համար, որոնք գնահատում են անցնում դատական համակարգում ավելի բարձր պաշտոններ զբաղեցնելու համար։ </w:t>
            </w:r>
          </w:p>
          <w:p w:rsidR="00A658BB" w:rsidRPr="00A658BB" w:rsidRDefault="00A658BB" w:rsidP="00A658BB">
            <w:pPr>
              <w:tabs>
                <w:tab w:val="left" w:pos="709"/>
                <w:tab w:val="left" w:pos="851"/>
                <w:tab w:val="left" w:pos="993"/>
              </w:tabs>
              <w:spacing w:line="276" w:lineRule="auto"/>
              <w:ind w:right="49" w:firstLine="540"/>
              <w:jc w:val="both"/>
              <w:rPr>
                <w:rFonts w:ascii="GHEA Grapalat" w:eastAsia="Times New Roman" w:hAnsi="GHEA Grapalat" w:cs="Times New Roman"/>
                <w:sz w:val="24"/>
                <w:szCs w:val="24"/>
                <w:lang w:val="af-ZA" w:eastAsia="ru-RU"/>
              </w:rPr>
            </w:pPr>
            <w:r w:rsidRPr="00A658BB">
              <w:rPr>
                <w:rFonts w:ascii="GHEA Grapalat" w:eastAsia="Times New Roman" w:hAnsi="GHEA Grapalat" w:cs="Times New Roman"/>
                <w:sz w:val="24"/>
                <w:szCs w:val="24"/>
                <w:lang w:val="af-ZA" w:eastAsia="ru-RU"/>
              </w:rPr>
              <w:t xml:space="preserve">Գնահատման ընթացքում </w:t>
            </w:r>
            <w:r w:rsidRPr="00A658BB">
              <w:rPr>
                <w:rFonts w:ascii="GHEA Grapalat" w:eastAsia="Times New Roman" w:hAnsi="GHEA Grapalat" w:cs="Times New Roman"/>
                <w:sz w:val="24"/>
                <w:szCs w:val="24"/>
                <w:lang w:val="hy-AM" w:eastAsia="ru-RU"/>
              </w:rPr>
              <w:t>ՄԲԽ</w:t>
            </w:r>
            <w:r w:rsidRPr="00A658BB">
              <w:rPr>
                <w:rFonts w:ascii="GHEA Grapalat" w:eastAsia="Times New Roman" w:hAnsi="GHEA Grapalat" w:cs="Times New Roman"/>
                <w:sz w:val="24"/>
                <w:szCs w:val="24"/>
                <w:lang w:val="af-ZA" w:eastAsia="ru-RU"/>
              </w:rPr>
              <w:t xml:space="preserve"> դիմում է Ազգային բարեվարքության գործակալությանը և Ազգային հակակոռուպցիոն կենտրոնին բարեվարքության ստուգում կազմակերպելու համար։</w:t>
            </w:r>
            <w:r w:rsidRPr="00A658BB">
              <w:rPr>
                <w:rFonts w:ascii="GHEA Grapalat" w:eastAsia="Times New Roman" w:hAnsi="GHEA Grapalat" w:cs="Times New Roman"/>
                <w:b/>
                <w:bCs/>
                <w:sz w:val="24"/>
                <w:szCs w:val="24"/>
                <w:lang w:val="af-ZA" w:eastAsia="ru-RU"/>
              </w:rPr>
              <w:t xml:space="preserve"> </w:t>
            </w:r>
          </w:p>
          <w:p w:rsidR="00A658BB" w:rsidRPr="00A658BB" w:rsidRDefault="00A658BB" w:rsidP="00A658BB">
            <w:pPr>
              <w:tabs>
                <w:tab w:val="left" w:pos="709"/>
                <w:tab w:val="left" w:pos="851"/>
                <w:tab w:val="left" w:pos="993"/>
              </w:tabs>
              <w:spacing w:line="276" w:lineRule="auto"/>
              <w:ind w:right="49" w:firstLine="540"/>
              <w:jc w:val="both"/>
              <w:rPr>
                <w:rFonts w:ascii="GHEA Grapalat" w:eastAsia="Times New Roman" w:hAnsi="GHEA Grapalat" w:cs="Times New Roman"/>
                <w:sz w:val="24"/>
                <w:szCs w:val="24"/>
                <w:lang w:val="af-ZA" w:eastAsia="ru-RU"/>
              </w:rPr>
            </w:pPr>
            <w:r w:rsidRPr="00A658BB">
              <w:rPr>
                <w:rFonts w:ascii="GHEA Grapalat" w:eastAsia="Times New Roman" w:hAnsi="GHEA Grapalat" w:cs="Times New Roman"/>
                <w:sz w:val="24"/>
                <w:szCs w:val="24"/>
                <w:lang w:val="af-ZA" w:eastAsia="ru-RU"/>
              </w:rPr>
              <w:lastRenderedPageBreak/>
              <w:t>Այս ստուգման ընթացակարգն իրականացվում է ընթացիկ հայտարարագրերի, հնարավոր շահերի բախման դեպքերի ստուգման հիման վրա</w:t>
            </w:r>
          </w:p>
          <w:p w:rsidR="00A658BB" w:rsidRPr="00A658BB" w:rsidRDefault="00A658BB" w:rsidP="00A658BB">
            <w:pPr>
              <w:tabs>
                <w:tab w:val="left" w:pos="709"/>
                <w:tab w:val="left" w:pos="851"/>
                <w:tab w:val="left" w:pos="993"/>
              </w:tabs>
              <w:spacing w:line="276" w:lineRule="auto"/>
              <w:ind w:right="49" w:firstLine="540"/>
              <w:jc w:val="both"/>
              <w:rPr>
                <w:rFonts w:ascii="GHEA Grapalat" w:eastAsia="Times New Roman" w:hAnsi="GHEA Grapalat" w:cs="Times New Roman"/>
                <w:sz w:val="24"/>
                <w:szCs w:val="24"/>
                <w:lang w:val="af-ZA" w:eastAsia="ru-RU"/>
              </w:rPr>
            </w:pPr>
            <w:r w:rsidRPr="00A658BB">
              <w:rPr>
                <w:rFonts w:ascii="GHEA Grapalat" w:eastAsia="Times New Roman" w:hAnsi="GHEA Grapalat" w:cs="Times New Roman"/>
                <w:sz w:val="24"/>
                <w:szCs w:val="24"/>
                <w:lang w:val="af-ZA" w:eastAsia="ru-RU"/>
              </w:rPr>
              <w:t>Յուրաքանչյուր 5 տարին մեկ լրացուցիչ ստուգումներ են անցկացվում բոլոր գործող դատավորների համար:</w:t>
            </w:r>
          </w:p>
          <w:p w:rsidR="00A658BB" w:rsidRPr="00A658BB" w:rsidRDefault="00A658BB" w:rsidP="00A658BB">
            <w:pPr>
              <w:tabs>
                <w:tab w:val="left" w:pos="709"/>
                <w:tab w:val="left" w:pos="851"/>
                <w:tab w:val="left" w:pos="993"/>
              </w:tabs>
              <w:spacing w:line="276" w:lineRule="auto"/>
              <w:ind w:right="49" w:firstLine="540"/>
              <w:rPr>
                <w:rFonts w:ascii="GHEA Grapalat" w:eastAsia="Times New Roman" w:hAnsi="GHEA Grapalat" w:cs="Times New Roman"/>
                <w:sz w:val="24"/>
                <w:szCs w:val="24"/>
                <w:lang w:val="af-ZA" w:eastAsia="ru-RU"/>
              </w:rPr>
            </w:pPr>
          </w:p>
        </w:tc>
        <w:tc>
          <w:tcPr>
            <w:tcW w:w="2233" w:type="pct"/>
          </w:tcPr>
          <w:p w:rsidR="00A658BB" w:rsidRPr="00A658BB" w:rsidRDefault="00A658BB" w:rsidP="00A658BB">
            <w:pPr>
              <w:tabs>
                <w:tab w:val="left" w:pos="709"/>
                <w:tab w:val="left" w:pos="851"/>
                <w:tab w:val="left" w:pos="993"/>
              </w:tabs>
              <w:spacing w:line="276" w:lineRule="auto"/>
              <w:ind w:right="49" w:firstLine="540"/>
              <w:jc w:val="both"/>
              <w:rPr>
                <w:rFonts w:ascii="GHEA Grapalat" w:eastAsia="Times New Roman" w:hAnsi="GHEA Grapalat" w:cs="Times New Roman"/>
                <w:sz w:val="24"/>
                <w:szCs w:val="24"/>
                <w:lang w:val="af-ZA" w:eastAsia="ru-RU"/>
              </w:rPr>
            </w:pPr>
            <w:r w:rsidRPr="00A658BB">
              <w:rPr>
                <w:rFonts w:ascii="GHEA Grapalat" w:eastAsia="Times New Roman" w:hAnsi="GHEA Grapalat" w:cs="Times New Roman"/>
                <w:sz w:val="24"/>
                <w:szCs w:val="24"/>
                <w:lang w:val="af-ZA" w:eastAsia="ru-RU"/>
              </w:rPr>
              <w:lastRenderedPageBreak/>
              <w:t xml:space="preserve">«Դատավորների և դատախազների արտաքին գնահատման մասին» օրենքի հիման վրա Նախնական վեթինգի հանձնաժողովը գնահատում է դատական և դատախազական բարձրագույն ինքնակառավարման մարմինների (Բարձրագույն դատական և Բարձրագույն դատախազական խորհուրդներ) և դրանց մասնագիտացված մարմինների (Գնահատման հանձնաժողովներ, Կարգապահական հարցերով հանձնաժողովներ) անդամների թեկնածուների ֆինանսական և էթիկական բարեվարքությունը: </w:t>
            </w:r>
          </w:p>
          <w:p w:rsidR="00A658BB" w:rsidRPr="00A658BB" w:rsidRDefault="00A658BB" w:rsidP="00A658BB">
            <w:pPr>
              <w:tabs>
                <w:tab w:val="left" w:pos="709"/>
                <w:tab w:val="left" w:pos="851"/>
                <w:tab w:val="left" w:pos="993"/>
              </w:tabs>
              <w:spacing w:line="276" w:lineRule="auto"/>
              <w:ind w:right="49" w:firstLine="540"/>
              <w:jc w:val="both"/>
              <w:rPr>
                <w:rFonts w:ascii="GHEA Grapalat" w:eastAsia="Times New Roman" w:hAnsi="GHEA Grapalat" w:cs="Times New Roman"/>
                <w:b/>
                <w:bCs/>
                <w:sz w:val="24"/>
                <w:szCs w:val="24"/>
                <w:lang w:val="af-ZA" w:eastAsia="ru-RU"/>
              </w:rPr>
            </w:pPr>
            <w:r w:rsidRPr="00A658BB">
              <w:rPr>
                <w:rFonts w:ascii="GHEA Grapalat" w:eastAsia="Times New Roman" w:hAnsi="GHEA Grapalat" w:cs="Times New Roman"/>
                <w:sz w:val="24"/>
                <w:szCs w:val="24"/>
                <w:lang w:val="af-ZA" w:eastAsia="ru-RU"/>
              </w:rPr>
              <w:t xml:space="preserve">Տվյալ մեխանիզմը՝ իր ամբողջ կառուցակարգերով, բողոքարկման ընթացակարգերով հանդերձ, մշակվել և ներդրվել էր որպես ժամանակավոր միջոց դատական և </w:t>
            </w:r>
            <w:r w:rsidRPr="00A658BB">
              <w:rPr>
                <w:rFonts w:ascii="GHEA Grapalat" w:eastAsia="Times New Roman" w:hAnsi="GHEA Grapalat" w:cs="Times New Roman"/>
                <w:sz w:val="24"/>
                <w:szCs w:val="24"/>
                <w:lang w:val="af-ZA" w:eastAsia="ru-RU"/>
              </w:rPr>
              <w:lastRenderedPageBreak/>
              <w:t xml:space="preserve">դատախազական մարմինների վեթինգի/զտման համար։ Այսինքն, մանդատի ավարտից հետո Նախնական վեթինգի հանձնաժողովը կդադարի գոյություն ունենալ կամ վերափոխվի այլ մեխանիզմի։ </w:t>
            </w:r>
          </w:p>
          <w:p w:rsidR="00A658BB" w:rsidRPr="00A658BB" w:rsidRDefault="00A658BB" w:rsidP="00A658BB">
            <w:pPr>
              <w:tabs>
                <w:tab w:val="left" w:pos="709"/>
                <w:tab w:val="left" w:pos="851"/>
                <w:tab w:val="left" w:pos="993"/>
              </w:tabs>
              <w:spacing w:line="276" w:lineRule="auto"/>
              <w:ind w:right="49" w:firstLine="540"/>
              <w:rPr>
                <w:rFonts w:ascii="GHEA Grapalat" w:eastAsia="Times New Roman" w:hAnsi="GHEA Grapalat" w:cs="Times New Roman"/>
                <w:sz w:val="24"/>
                <w:szCs w:val="24"/>
                <w:lang w:val="af-ZA" w:eastAsia="ru-RU"/>
              </w:rPr>
            </w:pPr>
          </w:p>
        </w:tc>
      </w:tr>
      <w:tr w:rsidR="00A658BB" w:rsidRPr="00A658BB" w:rsidTr="00237886">
        <w:tc>
          <w:tcPr>
            <w:tcW w:w="848" w:type="pct"/>
          </w:tcPr>
          <w:p w:rsidR="00A658BB" w:rsidRPr="00A658BB" w:rsidRDefault="00A658BB" w:rsidP="00A658BB">
            <w:pPr>
              <w:tabs>
                <w:tab w:val="left" w:pos="709"/>
                <w:tab w:val="left" w:pos="851"/>
                <w:tab w:val="left" w:pos="993"/>
              </w:tabs>
              <w:spacing w:line="276" w:lineRule="auto"/>
              <w:ind w:right="49" w:firstLine="540"/>
              <w:rPr>
                <w:rFonts w:ascii="GHEA Grapalat" w:eastAsia="Times New Roman" w:hAnsi="GHEA Grapalat" w:cs="Times New Roman"/>
                <w:sz w:val="24"/>
                <w:szCs w:val="24"/>
                <w:lang w:val="af-ZA" w:eastAsia="ru-RU"/>
              </w:rPr>
            </w:pPr>
            <w:r w:rsidRPr="00A658BB">
              <w:rPr>
                <w:rFonts w:ascii="GHEA Grapalat" w:eastAsia="Times New Roman" w:hAnsi="GHEA Grapalat" w:cs="Times New Roman"/>
                <w:sz w:val="24"/>
                <w:szCs w:val="24"/>
                <w:lang w:val="af-ZA" w:eastAsia="ru-RU"/>
              </w:rPr>
              <w:lastRenderedPageBreak/>
              <w:t>Հրապարա-կայնություն</w:t>
            </w:r>
          </w:p>
        </w:tc>
        <w:tc>
          <w:tcPr>
            <w:tcW w:w="1919" w:type="pct"/>
          </w:tcPr>
          <w:p w:rsidR="00A658BB" w:rsidRPr="00A658BB" w:rsidRDefault="00A658BB" w:rsidP="00A658BB">
            <w:pPr>
              <w:tabs>
                <w:tab w:val="left" w:pos="709"/>
                <w:tab w:val="left" w:pos="851"/>
                <w:tab w:val="left" w:pos="993"/>
              </w:tabs>
              <w:spacing w:line="276" w:lineRule="auto"/>
              <w:ind w:right="49" w:firstLine="540"/>
              <w:jc w:val="both"/>
              <w:rPr>
                <w:rFonts w:ascii="GHEA Grapalat" w:eastAsia="Times New Roman" w:hAnsi="GHEA Grapalat" w:cs="Times New Roman"/>
                <w:sz w:val="24"/>
                <w:szCs w:val="24"/>
                <w:lang w:val="hy-AM" w:eastAsia="ru-RU"/>
              </w:rPr>
            </w:pPr>
            <w:r w:rsidRPr="00A658BB">
              <w:rPr>
                <w:rFonts w:ascii="GHEA Grapalat" w:eastAsia="Times New Roman" w:hAnsi="GHEA Grapalat" w:cs="Times New Roman"/>
                <w:sz w:val="24"/>
                <w:szCs w:val="24"/>
                <w:lang w:val="af-ZA" w:eastAsia="ru-RU"/>
              </w:rPr>
              <w:t>Գործող դատավորների ստուգման դեպքում ոչ թե վերջնական բարեվարքության վերաբերյալ որոշում է ընդունվում, այլ զեկույց, որը խորհրդատվական բնույթ է կրում։ Այն հրապարակային չէ։</w:t>
            </w:r>
          </w:p>
        </w:tc>
        <w:tc>
          <w:tcPr>
            <w:tcW w:w="2233" w:type="pct"/>
          </w:tcPr>
          <w:p w:rsidR="00A658BB" w:rsidRPr="00A658BB" w:rsidRDefault="00A658BB" w:rsidP="00A658BB">
            <w:pPr>
              <w:tabs>
                <w:tab w:val="left" w:pos="709"/>
                <w:tab w:val="left" w:pos="851"/>
                <w:tab w:val="left" w:pos="993"/>
              </w:tabs>
              <w:spacing w:line="276" w:lineRule="auto"/>
              <w:ind w:right="49" w:firstLine="540"/>
              <w:jc w:val="both"/>
              <w:rPr>
                <w:rFonts w:ascii="GHEA Grapalat" w:eastAsia="Times New Roman" w:hAnsi="GHEA Grapalat" w:cs="Times New Roman"/>
                <w:sz w:val="24"/>
                <w:szCs w:val="24"/>
                <w:lang w:val="af-ZA" w:eastAsia="ru-RU"/>
              </w:rPr>
            </w:pPr>
            <w:r w:rsidRPr="00A658BB">
              <w:rPr>
                <w:rFonts w:ascii="GHEA Grapalat" w:eastAsia="Times New Roman" w:hAnsi="GHEA Grapalat" w:cs="Times New Roman"/>
                <w:sz w:val="24"/>
                <w:szCs w:val="24"/>
                <w:lang w:val="af-ZA" w:eastAsia="ru-RU"/>
              </w:rPr>
              <w:t xml:space="preserve">Ոչ միայն հրապարակային են վերջնական որոշումները, այլև թափանցիկ </w:t>
            </w:r>
            <w:r w:rsidRPr="00A658BB">
              <w:rPr>
                <w:rFonts w:ascii="GHEA Grapalat" w:eastAsia="Times New Roman" w:hAnsi="GHEA Grapalat" w:cs="Times New Roman"/>
                <w:sz w:val="24"/>
                <w:szCs w:val="24"/>
                <w:lang w:val="hy-AM" w:eastAsia="ru-RU"/>
              </w:rPr>
              <w:t>է</w:t>
            </w:r>
            <w:r w:rsidRPr="00A658BB">
              <w:rPr>
                <w:rFonts w:ascii="GHEA Grapalat" w:eastAsia="Times New Roman" w:hAnsi="GHEA Grapalat" w:cs="Times New Roman"/>
                <w:sz w:val="24"/>
                <w:szCs w:val="24"/>
                <w:lang w:val="af-ZA" w:eastAsia="ru-RU"/>
              </w:rPr>
              <w:t xml:space="preserve"> բարեվարքության ուսումնասիրության գործընթացը։ Օրինակ՝ Հանձնաժողովի կողմից անձի վերաբերյալ տեղեկությունների հավաքագրումից հետո թեկնածուն հրավիրվում է հրապարակային լսումների, որոնք դռնբաց են, իսկ ձայնագրությունը հետո հրապարակվում է Հանձնաժողովի կայքէջում</w:t>
            </w:r>
            <w:r w:rsidRPr="00A658BB">
              <w:rPr>
                <w:rFonts w:ascii="GHEA Grapalat" w:eastAsia="Times New Roman" w:hAnsi="GHEA Grapalat" w:cs="Times New Roman"/>
                <w:sz w:val="24"/>
                <w:szCs w:val="24"/>
                <w:vertAlign w:val="superscript"/>
                <w:lang w:val="hy-AM" w:eastAsia="ru-RU"/>
              </w:rPr>
              <w:footnoteReference w:id="8"/>
            </w:r>
            <w:r w:rsidRPr="00A658BB">
              <w:rPr>
                <w:rFonts w:ascii="GHEA Grapalat" w:eastAsia="Times New Roman" w:hAnsi="GHEA Grapalat" w:cs="Times New Roman"/>
                <w:sz w:val="24"/>
                <w:szCs w:val="24"/>
                <w:lang w:val="af-ZA" w:eastAsia="ru-RU"/>
              </w:rPr>
              <w:t xml:space="preserve">, եթե թեկնածուները առարկություններ չունեն։  Բացառություն են կազմում այն դեպքերը, երբ դռնբաց լսումները կարող են վնասել հասարակական կարգին, բարոյական սկզբունքներին։ Եթե թեկնածուն չի ներկայանում լսումներին, ապա դրանք կարող են տեղի ունենալ առանց թեկնածուի </w:t>
            </w:r>
            <w:r w:rsidRPr="00A658BB">
              <w:rPr>
                <w:rFonts w:ascii="GHEA Grapalat" w:eastAsia="Times New Roman" w:hAnsi="GHEA Grapalat" w:cs="Times New Roman"/>
                <w:sz w:val="24"/>
                <w:szCs w:val="24"/>
                <w:lang w:val="af-ZA" w:eastAsia="ru-RU"/>
              </w:rPr>
              <w:lastRenderedPageBreak/>
              <w:t>մասնակցության հավաքագրված նյութերի հիման վրա։</w:t>
            </w:r>
          </w:p>
          <w:p w:rsidR="00A658BB" w:rsidRPr="00A658BB" w:rsidRDefault="00A658BB" w:rsidP="00A658BB">
            <w:pPr>
              <w:tabs>
                <w:tab w:val="left" w:pos="709"/>
                <w:tab w:val="left" w:pos="851"/>
                <w:tab w:val="left" w:pos="993"/>
              </w:tabs>
              <w:spacing w:line="276" w:lineRule="auto"/>
              <w:ind w:right="49" w:firstLine="540"/>
              <w:rPr>
                <w:rFonts w:ascii="GHEA Grapalat" w:eastAsia="Times New Roman" w:hAnsi="GHEA Grapalat" w:cs="Times New Roman"/>
                <w:sz w:val="24"/>
                <w:szCs w:val="24"/>
                <w:lang w:val="af-ZA" w:eastAsia="ru-RU"/>
              </w:rPr>
            </w:pPr>
          </w:p>
          <w:p w:rsidR="00A658BB" w:rsidRPr="00A658BB" w:rsidRDefault="00A658BB" w:rsidP="00A658BB">
            <w:pPr>
              <w:tabs>
                <w:tab w:val="left" w:pos="709"/>
                <w:tab w:val="left" w:pos="851"/>
                <w:tab w:val="left" w:pos="993"/>
              </w:tabs>
              <w:spacing w:line="276" w:lineRule="auto"/>
              <w:ind w:right="49" w:firstLine="540"/>
              <w:jc w:val="both"/>
              <w:rPr>
                <w:rFonts w:ascii="GHEA Grapalat" w:eastAsia="Times New Roman" w:hAnsi="GHEA Grapalat" w:cs="Times New Roman"/>
                <w:sz w:val="24"/>
                <w:szCs w:val="24"/>
                <w:lang w:val="af-ZA" w:eastAsia="ru-RU"/>
              </w:rPr>
            </w:pPr>
            <w:r w:rsidRPr="00A658BB">
              <w:rPr>
                <w:rFonts w:ascii="GHEA Grapalat" w:eastAsia="Times New Roman" w:hAnsi="GHEA Grapalat" w:cs="Times New Roman"/>
                <w:sz w:val="24"/>
                <w:szCs w:val="24"/>
                <w:lang w:val="af-ZA" w:eastAsia="ru-RU"/>
              </w:rPr>
              <w:t>Հանձնաժողովը հրապարակում է Դատավորների բարձրագույն խորհրդի թեկնածուների (դատավորների) բարեվարքության վերաբերյալ գնահատման վերջնական արդյունքները՝ Հանձնաժողովի եզրակացությամբ  (դրական կամ բացասական)</w:t>
            </w:r>
            <w:r w:rsidRPr="00A658BB">
              <w:rPr>
                <w:rFonts w:ascii="GHEA Grapalat" w:eastAsia="Times New Roman" w:hAnsi="GHEA Grapalat" w:cs="Times New Roman"/>
                <w:b/>
                <w:sz w:val="24"/>
                <w:szCs w:val="24"/>
                <w:vertAlign w:val="superscript"/>
                <w:lang w:val="hy-AM" w:eastAsia="ru-RU"/>
              </w:rPr>
              <w:footnoteReference w:id="9"/>
            </w:r>
            <w:r w:rsidRPr="00A658BB">
              <w:rPr>
                <w:rFonts w:ascii="GHEA Grapalat" w:eastAsia="Times New Roman" w:hAnsi="GHEA Grapalat" w:cs="Times New Roman"/>
                <w:sz w:val="24"/>
                <w:szCs w:val="24"/>
                <w:lang w:val="af-ZA" w:eastAsia="ru-RU"/>
              </w:rPr>
              <w:t>՝ պատճառաբանված որոշմամբ, որոնք ուղարկվում են նաև թեկնածուների էլեկտրոնային հասցեներին:</w:t>
            </w:r>
            <w:r w:rsidRPr="00A658BB">
              <w:rPr>
                <w:rFonts w:ascii="GHEA Grapalat" w:eastAsia="Times New Roman" w:hAnsi="GHEA Grapalat" w:cs="Times New Roman"/>
                <w:sz w:val="24"/>
                <w:szCs w:val="24"/>
                <w:vertAlign w:val="superscript"/>
                <w:lang w:val="hy-AM" w:eastAsia="ru-RU"/>
              </w:rPr>
              <w:footnoteReference w:id="10"/>
            </w:r>
            <w:r w:rsidRPr="00A658BB">
              <w:rPr>
                <w:rFonts w:ascii="GHEA Grapalat" w:eastAsia="Times New Roman" w:hAnsi="GHEA Grapalat" w:cs="Times New Roman"/>
                <w:sz w:val="24"/>
                <w:szCs w:val="24"/>
                <w:lang w:val="af-ZA" w:eastAsia="ru-RU"/>
              </w:rPr>
              <w:t xml:space="preserve"> Նույն օրը Հանձնաժողովն իր պաշտոնական կայքէջում հրապարակում է տեղեկություններ թեկնածուի՝ բարեվարքության գնահատումն անցնելու կամ չանցնելու մասին: Եթե բարեվարքության վերաբերյալ որոշումը թեկնածուին ուղարկելուց հետո 48 ժամվա ընթացքում վերջինս չի ծանուցում Հանձնաժողովին իր վերաբերյալ որոշումը հրապարակելուց հրաժարվելու մասին, ապա թեկնածուի գնահատման մասին որոշումը հրապարակվում է ընտրությունների կամ մրցույթի կազմակերպման </w:t>
            </w:r>
            <w:r w:rsidRPr="00A658BB">
              <w:rPr>
                <w:rFonts w:ascii="GHEA Grapalat" w:eastAsia="Times New Roman" w:hAnsi="GHEA Grapalat" w:cs="Times New Roman"/>
                <w:sz w:val="24"/>
                <w:szCs w:val="24"/>
                <w:lang w:val="af-ZA" w:eastAsia="ru-RU"/>
              </w:rPr>
              <w:lastRenderedPageBreak/>
              <w:t>համար պատասխանատու կազմակերպության կայքէջում՝ անհրաժեշտության դեպքում՝ ապանձնավորված, բացառությամբ թեկնածուի անուն-ազգանվան, ինչը մնում է հրապարակային։</w:t>
            </w:r>
          </w:p>
        </w:tc>
      </w:tr>
      <w:tr w:rsidR="00A658BB" w:rsidRPr="00A658BB" w:rsidTr="00237886">
        <w:tc>
          <w:tcPr>
            <w:tcW w:w="848" w:type="pct"/>
          </w:tcPr>
          <w:p w:rsidR="00A658BB" w:rsidRPr="00A658BB" w:rsidRDefault="00A658BB" w:rsidP="00A658BB">
            <w:pPr>
              <w:tabs>
                <w:tab w:val="left" w:pos="709"/>
                <w:tab w:val="left" w:pos="851"/>
                <w:tab w:val="left" w:pos="993"/>
              </w:tabs>
              <w:spacing w:line="276" w:lineRule="auto"/>
              <w:ind w:right="49" w:firstLine="540"/>
              <w:rPr>
                <w:rFonts w:ascii="GHEA Grapalat" w:eastAsia="Times New Roman" w:hAnsi="GHEA Grapalat" w:cs="Times New Roman"/>
                <w:sz w:val="24"/>
                <w:szCs w:val="24"/>
                <w:lang w:val="af-ZA" w:eastAsia="ru-RU"/>
              </w:rPr>
            </w:pPr>
            <w:r w:rsidRPr="00A658BB">
              <w:rPr>
                <w:rFonts w:ascii="GHEA Grapalat" w:eastAsia="Times New Roman" w:hAnsi="GHEA Grapalat" w:cs="Times New Roman"/>
                <w:sz w:val="24"/>
                <w:szCs w:val="24"/>
                <w:lang w:val="af-ZA" w:eastAsia="ru-RU"/>
              </w:rPr>
              <w:lastRenderedPageBreak/>
              <w:t>Պատճառա-բանվածություն</w:t>
            </w:r>
          </w:p>
        </w:tc>
        <w:tc>
          <w:tcPr>
            <w:tcW w:w="1919" w:type="pct"/>
          </w:tcPr>
          <w:p w:rsidR="00A658BB" w:rsidRPr="00A658BB" w:rsidRDefault="00A658BB" w:rsidP="00A658BB">
            <w:pPr>
              <w:tabs>
                <w:tab w:val="left" w:pos="709"/>
                <w:tab w:val="left" w:pos="851"/>
                <w:tab w:val="left" w:pos="993"/>
              </w:tabs>
              <w:spacing w:line="276" w:lineRule="auto"/>
              <w:ind w:right="49" w:firstLine="540"/>
              <w:jc w:val="both"/>
              <w:rPr>
                <w:rFonts w:ascii="GHEA Grapalat" w:eastAsia="Times New Roman" w:hAnsi="GHEA Grapalat" w:cs="Times New Roman"/>
                <w:sz w:val="24"/>
                <w:szCs w:val="24"/>
                <w:lang w:val="af-ZA" w:eastAsia="ru-RU"/>
              </w:rPr>
            </w:pPr>
            <w:r w:rsidRPr="00A658BB">
              <w:rPr>
                <w:rFonts w:ascii="GHEA Grapalat" w:eastAsia="Times New Roman" w:hAnsi="GHEA Grapalat" w:cs="Times New Roman"/>
                <w:sz w:val="24"/>
                <w:szCs w:val="24"/>
                <w:lang w:val="af-ZA" w:eastAsia="ru-RU"/>
              </w:rPr>
              <w:t>Յուրաքանչյուր դեպքով ՄԲԽ կայացնում է պատճառաբանված որոշում, սակայն դրանք բարեվարքության վերաբերյալ մանրամասներ չեն պարունակում։</w:t>
            </w:r>
          </w:p>
        </w:tc>
        <w:tc>
          <w:tcPr>
            <w:tcW w:w="2233" w:type="pct"/>
          </w:tcPr>
          <w:p w:rsidR="00A658BB" w:rsidRPr="00A658BB" w:rsidRDefault="00A658BB" w:rsidP="00A658BB">
            <w:pPr>
              <w:tabs>
                <w:tab w:val="left" w:pos="709"/>
                <w:tab w:val="left" w:pos="851"/>
                <w:tab w:val="left" w:pos="993"/>
              </w:tabs>
              <w:spacing w:line="276" w:lineRule="auto"/>
              <w:ind w:right="49" w:firstLine="540"/>
              <w:jc w:val="both"/>
              <w:rPr>
                <w:rFonts w:ascii="GHEA Grapalat" w:eastAsia="Times New Roman" w:hAnsi="GHEA Grapalat" w:cs="Times New Roman"/>
                <w:sz w:val="24"/>
                <w:szCs w:val="24"/>
                <w:lang w:val="af-ZA" w:eastAsia="ru-RU"/>
              </w:rPr>
            </w:pPr>
            <w:r w:rsidRPr="00A658BB">
              <w:rPr>
                <w:rFonts w:ascii="GHEA Grapalat" w:eastAsia="Times New Roman" w:hAnsi="GHEA Grapalat" w:cs="Times New Roman"/>
                <w:sz w:val="24"/>
                <w:szCs w:val="24"/>
                <w:lang w:val="af-ZA" w:eastAsia="ru-RU"/>
              </w:rPr>
              <w:t>Բարեվարքության ստուգումն ավարտվում է Նախնական վեթինգի հանձնաժողովի պատճառաբանված որոշման ընդունմամբ, որը կամ հաստատում է ստուգման անցած լինելը կամ ձախողելը։ Որոշումը ներառում է փաստերի շարադրում, պատճառներ և եզրակացություն ստուգումը հաջողությամբ անցնելու կամ ձախողելու վերաբերյալ։</w:t>
            </w:r>
          </w:p>
          <w:p w:rsidR="00A658BB" w:rsidRPr="00A658BB" w:rsidRDefault="00A658BB" w:rsidP="00A658BB">
            <w:pPr>
              <w:tabs>
                <w:tab w:val="left" w:pos="709"/>
                <w:tab w:val="left" w:pos="851"/>
                <w:tab w:val="left" w:pos="993"/>
              </w:tabs>
              <w:spacing w:line="276" w:lineRule="auto"/>
              <w:ind w:right="49" w:firstLine="540"/>
              <w:rPr>
                <w:rFonts w:ascii="GHEA Grapalat" w:eastAsia="Times New Roman" w:hAnsi="GHEA Grapalat" w:cs="Times New Roman"/>
                <w:b/>
                <w:bCs/>
                <w:sz w:val="24"/>
                <w:szCs w:val="24"/>
                <w:lang w:val="af-ZA" w:eastAsia="ru-RU"/>
              </w:rPr>
            </w:pPr>
          </w:p>
          <w:p w:rsidR="00A658BB" w:rsidRPr="00A658BB" w:rsidRDefault="00A658BB" w:rsidP="00A658BB">
            <w:pPr>
              <w:tabs>
                <w:tab w:val="left" w:pos="709"/>
                <w:tab w:val="left" w:pos="851"/>
                <w:tab w:val="left" w:pos="993"/>
              </w:tabs>
              <w:spacing w:line="276" w:lineRule="auto"/>
              <w:ind w:right="49" w:firstLine="540"/>
              <w:jc w:val="both"/>
              <w:rPr>
                <w:rFonts w:ascii="GHEA Grapalat" w:eastAsia="Times New Roman" w:hAnsi="GHEA Grapalat" w:cs="Times New Roman"/>
                <w:sz w:val="24"/>
                <w:szCs w:val="24"/>
                <w:lang w:val="af-ZA" w:eastAsia="ru-RU"/>
              </w:rPr>
            </w:pPr>
            <w:r w:rsidRPr="00A658BB">
              <w:rPr>
                <w:rFonts w:ascii="GHEA Grapalat" w:eastAsia="Times New Roman" w:hAnsi="GHEA Grapalat" w:cs="Times New Roman"/>
                <w:sz w:val="24"/>
                <w:szCs w:val="24"/>
                <w:lang w:val="af-ZA" w:eastAsia="ru-RU"/>
              </w:rPr>
              <w:t>Դատավորների և դատախազների ինքնակառավարման մարմինները ստացած եզրակացության հիման վրա վերջնարդյունքում ընդունում են որոշում: Ցանկացած պարագայում ինքնակառավարման մարմինների որոշումը պետք է լինի պատճառաբանված և հրապարակվի:</w:t>
            </w:r>
          </w:p>
        </w:tc>
      </w:tr>
      <w:tr w:rsidR="00A658BB" w:rsidRPr="00A658BB" w:rsidTr="00237886">
        <w:tc>
          <w:tcPr>
            <w:tcW w:w="848" w:type="pct"/>
          </w:tcPr>
          <w:p w:rsidR="00A658BB" w:rsidRPr="00A658BB" w:rsidRDefault="00A658BB" w:rsidP="00A658BB">
            <w:pPr>
              <w:tabs>
                <w:tab w:val="left" w:pos="709"/>
                <w:tab w:val="left" w:pos="851"/>
                <w:tab w:val="left" w:pos="993"/>
              </w:tabs>
              <w:spacing w:line="276" w:lineRule="auto"/>
              <w:ind w:right="49" w:firstLine="540"/>
              <w:rPr>
                <w:rFonts w:ascii="GHEA Grapalat" w:eastAsia="Times New Roman" w:hAnsi="GHEA Grapalat" w:cs="Times New Roman"/>
                <w:sz w:val="24"/>
                <w:szCs w:val="24"/>
                <w:lang w:val="af-ZA" w:eastAsia="ru-RU"/>
              </w:rPr>
            </w:pPr>
            <w:r w:rsidRPr="00A658BB">
              <w:rPr>
                <w:rFonts w:ascii="GHEA Grapalat" w:eastAsia="Times New Roman" w:hAnsi="GHEA Grapalat" w:cs="Times New Roman"/>
                <w:sz w:val="24"/>
                <w:szCs w:val="24"/>
                <w:lang w:val="af-ZA" w:eastAsia="ru-RU"/>
              </w:rPr>
              <w:t>Բողոքարկում</w:t>
            </w:r>
          </w:p>
        </w:tc>
        <w:tc>
          <w:tcPr>
            <w:tcW w:w="1919" w:type="pct"/>
          </w:tcPr>
          <w:p w:rsidR="00A658BB" w:rsidRPr="00A658BB" w:rsidRDefault="00A658BB" w:rsidP="00A658BB">
            <w:pPr>
              <w:tabs>
                <w:tab w:val="left" w:pos="709"/>
                <w:tab w:val="left" w:pos="851"/>
                <w:tab w:val="left" w:pos="993"/>
              </w:tabs>
              <w:spacing w:line="276" w:lineRule="auto"/>
              <w:ind w:right="49" w:firstLine="540"/>
              <w:rPr>
                <w:rFonts w:ascii="GHEA Grapalat" w:eastAsia="Times New Roman" w:hAnsi="GHEA Grapalat" w:cs="Times New Roman"/>
                <w:sz w:val="24"/>
                <w:szCs w:val="24"/>
                <w:lang w:val="af-ZA" w:eastAsia="ru-RU"/>
              </w:rPr>
            </w:pPr>
          </w:p>
        </w:tc>
        <w:tc>
          <w:tcPr>
            <w:tcW w:w="2233" w:type="pct"/>
          </w:tcPr>
          <w:p w:rsidR="00A658BB" w:rsidRPr="00A658BB" w:rsidRDefault="00A658BB" w:rsidP="00A658BB">
            <w:pPr>
              <w:tabs>
                <w:tab w:val="left" w:pos="709"/>
                <w:tab w:val="left" w:pos="851"/>
                <w:tab w:val="left" w:pos="993"/>
              </w:tabs>
              <w:spacing w:line="276" w:lineRule="auto"/>
              <w:ind w:right="49" w:firstLine="540"/>
              <w:jc w:val="both"/>
              <w:rPr>
                <w:rFonts w:ascii="GHEA Grapalat" w:eastAsia="Times New Roman" w:hAnsi="GHEA Grapalat" w:cs="Times New Roman"/>
                <w:sz w:val="24"/>
                <w:szCs w:val="24"/>
                <w:lang w:val="af-ZA" w:eastAsia="ru-RU"/>
              </w:rPr>
            </w:pPr>
            <w:r w:rsidRPr="00A658BB">
              <w:rPr>
                <w:rFonts w:ascii="GHEA Grapalat" w:eastAsia="Times New Roman" w:hAnsi="GHEA Grapalat" w:cs="Times New Roman"/>
                <w:sz w:val="24"/>
                <w:szCs w:val="24"/>
                <w:lang w:val="af-ZA" w:eastAsia="ru-RU"/>
              </w:rPr>
              <w:t xml:space="preserve">Քանի որ հրապարակայնության հաշվին որոշ չափով խաթարվում է անձի անձնական կյանքի գաղտնիությունը, վերջինս պետք է ունենա տվյալ գործընթացին մասնակցելու և վերջնական որոշումը </w:t>
            </w:r>
            <w:r w:rsidRPr="00A658BB">
              <w:rPr>
                <w:rFonts w:ascii="GHEA Grapalat" w:eastAsia="Times New Roman" w:hAnsi="GHEA Grapalat" w:cs="Times New Roman"/>
                <w:sz w:val="24"/>
                <w:szCs w:val="24"/>
                <w:lang w:val="af-ZA" w:eastAsia="ru-RU"/>
              </w:rPr>
              <w:lastRenderedPageBreak/>
              <w:t>բողոքարկելու իրավունք։ Թեկնածուն նաև կարող է բողոքարկել իր վերաբերյալ կայացրած բարեվարքության ստուգման եզրակացությունը։</w:t>
            </w:r>
            <w:r w:rsidRPr="00A658BB">
              <w:rPr>
                <w:rFonts w:ascii="GHEA Grapalat" w:eastAsia="Times New Roman" w:hAnsi="GHEA Grapalat" w:cs="Times New Roman"/>
                <w:sz w:val="24"/>
                <w:szCs w:val="24"/>
                <w:vertAlign w:val="superscript"/>
                <w:lang w:val="hy-AM" w:eastAsia="ru-RU"/>
              </w:rPr>
              <w:footnoteReference w:id="11"/>
            </w:r>
            <w:r w:rsidRPr="00A658BB">
              <w:rPr>
                <w:rFonts w:ascii="GHEA Grapalat" w:eastAsia="Times New Roman" w:hAnsi="GHEA Grapalat" w:cs="Times New Roman"/>
                <w:sz w:val="24"/>
                <w:szCs w:val="24"/>
                <w:lang w:val="af-ZA" w:eastAsia="ru-RU"/>
              </w:rPr>
              <w:t xml:space="preserve"> </w:t>
            </w:r>
          </w:p>
          <w:p w:rsidR="00A658BB" w:rsidRPr="00A658BB" w:rsidRDefault="00A658BB" w:rsidP="00A658BB">
            <w:pPr>
              <w:tabs>
                <w:tab w:val="left" w:pos="709"/>
                <w:tab w:val="left" w:pos="851"/>
                <w:tab w:val="left" w:pos="993"/>
              </w:tabs>
              <w:spacing w:line="276" w:lineRule="auto"/>
              <w:ind w:right="49" w:firstLine="540"/>
              <w:jc w:val="center"/>
              <w:rPr>
                <w:rFonts w:ascii="GHEA Grapalat" w:eastAsia="Times New Roman" w:hAnsi="GHEA Grapalat" w:cs="Times New Roman"/>
                <w:sz w:val="24"/>
                <w:szCs w:val="24"/>
                <w:lang w:val="af-ZA" w:eastAsia="ru-RU"/>
              </w:rPr>
            </w:pPr>
          </w:p>
          <w:p w:rsidR="00A658BB" w:rsidRPr="00A658BB" w:rsidRDefault="00A658BB" w:rsidP="00A658BB">
            <w:pPr>
              <w:tabs>
                <w:tab w:val="left" w:pos="709"/>
                <w:tab w:val="left" w:pos="851"/>
                <w:tab w:val="left" w:pos="993"/>
              </w:tabs>
              <w:spacing w:line="276" w:lineRule="auto"/>
              <w:ind w:right="49" w:firstLine="540"/>
              <w:jc w:val="both"/>
              <w:rPr>
                <w:rFonts w:ascii="GHEA Grapalat" w:eastAsia="Times New Roman" w:hAnsi="GHEA Grapalat" w:cs="Times New Roman"/>
                <w:sz w:val="24"/>
                <w:szCs w:val="24"/>
                <w:lang w:val="af-ZA" w:eastAsia="ru-RU"/>
              </w:rPr>
            </w:pPr>
            <w:r w:rsidRPr="00A658BB">
              <w:rPr>
                <w:rFonts w:ascii="GHEA Grapalat" w:eastAsia="Times New Roman" w:hAnsi="GHEA Grapalat" w:cs="Times New Roman"/>
                <w:sz w:val="24"/>
                <w:szCs w:val="24"/>
                <w:lang w:val="af-ZA" w:eastAsia="ru-RU"/>
              </w:rPr>
              <w:t xml:space="preserve">Բողոքարկման ատյանը Մոլդովայի բարձրագույն դատարանն </w:t>
            </w:r>
            <w:r w:rsidRPr="00A658BB">
              <w:rPr>
                <w:rFonts w:ascii="GHEA Grapalat" w:eastAsia="Times New Roman" w:hAnsi="GHEA Grapalat" w:cs="Times New Roman"/>
                <w:sz w:val="24"/>
                <w:szCs w:val="24"/>
                <w:lang w:val="hy-AM" w:eastAsia="ru-RU"/>
              </w:rPr>
              <w:t xml:space="preserve">է: </w:t>
            </w:r>
            <w:r w:rsidRPr="00A658BB">
              <w:rPr>
                <w:rFonts w:ascii="GHEA Grapalat" w:eastAsia="Times New Roman" w:hAnsi="GHEA Grapalat" w:cs="Times New Roman"/>
                <w:sz w:val="24"/>
                <w:szCs w:val="24"/>
                <w:lang w:val="af-ZA" w:eastAsia="ru-RU"/>
              </w:rPr>
              <w:t xml:space="preserve">Բողոքարկման ընթացակարգը կարգավորվում է վարչական դատավարության օրենսգրքով՝ 10-օրյա ժամկետում։ </w:t>
            </w:r>
          </w:p>
        </w:tc>
      </w:tr>
      <w:tr w:rsidR="00A658BB" w:rsidRPr="00A658BB" w:rsidTr="00237886">
        <w:tc>
          <w:tcPr>
            <w:tcW w:w="848" w:type="pct"/>
          </w:tcPr>
          <w:p w:rsidR="00A658BB" w:rsidRPr="00A658BB" w:rsidRDefault="00A658BB" w:rsidP="00A658BB">
            <w:pPr>
              <w:tabs>
                <w:tab w:val="left" w:pos="709"/>
                <w:tab w:val="left" w:pos="851"/>
                <w:tab w:val="left" w:pos="993"/>
              </w:tabs>
              <w:spacing w:line="276" w:lineRule="auto"/>
              <w:ind w:right="49" w:firstLine="540"/>
              <w:rPr>
                <w:rFonts w:ascii="GHEA Grapalat" w:eastAsia="Times New Roman" w:hAnsi="GHEA Grapalat" w:cs="Times New Roman"/>
                <w:sz w:val="24"/>
                <w:szCs w:val="24"/>
                <w:lang w:val="af-ZA" w:eastAsia="ru-RU"/>
              </w:rPr>
            </w:pPr>
            <w:r w:rsidRPr="00A658BB">
              <w:rPr>
                <w:rFonts w:ascii="GHEA Grapalat" w:eastAsia="Times New Roman" w:hAnsi="GHEA Grapalat" w:cs="Times New Roman"/>
                <w:sz w:val="24"/>
                <w:szCs w:val="24"/>
                <w:lang w:val="af-ZA" w:eastAsia="ru-RU"/>
              </w:rPr>
              <w:lastRenderedPageBreak/>
              <w:t>Այլ ընթացակարգային պահանջներ</w:t>
            </w:r>
          </w:p>
        </w:tc>
        <w:tc>
          <w:tcPr>
            <w:tcW w:w="1919" w:type="pct"/>
          </w:tcPr>
          <w:p w:rsidR="00A658BB" w:rsidRPr="00A658BB" w:rsidRDefault="00A658BB" w:rsidP="00A658BB">
            <w:pPr>
              <w:tabs>
                <w:tab w:val="left" w:pos="709"/>
                <w:tab w:val="left" w:pos="851"/>
                <w:tab w:val="left" w:pos="993"/>
              </w:tabs>
              <w:spacing w:line="276" w:lineRule="auto"/>
              <w:ind w:right="49" w:firstLine="540"/>
              <w:jc w:val="both"/>
              <w:rPr>
                <w:rFonts w:ascii="GHEA Grapalat" w:eastAsia="Times New Roman" w:hAnsi="GHEA Grapalat" w:cs="Times New Roman"/>
                <w:sz w:val="24"/>
                <w:szCs w:val="24"/>
                <w:lang w:val="af-ZA" w:eastAsia="ru-RU"/>
              </w:rPr>
            </w:pPr>
            <w:r w:rsidRPr="00A658BB">
              <w:rPr>
                <w:rFonts w:ascii="GHEA Grapalat" w:eastAsia="Times New Roman" w:hAnsi="GHEA Grapalat" w:cs="Times New Roman"/>
                <w:sz w:val="24"/>
                <w:szCs w:val="24"/>
                <w:lang w:val="af-ZA" w:eastAsia="ru-RU"/>
              </w:rPr>
              <w:t>Եթե գործող դատավորները դիմում են Բարձրագույն մագիստրների խորհուրդ և չեն անցնում վեթինգը, ապա կարող են պաշտոնավարել որպես սովորական դատավոր։</w:t>
            </w:r>
          </w:p>
        </w:tc>
        <w:tc>
          <w:tcPr>
            <w:tcW w:w="2233" w:type="pct"/>
          </w:tcPr>
          <w:p w:rsidR="00A658BB" w:rsidRPr="00A658BB" w:rsidRDefault="00A658BB" w:rsidP="00A658BB">
            <w:pPr>
              <w:tabs>
                <w:tab w:val="left" w:pos="709"/>
                <w:tab w:val="left" w:pos="851"/>
                <w:tab w:val="left" w:pos="993"/>
              </w:tabs>
              <w:spacing w:line="276" w:lineRule="auto"/>
              <w:ind w:right="49" w:firstLine="540"/>
              <w:jc w:val="both"/>
              <w:rPr>
                <w:rFonts w:ascii="GHEA Grapalat" w:eastAsia="Times New Roman" w:hAnsi="GHEA Grapalat" w:cs="Times New Roman"/>
                <w:sz w:val="24"/>
                <w:szCs w:val="24"/>
                <w:lang w:val="af-ZA" w:eastAsia="ru-RU"/>
              </w:rPr>
            </w:pPr>
            <w:r w:rsidRPr="00A658BB">
              <w:rPr>
                <w:rFonts w:ascii="GHEA Grapalat" w:eastAsia="Times New Roman" w:hAnsi="GHEA Grapalat" w:cs="Times New Roman"/>
                <w:sz w:val="24"/>
                <w:szCs w:val="24"/>
                <w:lang w:val="af-ZA" w:eastAsia="ru-RU"/>
              </w:rPr>
              <w:t xml:space="preserve">Բարեվարքության ստուգման փուլում թեկնածուն արդեն հնարավորություն է ունենում իր տեսակետը ներկայացնել, բացատրությունները և լրացուցիչ տեղեկություններ հայտնել Նախնական վեթինգի հանձնաժողովին, ներկայանալ իր վերաբերյալ լսումներին փաստաբանի հետ և լսումներից երեք օր առաջ ծանոթանալ իր մասին հավաքագրված նյութերին։ </w:t>
            </w:r>
          </w:p>
          <w:p w:rsidR="00A658BB" w:rsidRPr="00A658BB" w:rsidRDefault="00A658BB" w:rsidP="00A658BB">
            <w:pPr>
              <w:tabs>
                <w:tab w:val="left" w:pos="709"/>
                <w:tab w:val="left" w:pos="851"/>
                <w:tab w:val="left" w:pos="993"/>
              </w:tabs>
              <w:spacing w:line="276" w:lineRule="auto"/>
              <w:ind w:right="49" w:firstLine="540"/>
              <w:jc w:val="both"/>
              <w:rPr>
                <w:rFonts w:ascii="GHEA Grapalat" w:eastAsia="Times New Roman" w:hAnsi="GHEA Grapalat" w:cs="Times New Roman"/>
                <w:sz w:val="24"/>
                <w:szCs w:val="24"/>
                <w:lang w:val="hy-AM" w:eastAsia="ru-RU"/>
              </w:rPr>
            </w:pPr>
            <w:r w:rsidRPr="00A658BB">
              <w:rPr>
                <w:rFonts w:ascii="GHEA Grapalat" w:eastAsia="Times New Roman" w:hAnsi="GHEA Grapalat" w:cs="Times New Roman"/>
                <w:sz w:val="24"/>
                <w:szCs w:val="24"/>
                <w:lang w:val="af-ZA" w:eastAsia="ru-RU"/>
              </w:rPr>
              <w:t xml:space="preserve">Մոլդովական բարեվարքության ստուգման մոդելի հիմնական տարբերությունը հայկական մոդելից այն է, որ Մոլդովայի գնահատման հանձնաժողովի բարեվարքության վերաբերյալ որոշումը փաստորեն որոշիչ նշանակություն ունի </w:t>
            </w:r>
            <w:r w:rsidRPr="00A658BB">
              <w:rPr>
                <w:rFonts w:ascii="GHEA Grapalat" w:eastAsia="Times New Roman" w:hAnsi="GHEA Grapalat" w:cs="Times New Roman"/>
                <w:sz w:val="24"/>
                <w:szCs w:val="24"/>
                <w:lang w:val="af-ZA" w:eastAsia="ru-RU"/>
              </w:rPr>
              <w:lastRenderedPageBreak/>
              <w:t>թեկնածուին մրցույթից հեռացնելու համար։ Այսինքն, բարեվարքության ստուգումը չանցած անձը ինքնաբերաբար դուրս է մնում տվյալ թափուր հաստիքի համար անցկացվող մրցույթից կամ ընտրությունից:</w:t>
            </w:r>
          </w:p>
          <w:p w:rsidR="00A658BB" w:rsidRPr="00A658BB" w:rsidRDefault="00A658BB" w:rsidP="00A658BB">
            <w:pPr>
              <w:tabs>
                <w:tab w:val="left" w:pos="709"/>
                <w:tab w:val="left" w:pos="851"/>
                <w:tab w:val="left" w:pos="993"/>
              </w:tabs>
              <w:spacing w:line="276" w:lineRule="auto"/>
              <w:ind w:right="49" w:firstLine="540"/>
              <w:jc w:val="both"/>
              <w:rPr>
                <w:rFonts w:ascii="GHEA Grapalat" w:eastAsia="Times New Roman" w:hAnsi="GHEA Grapalat" w:cs="Times New Roman"/>
                <w:sz w:val="24"/>
                <w:szCs w:val="24"/>
                <w:lang w:val="hy-AM" w:eastAsia="ru-RU"/>
              </w:rPr>
            </w:pPr>
          </w:p>
          <w:p w:rsidR="00A658BB" w:rsidRPr="00A658BB" w:rsidRDefault="00A658BB" w:rsidP="00A658BB">
            <w:pPr>
              <w:tabs>
                <w:tab w:val="left" w:pos="709"/>
                <w:tab w:val="left" w:pos="851"/>
                <w:tab w:val="left" w:pos="993"/>
              </w:tabs>
              <w:spacing w:line="276" w:lineRule="auto"/>
              <w:ind w:right="49" w:firstLine="540"/>
              <w:rPr>
                <w:rFonts w:ascii="GHEA Grapalat" w:eastAsia="Times New Roman" w:hAnsi="GHEA Grapalat" w:cs="Times New Roman"/>
                <w:sz w:val="24"/>
                <w:szCs w:val="24"/>
                <w:lang w:val="af-ZA" w:eastAsia="ru-RU"/>
              </w:rPr>
            </w:pPr>
          </w:p>
        </w:tc>
      </w:tr>
    </w:tbl>
    <w:p w:rsidR="00A658BB" w:rsidRPr="00A658BB" w:rsidRDefault="00A658BB" w:rsidP="00A658BB">
      <w:pPr>
        <w:tabs>
          <w:tab w:val="left" w:pos="709"/>
          <w:tab w:val="left" w:pos="851"/>
          <w:tab w:val="left" w:pos="993"/>
        </w:tabs>
        <w:spacing w:after="200" w:line="276" w:lineRule="auto"/>
        <w:ind w:right="49" w:firstLine="540"/>
        <w:rPr>
          <w:rFonts w:ascii="GHEA Grapalat" w:eastAsia="Times New Roman" w:hAnsi="GHEA Grapalat" w:cs="Times New Roman"/>
          <w:sz w:val="24"/>
          <w:szCs w:val="24"/>
          <w:lang w:val="hy-AM" w:eastAsia="ru-RU"/>
        </w:rPr>
      </w:pPr>
    </w:p>
    <w:p w:rsidR="00A658BB" w:rsidRPr="00A658BB" w:rsidRDefault="00A658BB" w:rsidP="00A658BB">
      <w:pPr>
        <w:tabs>
          <w:tab w:val="left" w:pos="709"/>
          <w:tab w:val="left" w:pos="851"/>
          <w:tab w:val="left" w:pos="993"/>
        </w:tabs>
        <w:spacing w:after="200" w:line="276" w:lineRule="auto"/>
        <w:ind w:right="49" w:firstLine="540"/>
        <w:contextualSpacing/>
        <w:jc w:val="both"/>
        <w:rPr>
          <w:rFonts w:ascii="GHEA Grapalat" w:eastAsia="Times New Roman" w:hAnsi="GHEA Grapalat" w:cs="Times New Roman"/>
          <w:b/>
          <w:sz w:val="24"/>
          <w:szCs w:val="24"/>
          <w:lang w:val="hy-AM" w:eastAsia="ru-RU"/>
        </w:rPr>
      </w:pPr>
      <w:r w:rsidRPr="00A658BB">
        <w:rPr>
          <w:rFonts w:ascii="GHEA Grapalat" w:eastAsia="Times New Roman" w:hAnsi="GHEA Grapalat" w:cs="Times New Roman"/>
          <w:b/>
          <w:sz w:val="24"/>
          <w:szCs w:val="24"/>
          <w:lang w:val="hy-AM" w:eastAsia="ru-RU"/>
        </w:rPr>
        <w:tab/>
      </w:r>
    </w:p>
    <w:tbl>
      <w:tblPr>
        <w:tblStyle w:val="TableGrid1"/>
        <w:tblW w:w="10737" w:type="dxa"/>
        <w:tblInd w:w="-572" w:type="dxa"/>
        <w:tblLayout w:type="fixed"/>
        <w:tblLook w:val="04A0" w:firstRow="1" w:lastRow="0" w:firstColumn="1" w:lastColumn="0" w:noHBand="0" w:noVBand="1"/>
      </w:tblPr>
      <w:tblGrid>
        <w:gridCol w:w="1985"/>
        <w:gridCol w:w="3969"/>
        <w:gridCol w:w="4783"/>
      </w:tblGrid>
      <w:tr w:rsidR="00A658BB" w:rsidRPr="00A658BB" w:rsidTr="00632126">
        <w:trPr>
          <w:trHeight w:val="979"/>
        </w:trPr>
        <w:tc>
          <w:tcPr>
            <w:tcW w:w="10737" w:type="dxa"/>
            <w:gridSpan w:val="3"/>
          </w:tcPr>
          <w:p w:rsidR="00A658BB" w:rsidRPr="00A658BB" w:rsidRDefault="00A658BB" w:rsidP="00A658BB">
            <w:pPr>
              <w:tabs>
                <w:tab w:val="left" w:pos="709"/>
                <w:tab w:val="left" w:pos="851"/>
                <w:tab w:val="left" w:pos="993"/>
              </w:tabs>
              <w:ind w:right="49" w:firstLine="540"/>
              <w:jc w:val="center"/>
              <w:rPr>
                <w:rFonts w:ascii="GHEA Grapalat" w:eastAsia="Times New Roman" w:hAnsi="GHEA Grapalat" w:cs="Times New Roman"/>
                <w:b/>
                <w:bCs/>
                <w:sz w:val="24"/>
                <w:szCs w:val="24"/>
                <w:lang w:val="hy-AM" w:eastAsia="ru-RU"/>
              </w:rPr>
            </w:pPr>
            <w:r w:rsidRPr="00A658BB">
              <w:rPr>
                <w:rFonts w:ascii="GHEA Grapalat" w:eastAsia="Times New Roman" w:hAnsi="GHEA Grapalat" w:cs="Times New Roman"/>
                <w:b/>
                <w:bCs/>
                <w:sz w:val="24"/>
                <w:szCs w:val="24"/>
                <w:lang w:val="hy-AM" w:eastAsia="ru-RU"/>
              </w:rPr>
              <w:t>ՈՒԿՐԱԻՆԱ</w:t>
            </w:r>
          </w:p>
        </w:tc>
      </w:tr>
      <w:tr w:rsidR="00A658BB" w:rsidRPr="00A658BB" w:rsidTr="00632126">
        <w:trPr>
          <w:trHeight w:val="979"/>
        </w:trPr>
        <w:tc>
          <w:tcPr>
            <w:tcW w:w="1985" w:type="dxa"/>
          </w:tcPr>
          <w:p w:rsidR="00A658BB" w:rsidRPr="00A658BB" w:rsidRDefault="00A658BB" w:rsidP="00A658BB">
            <w:pPr>
              <w:tabs>
                <w:tab w:val="left" w:pos="709"/>
                <w:tab w:val="left" w:pos="851"/>
                <w:tab w:val="left" w:pos="993"/>
              </w:tabs>
              <w:spacing w:line="276" w:lineRule="auto"/>
              <w:ind w:right="49" w:firstLine="540"/>
              <w:rPr>
                <w:rFonts w:ascii="GHEA Grapalat" w:eastAsia="Times New Roman" w:hAnsi="GHEA Grapalat" w:cs="Times New Roman"/>
                <w:b/>
                <w:bCs/>
                <w:sz w:val="24"/>
                <w:szCs w:val="24"/>
                <w:lang w:val="af-ZA" w:eastAsia="ru-RU"/>
              </w:rPr>
            </w:pPr>
            <w:r w:rsidRPr="00A658BB">
              <w:rPr>
                <w:rFonts w:ascii="GHEA Grapalat" w:eastAsia="Times New Roman" w:hAnsi="GHEA Grapalat" w:cs="Times New Roman"/>
                <w:b/>
                <w:bCs/>
                <w:sz w:val="24"/>
                <w:szCs w:val="24"/>
                <w:lang w:val="af-ZA" w:eastAsia="ru-RU"/>
              </w:rPr>
              <w:t>Չափանիշներ</w:t>
            </w:r>
          </w:p>
        </w:tc>
        <w:tc>
          <w:tcPr>
            <w:tcW w:w="3969" w:type="dxa"/>
          </w:tcPr>
          <w:p w:rsidR="00A658BB" w:rsidRPr="00A658BB" w:rsidRDefault="00A658BB" w:rsidP="00A658BB">
            <w:pPr>
              <w:tabs>
                <w:tab w:val="left" w:pos="709"/>
                <w:tab w:val="left" w:pos="851"/>
                <w:tab w:val="left" w:pos="993"/>
              </w:tabs>
              <w:spacing w:line="276" w:lineRule="auto"/>
              <w:ind w:right="49" w:firstLine="540"/>
              <w:jc w:val="center"/>
              <w:rPr>
                <w:rFonts w:ascii="GHEA Grapalat" w:eastAsia="Times New Roman" w:hAnsi="GHEA Grapalat" w:cs="Times New Roman"/>
                <w:b/>
                <w:bCs/>
                <w:sz w:val="24"/>
                <w:szCs w:val="24"/>
                <w:lang w:val="af-ZA" w:eastAsia="ru-RU"/>
              </w:rPr>
            </w:pPr>
            <w:r w:rsidRPr="00A658BB">
              <w:rPr>
                <w:rFonts w:ascii="GHEA Grapalat" w:eastAsia="Times New Roman" w:hAnsi="GHEA Grapalat" w:cs="Times New Roman"/>
                <w:b/>
                <w:bCs/>
                <w:sz w:val="24"/>
                <w:szCs w:val="24"/>
                <w:lang w:val="af-ZA" w:eastAsia="ru-RU"/>
              </w:rPr>
              <w:t>Մեղմ ընթացակարգեր՝ ավելի մեղմ հրապարակայնության ռեժիմով և պահանջներով</w:t>
            </w:r>
          </w:p>
        </w:tc>
        <w:tc>
          <w:tcPr>
            <w:tcW w:w="4783" w:type="dxa"/>
          </w:tcPr>
          <w:p w:rsidR="00A658BB" w:rsidRPr="00A658BB" w:rsidRDefault="00A658BB" w:rsidP="00A658BB">
            <w:pPr>
              <w:tabs>
                <w:tab w:val="left" w:pos="709"/>
                <w:tab w:val="left" w:pos="851"/>
                <w:tab w:val="left" w:pos="993"/>
              </w:tabs>
              <w:spacing w:line="276" w:lineRule="auto"/>
              <w:ind w:right="49" w:firstLine="540"/>
              <w:jc w:val="center"/>
              <w:rPr>
                <w:rFonts w:ascii="GHEA Grapalat" w:eastAsia="Times New Roman" w:hAnsi="GHEA Grapalat" w:cs="Times New Roman"/>
                <w:b/>
                <w:bCs/>
                <w:sz w:val="24"/>
                <w:szCs w:val="24"/>
                <w:lang w:val="af-ZA" w:eastAsia="ru-RU"/>
              </w:rPr>
            </w:pPr>
            <w:r w:rsidRPr="00A658BB">
              <w:rPr>
                <w:rFonts w:ascii="GHEA Grapalat" w:eastAsia="Times New Roman" w:hAnsi="GHEA Grapalat" w:cs="Times New Roman"/>
                <w:b/>
                <w:bCs/>
                <w:sz w:val="24"/>
                <w:szCs w:val="24"/>
                <w:lang w:val="af-ZA" w:eastAsia="ru-RU"/>
              </w:rPr>
              <w:t>Կոշտ ընթացակարգեր՝ հրապարակայնության և պատճառաբանվածության բարձր շեմով</w:t>
            </w:r>
          </w:p>
          <w:p w:rsidR="00A658BB" w:rsidRPr="00A658BB" w:rsidRDefault="00A658BB" w:rsidP="00A658BB">
            <w:pPr>
              <w:tabs>
                <w:tab w:val="left" w:pos="709"/>
                <w:tab w:val="left" w:pos="851"/>
                <w:tab w:val="left" w:pos="993"/>
              </w:tabs>
              <w:spacing w:line="276" w:lineRule="auto"/>
              <w:ind w:right="49" w:firstLine="540"/>
              <w:jc w:val="both"/>
              <w:rPr>
                <w:rFonts w:ascii="GHEA Grapalat" w:eastAsia="Times New Roman" w:hAnsi="GHEA Grapalat" w:cs="Times New Roman"/>
                <w:b/>
                <w:bCs/>
                <w:sz w:val="24"/>
                <w:szCs w:val="24"/>
                <w:lang w:val="af-ZA" w:eastAsia="ru-RU"/>
              </w:rPr>
            </w:pPr>
          </w:p>
        </w:tc>
      </w:tr>
      <w:tr w:rsidR="00A658BB" w:rsidRPr="00A658BB" w:rsidTr="00632126">
        <w:tc>
          <w:tcPr>
            <w:tcW w:w="1985" w:type="dxa"/>
          </w:tcPr>
          <w:p w:rsidR="00A658BB" w:rsidRPr="00A658BB" w:rsidRDefault="00A658BB" w:rsidP="00A658BB">
            <w:pPr>
              <w:tabs>
                <w:tab w:val="left" w:pos="709"/>
                <w:tab w:val="left" w:pos="851"/>
                <w:tab w:val="left" w:pos="993"/>
              </w:tabs>
              <w:spacing w:line="276" w:lineRule="auto"/>
              <w:ind w:right="49" w:firstLine="540"/>
              <w:rPr>
                <w:rFonts w:ascii="GHEA Grapalat" w:eastAsia="Times New Roman" w:hAnsi="GHEA Grapalat" w:cs="Times New Roman"/>
                <w:sz w:val="24"/>
                <w:szCs w:val="24"/>
                <w:lang w:val="af-ZA" w:eastAsia="ru-RU"/>
              </w:rPr>
            </w:pPr>
            <w:r w:rsidRPr="00A658BB">
              <w:rPr>
                <w:rFonts w:ascii="GHEA Grapalat" w:eastAsia="Times New Roman" w:hAnsi="GHEA Grapalat" w:cs="Times New Roman"/>
                <w:sz w:val="24"/>
                <w:szCs w:val="24"/>
                <w:lang w:val="af-ZA" w:eastAsia="ru-RU"/>
              </w:rPr>
              <w:t>Ստուգվող սուբյեկտների և ստուգող մարմինների շրջանակ</w:t>
            </w:r>
          </w:p>
        </w:tc>
        <w:tc>
          <w:tcPr>
            <w:tcW w:w="3969" w:type="dxa"/>
          </w:tcPr>
          <w:p w:rsidR="00A658BB" w:rsidRPr="00A658BB" w:rsidRDefault="00A658BB" w:rsidP="00A658BB">
            <w:pPr>
              <w:tabs>
                <w:tab w:val="left" w:pos="709"/>
                <w:tab w:val="left" w:pos="851"/>
                <w:tab w:val="left" w:pos="993"/>
              </w:tabs>
              <w:spacing w:line="276" w:lineRule="auto"/>
              <w:ind w:right="49" w:firstLine="540"/>
              <w:jc w:val="both"/>
              <w:rPr>
                <w:rFonts w:ascii="GHEA Grapalat" w:eastAsia="Times New Roman" w:hAnsi="GHEA Grapalat" w:cs="Times New Roman"/>
                <w:sz w:val="24"/>
                <w:szCs w:val="24"/>
                <w:lang w:val="af-ZA" w:eastAsia="ru-RU"/>
              </w:rPr>
            </w:pPr>
            <w:r w:rsidRPr="00A658BB">
              <w:rPr>
                <w:rFonts w:ascii="GHEA Grapalat" w:eastAsia="Times New Roman" w:hAnsi="GHEA Grapalat" w:cs="Times New Roman"/>
                <w:sz w:val="24"/>
                <w:szCs w:val="24"/>
                <w:lang w:eastAsia="ru-RU"/>
              </w:rPr>
              <w:t>Դատավորների</w:t>
            </w:r>
            <w:r w:rsidRPr="00A658BB">
              <w:rPr>
                <w:rFonts w:ascii="GHEA Grapalat" w:eastAsia="Times New Roman" w:hAnsi="GHEA Grapalat" w:cs="Times New Roman"/>
                <w:sz w:val="24"/>
                <w:szCs w:val="24"/>
                <w:lang w:val="af-ZA" w:eastAsia="ru-RU"/>
              </w:rPr>
              <w:t xml:space="preserve"> </w:t>
            </w:r>
            <w:r w:rsidRPr="00A658BB">
              <w:rPr>
                <w:rFonts w:ascii="GHEA Grapalat" w:eastAsia="Times New Roman" w:hAnsi="GHEA Grapalat" w:cs="Times New Roman"/>
                <w:sz w:val="24"/>
                <w:szCs w:val="24"/>
                <w:lang w:eastAsia="ru-RU"/>
              </w:rPr>
              <w:t>ընտրության</w:t>
            </w:r>
            <w:r w:rsidRPr="00A658BB">
              <w:rPr>
                <w:rFonts w:ascii="GHEA Grapalat" w:eastAsia="Times New Roman" w:hAnsi="GHEA Grapalat" w:cs="Times New Roman"/>
                <w:sz w:val="24"/>
                <w:szCs w:val="24"/>
                <w:lang w:val="af-ZA" w:eastAsia="ru-RU"/>
              </w:rPr>
              <w:t xml:space="preserve"> </w:t>
            </w:r>
            <w:r w:rsidRPr="00A658BB">
              <w:rPr>
                <w:rFonts w:ascii="GHEA Grapalat" w:eastAsia="Times New Roman" w:hAnsi="GHEA Grapalat" w:cs="Times New Roman"/>
                <w:sz w:val="24"/>
                <w:szCs w:val="24"/>
                <w:lang w:eastAsia="ru-RU"/>
              </w:rPr>
              <w:t>և</w:t>
            </w:r>
            <w:r w:rsidRPr="00A658BB">
              <w:rPr>
                <w:rFonts w:ascii="GHEA Grapalat" w:eastAsia="Times New Roman" w:hAnsi="GHEA Grapalat" w:cs="Times New Roman"/>
                <w:sz w:val="24"/>
                <w:szCs w:val="24"/>
                <w:lang w:val="af-ZA" w:eastAsia="ru-RU"/>
              </w:rPr>
              <w:t xml:space="preserve"> </w:t>
            </w:r>
            <w:r w:rsidRPr="00A658BB">
              <w:rPr>
                <w:rFonts w:ascii="GHEA Grapalat" w:eastAsia="Times New Roman" w:hAnsi="GHEA Grapalat" w:cs="Times New Roman"/>
                <w:sz w:val="24"/>
                <w:szCs w:val="24"/>
                <w:lang w:eastAsia="ru-RU"/>
              </w:rPr>
              <w:t>առաջին</w:t>
            </w:r>
            <w:r w:rsidRPr="00A658BB">
              <w:rPr>
                <w:rFonts w:ascii="GHEA Grapalat" w:eastAsia="Times New Roman" w:hAnsi="GHEA Grapalat" w:cs="Times New Roman"/>
                <w:sz w:val="24"/>
                <w:szCs w:val="24"/>
                <w:lang w:val="af-ZA" w:eastAsia="ru-RU"/>
              </w:rPr>
              <w:t xml:space="preserve"> </w:t>
            </w:r>
            <w:r w:rsidRPr="00A658BB">
              <w:rPr>
                <w:rFonts w:ascii="GHEA Grapalat" w:eastAsia="Times New Roman" w:hAnsi="GHEA Grapalat" w:cs="Times New Roman"/>
                <w:sz w:val="24"/>
                <w:szCs w:val="24"/>
                <w:lang w:eastAsia="ru-RU"/>
              </w:rPr>
              <w:t>ատյանի</w:t>
            </w:r>
            <w:r w:rsidRPr="00A658BB">
              <w:rPr>
                <w:rFonts w:ascii="GHEA Grapalat" w:eastAsia="Times New Roman" w:hAnsi="GHEA Grapalat" w:cs="Times New Roman"/>
                <w:sz w:val="24"/>
                <w:szCs w:val="24"/>
                <w:lang w:val="af-ZA" w:eastAsia="ru-RU"/>
              </w:rPr>
              <w:t xml:space="preserve"> </w:t>
            </w:r>
            <w:r w:rsidRPr="00A658BB">
              <w:rPr>
                <w:rFonts w:ascii="GHEA Grapalat" w:eastAsia="Times New Roman" w:hAnsi="GHEA Grapalat" w:cs="Times New Roman"/>
                <w:sz w:val="24"/>
                <w:szCs w:val="24"/>
                <w:lang w:eastAsia="ru-RU"/>
              </w:rPr>
              <w:t>դատարաններում</w:t>
            </w:r>
            <w:r w:rsidRPr="00A658BB">
              <w:rPr>
                <w:rFonts w:ascii="GHEA Grapalat" w:eastAsia="Times New Roman" w:hAnsi="GHEA Grapalat" w:cs="Times New Roman"/>
                <w:sz w:val="24"/>
                <w:szCs w:val="24"/>
                <w:lang w:val="af-ZA" w:eastAsia="ru-RU"/>
              </w:rPr>
              <w:t xml:space="preserve"> </w:t>
            </w:r>
            <w:r w:rsidRPr="00A658BB">
              <w:rPr>
                <w:rFonts w:ascii="GHEA Grapalat" w:eastAsia="Times New Roman" w:hAnsi="GHEA Grapalat" w:cs="Times New Roman"/>
                <w:sz w:val="24"/>
                <w:szCs w:val="24"/>
                <w:lang w:eastAsia="ru-RU"/>
              </w:rPr>
              <w:t>թափուր</w:t>
            </w:r>
            <w:r w:rsidRPr="00A658BB">
              <w:rPr>
                <w:rFonts w:ascii="GHEA Grapalat" w:eastAsia="Times New Roman" w:hAnsi="GHEA Grapalat" w:cs="Times New Roman"/>
                <w:sz w:val="24"/>
                <w:szCs w:val="24"/>
                <w:lang w:val="af-ZA" w:eastAsia="ru-RU"/>
              </w:rPr>
              <w:t xml:space="preserve"> </w:t>
            </w:r>
            <w:r w:rsidRPr="00A658BB">
              <w:rPr>
                <w:rFonts w:ascii="GHEA Grapalat" w:eastAsia="Times New Roman" w:hAnsi="GHEA Grapalat" w:cs="Times New Roman"/>
                <w:sz w:val="24"/>
                <w:szCs w:val="24"/>
                <w:lang w:eastAsia="ru-RU"/>
              </w:rPr>
              <w:t>հաստիքների</w:t>
            </w:r>
            <w:r w:rsidRPr="00A658BB">
              <w:rPr>
                <w:rFonts w:ascii="GHEA Grapalat" w:eastAsia="Times New Roman" w:hAnsi="GHEA Grapalat" w:cs="Times New Roman"/>
                <w:sz w:val="24"/>
                <w:szCs w:val="24"/>
                <w:lang w:val="af-ZA" w:eastAsia="ru-RU"/>
              </w:rPr>
              <w:t xml:space="preserve"> </w:t>
            </w:r>
            <w:r w:rsidRPr="00A658BB">
              <w:rPr>
                <w:rFonts w:ascii="GHEA Grapalat" w:eastAsia="Times New Roman" w:hAnsi="GHEA Grapalat" w:cs="Times New Roman"/>
                <w:sz w:val="24"/>
                <w:szCs w:val="24"/>
                <w:lang w:eastAsia="ru-RU"/>
              </w:rPr>
              <w:t>համալրման</w:t>
            </w:r>
            <w:r w:rsidRPr="00A658BB">
              <w:rPr>
                <w:rFonts w:ascii="GHEA Grapalat" w:eastAsia="Times New Roman" w:hAnsi="GHEA Grapalat" w:cs="Times New Roman"/>
                <w:sz w:val="24"/>
                <w:szCs w:val="24"/>
                <w:lang w:val="af-ZA" w:eastAsia="ru-RU"/>
              </w:rPr>
              <w:t xml:space="preserve"> </w:t>
            </w:r>
            <w:r w:rsidRPr="00A658BB">
              <w:rPr>
                <w:rFonts w:ascii="GHEA Grapalat" w:eastAsia="Times New Roman" w:hAnsi="GHEA Grapalat" w:cs="Times New Roman"/>
                <w:sz w:val="24"/>
                <w:szCs w:val="24"/>
                <w:lang w:eastAsia="ru-RU"/>
              </w:rPr>
              <w:t>նպատակով</w:t>
            </w:r>
            <w:r w:rsidRPr="00A658BB">
              <w:rPr>
                <w:rFonts w:ascii="GHEA Grapalat" w:eastAsia="Times New Roman" w:hAnsi="GHEA Grapalat" w:cs="Times New Roman"/>
                <w:sz w:val="24"/>
                <w:szCs w:val="24"/>
                <w:lang w:val="af-ZA" w:eastAsia="ru-RU"/>
              </w:rPr>
              <w:t xml:space="preserve"> </w:t>
            </w:r>
            <w:r w:rsidRPr="00A658BB">
              <w:rPr>
                <w:rFonts w:ascii="GHEA Grapalat" w:eastAsia="Times New Roman" w:hAnsi="GHEA Grapalat" w:cs="Times New Roman"/>
                <w:sz w:val="24"/>
                <w:szCs w:val="24"/>
                <w:lang w:eastAsia="ru-RU"/>
              </w:rPr>
              <w:t>գործում</w:t>
            </w:r>
            <w:r w:rsidRPr="00A658BB">
              <w:rPr>
                <w:rFonts w:ascii="GHEA Grapalat" w:eastAsia="Times New Roman" w:hAnsi="GHEA Grapalat" w:cs="Times New Roman"/>
                <w:sz w:val="24"/>
                <w:szCs w:val="24"/>
                <w:lang w:val="af-ZA" w:eastAsia="ru-RU"/>
              </w:rPr>
              <w:t xml:space="preserve"> </w:t>
            </w:r>
            <w:r w:rsidRPr="00A658BB">
              <w:rPr>
                <w:rFonts w:ascii="GHEA Grapalat" w:eastAsia="Times New Roman" w:hAnsi="GHEA Grapalat" w:cs="Times New Roman"/>
                <w:sz w:val="24"/>
                <w:szCs w:val="24"/>
                <w:lang w:eastAsia="ru-RU"/>
              </w:rPr>
              <w:t>է</w:t>
            </w:r>
            <w:r w:rsidRPr="00A658BB">
              <w:rPr>
                <w:rFonts w:ascii="GHEA Grapalat" w:eastAsia="Times New Roman" w:hAnsi="GHEA Grapalat" w:cs="Times New Roman"/>
                <w:sz w:val="24"/>
                <w:szCs w:val="24"/>
                <w:lang w:val="af-ZA" w:eastAsia="ru-RU"/>
              </w:rPr>
              <w:t xml:space="preserve"> բարեվարքության ստուգման ընթացակարգ, որը չունի հստակ չափանիշ և մեթոդաբանություն։ Դատավորների բարձրագույն որակավորման հանձնաժողովը իր կայքում տեղադրում է թափուր </w:t>
            </w:r>
            <w:r w:rsidRPr="00A658BB">
              <w:rPr>
                <w:rFonts w:ascii="GHEA Grapalat" w:eastAsia="Times New Roman" w:hAnsi="GHEA Grapalat" w:cs="Times New Roman"/>
                <w:sz w:val="24"/>
                <w:szCs w:val="24"/>
                <w:lang w:val="af-ZA" w:eastAsia="ru-RU"/>
              </w:rPr>
              <w:lastRenderedPageBreak/>
              <w:t>տեղերի, ընտրության պահանջների մասին տեղեկություններ, ստանում դիմումներ, ընտրում դրանց միջից։ Հանձնաժողովն ինքն է ստուգում դատավորների թեկնածուների բարեվարքությունը՝ հենվելով ընդհանուր կապերի վերաբերյալ ստացված տվյալների հիման վրա։ Դատավորների բարձրագույն որակավորման հանձնաժողովը ստուգում է թեկնածուների բարեվարքությունը և առաջարկ ներկայացնում Արդարադատության բարձրագույն խորհրդին։ Դրան հետևում է Արդարադատության բարձրագույն խորհրդի որոշումը ներկայացնել տվյալ թեկնածուին նախագահի հաստատմանը։ Այստեղ հատկանշական է, որ Բարեվարքության հարցերով հանրային խորհուրդը ոչ մի դեր չունի։</w:t>
            </w:r>
          </w:p>
          <w:p w:rsidR="00A658BB" w:rsidRPr="00A658BB" w:rsidRDefault="00A658BB" w:rsidP="00A658BB">
            <w:pPr>
              <w:tabs>
                <w:tab w:val="left" w:pos="709"/>
                <w:tab w:val="left" w:pos="851"/>
                <w:tab w:val="left" w:pos="993"/>
              </w:tabs>
              <w:spacing w:line="276" w:lineRule="auto"/>
              <w:ind w:right="49" w:firstLine="540"/>
              <w:rPr>
                <w:rFonts w:ascii="GHEA Grapalat" w:eastAsia="Times New Roman" w:hAnsi="GHEA Grapalat" w:cs="Times New Roman"/>
                <w:sz w:val="24"/>
                <w:szCs w:val="24"/>
                <w:lang w:val="af-ZA" w:eastAsia="ru-RU"/>
              </w:rPr>
            </w:pPr>
          </w:p>
        </w:tc>
        <w:tc>
          <w:tcPr>
            <w:tcW w:w="4783" w:type="dxa"/>
          </w:tcPr>
          <w:p w:rsidR="00A658BB" w:rsidRPr="00A658BB" w:rsidRDefault="00A658BB" w:rsidP="00A658BB">
            <w:pPr>
              <w:tabs>
                <w:tab w:val="left" w:pos="709"/>
                <w:tab w:val="left" w:pos="851"/>
                <w:tab w:val="left" w:pos="993"/>
              </w:tabs>
              <w:spacing w:line="276" w:lineRule="auto"/>
              <w:ind w:right="49" w:firstLine="540"/>
              <w:jc w:val="both"/>
              <w:rPr>
                <w:rFonts w:ascii="GHEA Grapalat" w:eastAsia="Times New Roman" w:hAnsi="GHEA Grapalat" w:cs="Times New Roman"/>
                <w:sz w:val="24"/>
                <w:szCs w:val="24"/>
                <w:lang w:val="hy-AM" w:eastAsia="ru-RU"/>
              </w:rPr>
            </w:pPr>
            <w:bookmarkStart w:id="2" w:name="_Hlk179440966"/>
            <w:r w:rsidRPr="00A658BB">
              <w:rPr>
                <w:rFonts w:ascii="GHEA Grapalat" w:eastAsia="Times New Roman" w:hAnsi="GHEA Grapalat" w:cs="Times New Roman"/>
                <w:sz w:val="24"/>
                <w:szCs w:val="24"/>
                <w:lang w:val="hy-AM" w:eastAsia="ru-RU"/>
              </w:rPr>
              <w:lastRenderedPageBreak/>
              <w:t xml:space="preserve">«Դատական համակարգի և դատավորների կարգավիճակի մասին» </w:t>
            </w:r>
            <w:bookmarkEnd w:id="2"/>
            <w:r w:rsidRPr="00A658BB">
              <w:rPr>
                <w:rFonts w:ascii="GHEA Grapalat" w:eastAsia="Times New Roman" w:hAnsi="GHEA Grapalat" w:cs="Times New Roman"/>
                <w:sz w:val="24"/>
                <w:szCs w:val="24"/>
                <w:lang w:val="hy-AM" w:eastAsia="ru-RU"/>
              </w:rPr>
              <w:t>օրենքը սահմանում է, որ դատավորի/դատավորի թեկնածուի Որակավորման գնահատումն իրականացվում է Ուկրաինայի դատավորների Բարձրագույն որակավորման հանձնաժողովի կողմից։</w:t>
            </w:r>
            <w:r w:rsidRPr="00A658BB">
              <w:rPr>
                <w:rFonts w:ascii="GHEA Grapalat" w:eastAsia="Times New Roman" w:hAnsi="GHEA Grapalat" w:cs="Times New Roman"/>
                <w:sz w:val="24"/>
                <w:szCs w:val="24"/>
                <w:vertAlign w:val="superscript"/>
                <w:lang w:val="hy-AM" w:eastAsia="ru-RU"/>
              </w:rPr>
              <w:footnoteReference w:id="12"/>
            </w:r>
            <w:r w:rsidRPr="00A658BB">
              <w:rPr>
                <w:rFonts w:ascii="GHEA Grapalat" w:eastAsia="Times New Roman" w:hAnsi="GHEA Grapalat" w:cs="Times New Roman"/>
                <w:sz w:val="24"/>
                <w:szCs w:val="24"/>
                <w:lang w:val="hy-AM" w:eastAsia="ru-RU"/>
              </w:rPr>
              <w:t xml:space="preserve"> Տվյալ ընթացակարգը կիրառվում է Ուկրաինայում դատավորների, ինչպես նաև առաջխաղացման ենթակա կամ </w:t>
            </w:r>
            <w:r w:rsidRPr="00A658BB">
              <w:rPr>
                <w:rFonts w:ascii="GHEA Grapalat" w:eastAsia="Times New Roman" w:hAnsi="GHEA Grapalat" w:cs="Times New Roman"/>
                <w:sz w:val="24"/>
                <w:szCs w:val="24"/>
                <w:lang w:val="hy-AM" w:eastAsia="ru-RU"/>
              </w:rPr>
              <w:lastRenderedPageBreak/>
              <w:t>թափուր հաստիքների դիմած դատավորների վեթինգի կամ բարեվարքության ստուգման նպատակով</w:t>
            </w:r>
            <w:r w:rsidRPr="00A658BB">
              <w:rPr>
                <w:rFonts w:ascii="GHEA Grapalat" w:eastAsia="Times New Roman" w:hAnsi="GHEA Grapalat" w:cs="Times New Roman"/>
                <w:sz w:val="24"/>
                <w:szCs w:val="24"/>
                <w:vertAlign w:val="superscript"/>
                <w:lang w:val="hy-AM" w:eastAsia="ru-RU"/>
              </w:rPr>
              <w:footnoteReference w:id="13"/>
            </w:r>
            <w:r w:rsidRPr="00A658BB">
              <w:rPr>
                <w:rFonts w:ascii="GHEA Grapalat" w:eastAsia="Times New Roman" w:hAnsi="GHEA Grapalat" w:cs="Times New Roman"/>
                <w:sz w:val="24"/>
                <w:szCs w:val="24"/>
                <w:lang w:val="hy-AM" w:eastAsia="ru-RU"/>
              </w:rPr>
              <w:t>։</w:t>
            </w:r>
          </w:p>
          <w:p w:rsidR="00A658BB" w:rsidRPr="00A658BB" w:rsidRDefault="00A658BB" w:rsidP="00A658BB">
            <w:pPr>
              <w:tabs>
                <w:tab w:val="left" w:pos="709"/>
                <w:tab w:val="left" w:pos="851"/>
                <w:tab w:val="left" w:pos="993"/>
              </w:tabs>
              <w:spacing w:line="276" w:lineRule="auto"/>
              <w:ind w:right="49" w:firstLine="540"/>
              <w:contextualSpacing/>
              <w:jc w:val="both"/>
              <w:rPr>
                <w:rFonts w:ascii="GHEA Grapalat" w:eastAsia="Times New Roman" w:hAnsi="GHEA Grapalat" w:cs="Times New Roman"/>
                <w:sz w:val="24"/>
                <w:szCs w:val="24"/>
                <w:lang w:val="hy-AM" w:eastAsia="ru-RU"/>
              </w:rPr>
            </w:pPr>
            <w:r w:rsidRPr="00A658BB">
              <w:rPr>
                <w:rFonts w:ascii="GHEA Grapalat" w:eastAsia="Times New Roman" w:hAnsi="GHEA Grapalat" w:cs="Times New Roman"/>
                <w:sz w:val="24"/>
                <w:szCs w:val="24"/>
                <w:lang w:val="hy-AM" w:eastAsia="ru-RU"/>
              </w:rPr>
              <w:t>Դատավորի որակավորման գնահատման հիմք կարող են լինել.</w:t>
            </w:r>
          </w:p>
          <w:p w:rsidR="00A658BB" w:rsidRPr="00A658BB" w:rsidRDefault="00A658BB" w:rsidP="00A658BB">
            <w:pPr>
              <w:tabs>
                <w:tab w:val="left" w:pos="709"/>
                <w:tab w:val="left" w:pos="851"/>
                <w:tab w:val="left" w:pos="993"/>
              </w:tabs>
              <w:spacing w:line="276" w:lineRule="auto"/>
              <w:ind w:right="49" w:firstLine="540"/>
              <w:contextualSpacing/>
              <w:jc w:val="both"/>
              <w:rPr>
                <w:rFonts w:ascii="GHEA Grapalat" w:eastAsia="Times New Roman" w:hAnsi="GHEA Grapalat" w:cs="Times New Roman"/>
                <w:sz w:val="24"/>
                <w:szCs w:val="24"/>
                <w:lang w:val="hy-AM" w:eastAsia="ru-RU"/>
              </w:rPr>
            </w:pPr>
            <w:r w:rsidRPr="00A658BB">
              <w:rPr>
                <w:rFonts w:ascii="GHEA Grapalat" w:eastAsia="Times New Roman" w:hAnsi="GHEA Grapalat" w:cs="Times New Roman"/>
                <w:sz w:val="24"/>
                <w:szCs w:val="24"/>
                <w:lang w:val="hy-AM" w:eastAsia="ru-RU"/>
              </w:rPr>
              <w:t>1) որակավորման գնահատում անցնելու դատավորի/թեկնածուի դիմումը, այդ թվում՝ որևէ մրցույթին մասնակցելու նպատակով,</w:t>
            </w:r>
          </w:p>
          <w:p w:rsidR="00A658BB" w:rsidRPr="00A658BB" w:rsidRDefault="00A658BB" w:rsidP="00A658BB">
            <w:pPr>
              <w:tabs>
                <w:tab w:val="left" w:pos="709"/>
                <w:tab w:val="left" w:pos="851"/>
                <w:tab w:val="left" w:pos="993"/>
              </w:tabs>
              <w:spacing w:line="276" w:lineRule="auto"/>
              <w:ind w:right="49" w:firstLine="540"/>
              <w:contextualSpacing/>
              <w:jc w:val="both"/>
              <w:rPr>
                <w:rFonts w:ascii="GHEA Grapalat" w:eastAsia="Times New Roman" w:hAnsi="GHEA Grapalat" w:cs="Times New Roman"/>
                <w:sz w:val="24"/>
                <w:szCs w:val="24"/>
                <w:lang w:val="hy-AM" w:eastAsia="ru-RU"/>
              </w:rPr>
            </w:pPr>
            <w:r w:rsidRPr="00A658BB">
              <w:rPr>
                <w:rFonts w:ascii="GHEA Grapalat" w:eastAsia="Times New Roman" w:hAnsi="GHEA Grapalat" w:cs="Times New Roman"/>
                <w:sz w:val="24"/>
                <w:szCs w:val="24"/>
                <w:lang w:val="hy-AM" w:eastAsia="ru-RU"/>
              </w:rPr>
              <w:t>2) Ուկրաինայի դատավորների Բարձրագույն որակավորման հանձնաժողովի որոշումը օրենքով սահմանված դեպքերում դատավորի որակավորման գնահատում նշանակելու վերաբերյալ</w:t>
            </w:r>
            <w:r w:rsidRPr="00A658BB">
              <w:rPr>
                <w:rFonts w:ascii="GHEA Grapalat" w:eastAsia="Times New Roman" w:hAnsi="GHEA Grapalat" w:cs="Times New Roman"/>
                <w:sz w:val="24"/>
                <w:szCs w:val="24"/>
                <w:vertAlign w:val="superscript"/>
                <w:lang w:val="hy-AM" w:eastAsia="ru-RU"/>
              </w:rPr>
              <w:footnoteReference w:id="14"/>
            </w:r>
            <w:r w:rsidRPr="00A658BB">
              <w:rPr>
                <w:rFonts w:ascii="GHEA Grapalat" w:eastAsia="Times New Roman" w:hAnsi="GHEA Grapalat" w:cs="Times New Roman"/>
                <w:sz w:val="24"/>
                <w:szCs w:val="24"/>
                <w:lang w:val="hy-AM" w:eastAsia="ru-RU"/>
              </w:rPr>
              <w:t>։</w:t>
            </w:r>
          </w:p>
          <w:p w:rsidR="00A658BB" w:rsidRPr="00A658BB" w:rsidRDefault="00A658BB" w:rsidP="00A658BB">
            <w:pPr>
              <w:tabs>
                <w:tab w:val="left" w:pos="709"/>
                <w:tab w:val="left" w:pos="851"/>
                <w:tab w:val="left" w:pos="993"/>
              </w:tabs>
              <w:spacing w:line="276" w:lineRule="auto"/>
              <w:ind w:right="49" w:firstLine="540"/>
              <w:contextualSpacing/>
              <w:jc w:val="both"/>
              <w:rPr>
                <w:rFonts w:ascii="GHEA Grapalat" w:eastAsia="Times New Roman" w:hAnsi="GHEA Grapalat" w:cs="Times New Roman"/>
                <w:sz w:val="24"/>
                <w:szCs w:val="24"/>
                <w:lang w:val="hy-AM" w:eastAsia="ru-RU"/>
              </w:rPr>
            </w:pPr>
            <w:r w:rsidRPr="00A658BB">
              <w:rPr>
                <w:rFonts w:ascii="GHEA Grapalat" w:eastAsia="Times New Roman" w:hAnsi="GHEA Grapalat" w:cs="Times New Roman"/>
                <w:sz w:val="24"/>
                <w:szCs w:val="24"/>
                <w:lang w:val="hy-AM" w:eastAsia="ru-RU"/>
              </w:rPr>
              <w:t>Որակավորված ընթացակարգ կարող է նախաձեռնվել նաև դատավորի վերաբերյալ կարգապահական պատասխանատվության ենթարկելու վերաբերյալ որոշման կայացման դեպքում։</w:t>
            </w:r>
          </w:p>
          <w:p w:rsidR="00A658BB" w:rsidRPr="00A658BB" w:rsidRDefault="00A658BB" w:rsidP="00A658BB">
            <w:pPr>
              <w:tabs>
                <w:tab w:val="left" w:pos="709"/>
                <w:tab w:val="left" w:pos="851"/>
                <w:tab w:val="left" w:pos="993"/>
              </w:tabs>
              <w:spacing w:line="276" w:lineRule="auto"/>
              <w:ind w:right="49" w:firstLine="540"/>
              <w:jc w:val="both"/>
              <w:rPr>
                <w:rFonts w:ascii="GHEA Grapalat" w:eastAsia="Times New Roman" w:hAnsi="GHEA Grapalat" w:cs="Times New Roman"/>
                <w:sz w:val="24"/>
                <w:szCs w:val="24"/>
                <w:lang w:val="hy-AM" w:eastAsia="ru-RU"/>
              </w:rPr>
            </w:pPr>
            <w:r w:rsidRPr="00A658BB">
              <w:rPr>
                <w:rFonts w:ascii="GHEA Grapalat" w:eastAsia="Times New Roman" w:hAnsi="GHEA Grapalat" w:cs="Times New Roman"/>
                <w:sz w:val="24"/>
                <w:szCs w:val="24"/>
                <w:lang w:val="af-ZA" w:eastAsia="ru-RU"/>
              </w:rPr>
              <w:t>Հիմնական</w:t>
            </w:r>
            <w:r w:rsidRPr="00A658BB">
              <w:rPr>
                <w:rFonts w:ascii="GHEA Grapalat" w:eastAsia="Times New Roman" w:hAnsi="GHEA Grapalat" w:cs="Times New Roman"/>
                <w:sz w:val="24"/>
                <w:szCs w:val="24"/>
                <w:lang w:val="hy-AM" w:eastAsia="ru-RU"/>
              </w:rPr>
              <w:t xml:space="preserve"> ներգրավված </w:t>
            </w:r>
            <w:r w:rsidRPr="00A658BB">
              <w:rPr>
                <w:rFonts w:ascii="GHEA Grapalat" w:eastAsia="Times New Roman" w:hAnsi="GHEA Grapalat" w:cs="Times New Roman"/>
                <w:sz w:val="24"/>
                <w:szCs w:val="24"/>
                <w:lang w:val="af-ZA" w:eastAsia="ru-RU"/>
              </w:rPr>
              <w:t xml:space="preserve">ինստիտուտներն են՝ </w:t>
            </w:r>
            <w:r w:rsidRPr="00A658BB">
              <w:rPr>
                <w:rFonts w:ascii="GHEA Grapalat" w:eastAsia="Times New Roman" w:hAnsi="GHEA Grapalat" w:cs="Times New Roman"/>
                <w:bCs/>
                <w:sz w:val="24"/>
                <w:szCs w:val="24"/>
                <w:lang w:val="hy-AM" w:eastAsia="ru-RU"/>
              </w:rPr>
              <w:t xml:space="preserve">Ուկրաինայի դատավորների Բարձրագույն որակավորման հանձնաժողովը, որին աջակցում է </w:t>
            </w:r>
            <w:r w:rsidRPr="00A658BB">
              <w:rPr>
                <w:rFonts w:ascii="GHEA Grapalat" w:eastAsia="Times New Roman" w:hAnsi="GHEA Grapalat" w:cs="Times New Roman"/>
                <w:sz w:val="24"/>
                <w:szCs w:val="24"/>
                <w:lang w:val="hy-AM" w:eastAsia="ru-RU"/>
              </w:rPr>
              <w:t xml:space="preserve">Բարեվարքության հարցերով </w:t>
            </w:r>
            <w:r w:rsidRPr="00A658BB">
              <w:rPr>
                <w:rFonts w:ascii="GHEA Grapalat" w:eastAsia="Times New Roman" w:hAnsi="GHEA Grapalat" w:cs="Times New Roman"/>
                <w:sz w:val="24"/>
                <w:szCs w:val="24"/>
                <w:lang w:val="hy-AM" w:eastAsia="ru-RU"/>
              </w:rPr>
              <w:lastRenderedPageBreak/>
              <w:t>hանրային խորհուրդը և Բարձրագույն արդարադատության խորհուրդը</w:t>
            </w:r>
            <w:r w:rsidRPr="00A658BB">
              <w:rPr>
                <w:rFonts w:ascii="GHEA Grapalat" w:eastAsia="Times New Roman" w:hAnsi="GHEA Grapalat" w:cs="Times New Roman"/>
                <w:sz w:val="24"/>
                <w:szCs w:val="24"/>
                <w:vertAlign w:val="superscript"/>
                <w:lang w:val="hy-AM" w:eastAsia="ru-RU"/>
              </w:rPr>
              <w:footnoteReference w:id="15"/>
            </w:r>
            <w:r w:rsidRPr="00A658BB">
              <w:rPr>
                <w:rFonts w:ascii="GHEA Grapalat" w:eastAsia="Times New Roman" w:hAnsi="GHEA Grapalat" w:cs="Times New Roman"/>
                <w:sz w:val="24"/>
                <w:szCs w:val="24"/>
                <w:lang w:val="hy-AM" w:eastAsia="ru-RU"/>
              </w:rPr>
              <w:t>։</w:t>
            </w:r>
          </w:p>
        </w:tc>
      </w:tr>
      <w:tr w:rsidR="00A658BB" w:rsidRPr="00A658BB" w:rsidTr="00632126">
        <w:tc>
          <w:tcPr>
            <w:tcW w:w="1985" w:type="dxa"/>
          </w:tcPr>
          <w:p w:rsidR="00A658BB" w:rsidRPr="00A658BB" w:rsidRDefault="00A658BB" w:rsidP="00A658BB">
            <w:pPr>
              <w:tabs>
                <w:tab w:val="left" w:pos="709"/>
                <w:tab w:val="left" w:pos="851"/>
                <w:tab w:val="left" w:pos="993"/>
              </w:tabs>
              <w:spacing w:line="276" w:lineRule="auto"/>
              <w:ind w:right="49" w:firstLine="540"/>
              <w:rPr>
                <w:rFonts w:ascii="GHEA Grapalat" w:eastAsia="Times New Roman" w:hAnsi="GHEA Grapalat" w:cs="Times New Roman"/>
                <w:sz w:val="24"/>
                <w:szCs w:val="24"/>
                <w:lang w:val="af-ZA" w:eastAsia="ru-RU"/>
              </w:rPr>
            </w:pPr>
            <w:r w:rsidRPr="00A658BB">
              <w:rPr>
                <w:rFonts w:ascii="GHEA Grapalat" w:eastAsia="Times New Roman" w:hAnsi="GHEA Grapalat" w:cs="Times New Roman"/>
                <w:sz w:val="24"/>
                <w:szCs w:val="24"/>
                <w:lang w:val="af-ZA" w:eastAsia="ru-RU"/>
              </w:rPr>
              <w:lastRenderedPageBreak/>
              <w:t>Հրապարա-կայնություն</w:t>
            </w:r>
          </w:p>
        </w:tc>
        <w:tc>
          <w:tcPr>
            <w:tcW w:w="3969" w:type="dxa"/>
          </w:tcPr>
          <w:p w:rsidR="00A658BB" w:rsidRPr="00A658BB" w:rsidRDefault="00A658BB" w:rsidP="00A658BB">
            <w:pPr>
              <w:tabs>
                <w:tab w:val="left" w:pos="709"/>
                <w:tab w:val="left" w:pos="851"/>
                <w:tab w:val="left" w:pos="993"/>
              </w:tabs>
              <w:spacing w:line="276" w:lineRule="auto"/>
              <w:ind w:right="49" w:firstLine="540"/>
              <w:rPr>
                <w:rFonts w:ascii="GHEA Grapalat" w:eastAsia="Times New Roman" w:hAnsi="GHEA Grapalat" w:cs="Times New Roman"/>
                <w:sz w:val="24"/>
                <w:szCs w:val="24"/>
                <w:lang w:val="hy-AM" w:eastAsia="ru-RU"/>
              </w:rPr>
            </w:pPr>
          </w:p>
        </w:tc>
        <w:tc>
          <w:tcPr>
            <w:tcW w:w="4783" w:type="dxa"/>
          </w:tcPr>
          <w:p w:rsidR="00A658BB" w:rsidRPr="00A658BB" w:rsidRDefault="00A658BB" w:rsidP="00A658BB">
            <w:pPr>
              <w:tabs>
                <w:tab w:val="left" w:pos="709"/>
                <w:tab w:val="left" w:pos="851"/>
                <w:tab w:val="left" w:pos="993"/>
              </w:tabs>
              <w:spacing w:line="276" w:lineRule="auto"/>
              <w:ind w:right="49" w:firstLine="540"/>
              <w:contextualSpacing/>
              <w:jc w:val="both"/>
              <w:rPr>
                <w:rFonts w:ascii="GHEA Grapalat" w:eastAsia="Times New Roman" w:hAnsi="GHEA Grapalat" w:cs="Times New Roman"/>
                <w:sz w:val="24"/>
                <w:szCs w:val="24"/>
                <w:lang w:val="hy-AM" w:eastAsia="ru-RU"/>
              </w:rPr>
            </w:pPr>
            <w:r w:rsidRPr="00A658BB">
              <w:rPr>
                <w:rFonts w:ascii="GHEA Grapalat" w:eastAsia="Times New Roman" w:hAnsi="GHEA Grapalat" w:cs="Times New Roman"/>
                <w:sz w:val="24"/>
                <w:szCs w:val="24"/>
                <w:lang w:val="hy-AM" w:eastAsia="ru-RU"/>
              </w:rPr>
              <w:t>Ամբողջ գործընթացն աչքի է ընկնում թափանցիկության բարձր աստիճանով։ Արդյունքները հրապարակվում են, ներառյալ դոսյեները՝ բոլոր համապատասխան տեղեկություններով և միավորներով՝ նշելով գնահատման յուրաքանչյուր բաղադրիչի համար դատավորի/թեկնածուի ստացած միավորները։ Որակավորման գնահատում անցնողների հարցազրույցները տեսահեռարձակվում են առցանց, իսկ վերջնական որոշումները նույնպես հրապարակվում են։</w:t>
            </w:r>
            <w:r w:rsidRPr="00A658BB">
              <w:rPr>
                <w:rFonts w:ascii="GHEA Grapalat" w:eastAsia="Times New Roman" w:hAnsi="GHEA Grapalat" w:cs="Times New Roman"/>
                <w:sz w:val="24"/>
                <w:szCs w:val="24"/>
                <w:vertAlign w:val="superscript"/>
                <w:lang w:val="hy-AM" w:eastAsia="ru-RU"/>
              </w:rPr>
              <w:footnoteReference w:id="16"/>
            </w:r>
            <w:r w:rsidRPr="00A658BB">
              <w:rPr>
                <w:rFonts w:ascii="GHEA Grapalat" w:eastAsia="Times New Roman" w:hAnsi="GHEA Grapalat" w:cs="Times New Roman"/>
                <w:sz w:val="24"/>
                <w:szCs w:val="24"/>
                <w:lang w:val="hy-AM" w:eastAsia="ru-RU"/>
              </w:rPr>
              <w:t xml:space="preserve"> Բարեվարքության հարցերով հանրային խորհրդի բարեվարքության եզրակացությունները նույնպես ամբողջությամբ հրապարակվում են Խորհրդի կայքէջում</w:t>
            </w:r>
            <w:r w:rsidRPr="00A658BB">
              <w:rPr>
                <w:rFonts w:ascii="GHEA Grapalat" w:eastAsia="Times New Roman" w:hAnsi="GHEA Grapalat" w:cs="Times New Roman"/>
                <w:sz w:val="24"/>
                <w:szCs w:val="24"/>
                <w:vertAlign w:val="superscript"/>
                <w:lang w:val="hy-AM" w:eastAsia="ru-RU"/>
              </w:rPr>
              <w:footnoteReference w:id="17"/>
            </w:r>
            <w:r w:rsidRPr="00A658BB">
              <w:rPr>
                <w:rFonts w:ascii="GHEA Grapalat" w:eastAsia="Times New Roman" w:hAnsi="GHEA Grapalat" w:cs="Times New Roman"/>
                <w:sz w:val="24"/>
                <w:szCs w:val="24"/>
                <w:lang w:val="hy-AM" w:eastAsia="ru-RU"/>
              </w:rPr>
              <w:t>:</w:t>
            </w:r>
          </w:p>
          <w:p w:rsidR="00A658BB" w:rsidRPr="00A658BB" w:rsidRDefault="00A658BB" w:rsidP="00A658BB">
            <w:pPr>
              <w:tabs>
                <w:tab w:val="left" w:pos="709"/>
                <w:tab w:val="left" w:pos="851"/>
                <w:tab w:val="left" w:pos="993"/>
              </w:tabs>
              <w:spacing w:line="276" w:lineRule="auto"/>
              <w:ind w:right="49" w:firstLine="540"/>
              <w:contextualSpacing/>
              <w:jc w:val="both"/>
              <w:rPr>
                <w:rFonts w:ascii="GHEA Grapalat" w:eastAsia="Times New Roman" w:hAnsi="GHEA Grapalat" w:cs="Times New Roman"/>
                <w:sz w:val="24"/>
                <w:szCs w:val="24"/>
                <w:lang w:val="hy-AM" w:eastAsia="ru-RU"/>
              </w:rPr>
            </w:pPr>
            <w:r w:rsidRPr="00A658BB">
              <w:rPr>
                <w:rFonts w:ascii="GHEA Grapalat" w:eastAsia="Times New Roman" w:hAnsi="GHEA Grapalat" w:cs="Times New Roman"/>
                <w:sz w:val="24"/>
                <w:szCs w:val="24"/>
                <w:lang w:val="hy-AM" w:eastAsia="ru-RU"/>
              </w:rPr>
              <w:t xml:space="preserve">Դատավորի/դատավորի թեկնածուի վերաբերյալ </w:t>
            </w:r>
            <w:r w:rsidRPr="00A658BB">
              <w:rPr>
                <w:rFonts w:ascii="Cambria Math" w:eastAsia="Times New Roman" w:hAnsi="Cambria Math" w:cs="Cambria Math"/>
                <w:sz w:val="24"/>
                <w:szCs w:val="24"/>
                <w:lang w:val="hy-AM" w:eastAsia="ru-RU"/>
              </w:rPr>
              <w:t>​​</w:t>
            </w:r>
            <w:r w:rsidRPr="00A658BB">
              <w:rPr>
                <w:rFonts w:ascii="GHEA Grapalat" w:eastAsia="Times New Roman" w:hAnsi="GHEA Grapalat" w:cs="Times New Roman"/>
                <w:sz w:val="24"/>
                <w:szCs w:val="24"/>
                <w:lang w:val="hy-AM" w:eastAsia="ru-RU"/>
              </w:rPr>
              <w:t>դոսյեները հանրությանը հասանելի են բացառապես Ուկրաինայի դատավորների Բարձրագույն որակավորման հանձնաժողովի պաշտոնական կայքում</w:t>
            </w:r>
            <w:r w:rsidRPr="00A658BB">
              <w:rPr>
                <w:rFonts w:ascii="GHEA Grapalat" w:eastAsia="Times New Roman" w:hAnsi="GHEA Grapalat" w:cs="Times New Roman"/>
                <w:sz w:val="24"/>
                <w:szCs w:val="24"/>
                <w:vertAlign w:val="superscript"/>
                <w:lang w:eastAsia="ru-RU"/>
              </w:rPr>
              <w:footnoteReference w:id="18"/>
            </w:r>
            <w:r w:rsidRPr="00A658BB">
              <w:rPr>
                <w:rFonts w:ascii="GHEA Grapalat" w:eastAsia="Times New Roman" w:hAnsi="GHEA Grapalat" w:cs="Times New Roman"/>
                <w:sz w:val="24"/>
                <w:szCs w:val="24"/>
                <w:lang w:val="hy-AM" w:eastAsia="ru-RU"/>
              </w:rPr>
              <w:t xml:space="preserve">, բացառությամբ </w:t>
            </w:r>
            <w:r w:rsidRPr="00A658BB">
              <w:rPr>
                <w:rFonts w:ascii="GHEA Grapalat" w:eastAsia="Times New Roman" w:hAnsi="GHEA Grapalat" w:cs="Times New Roman"/>
                <w:sz w:val="24"/>
                <w:szCs w:val="24"/>
                <w:lang w:val="hy-AM" w:eastAsia="ru-RU"/>
              </w:rPr>
              <w:lastRenderedPageBreak/>
              <w:t xml:space="preserve">անձնական տվյալներ պարունակող տեղեկությունների, օրինակ՝ բնակության/ գտնվելու վայր, ծննդյան ամսաթիվ, հասցե, հեռախոսահամար, էլ. փոստ, հարկ վճարողների հաշվառման համար, անձնագի սերիա, գույքի գտնվելու վայրը, ինչպես նաև տվյալներ դատավորի/դատավորի թեկնածուի անձնական բարոյահոգեբանական որակներ, կարողությունների և բժշկական տվյալների ստուգմանն ուղղված թեստերի արդյունքներ, անչափահասների մասին ցանկացած տեղեկություններ, պետական </w:t>
            </w:r>
            <w:r w:rsidRPr="00A658BB">
              <w:rPr>
                <w:rFonts w:ascii="Cambria Math" w:eastAsia="Times New Roman" w:hAnsi="Cambria Math" w:cs="Cambria Math"/>
                <w:sz w:val="24"/>
                <w:szCs w:val="24"/>
                <w:lang w:val="hy-AM" w:eastAsia="ru-RU"/>
              </w:rPr>
              <w:t>​​</w:t>
            </w:r>
            <w:r w:rsidRPr="00A658BB">
              <w:rPr>
                <w:rFonts w:ascii="GHEA Grapalat" w:eastAsia="Times New Roman" w:hAnsi="GHEA Grapalat" w:cs="Times New Roman"/>
                <w:sz w:val="24"/>
                <w:szCs w:val="24"/>
                <w:lang w:val="hy-AM" w:eastAsia="ru-RU"/>
              </w:rPr>
              <w:t>գաղտնիք պարունակող տեղեկություններ և այլն: Մինչդեռ դատավորի դոսյեի ամբողջական տարբերակը հասանելի է Դատավորների Բարձրագույն Որակավորման հանձնաժողովի, Բարձրագույն արդարադատության խորհրդի անդամներին, ինչպես նաև Դատական դեպարտամենտի լիազորված ներկայացուցիչներին։ Բարեվարքության հարցերով հանրային խորհուրդը նույնպես ունի տվյալ դոսյեին ամբողջական հասանելիություն՝ օրենքով սահմանված կարգով։</w:t>
            </w:r>
          </w:p>
          <w:p w:rsidR="00A658BB" w:rsidRPr="00A658BB" w:rsidRDefault="00A658BB" w:rsidP="00A658BB">
            <w:pPr>
              <w:tabs>
                <w:tab w:val="left" w:pos="709"/>
                <w:tab w:val="left" w:pos="851"/>
                <w:tab w:val="left" w:pos="993"/>
              </w:tabs>
              <w:spacing w:line="276" w:lineRule="auto"/>
              <w:ind w:right="49" w:firstLine="540"/>
              <w:contextualSpacing/>
              <w:jc w:val="both"/>
              <w:rPr>
                <w:rFonts w:ascii="GHEA Grapalat" w:eastAsia="Times New Roman" w:hAnsi="GHEA Grapalat" w:cs="Times New Roman"/>
                <w:sz w:val="24"/>
                <w:szCs w:val="24"/>
                <w:lang w:val="hy-AM" w:eastAsia="ru-RU"/>
              </w:rPr>
            </w:pPr>
            <w:r w:rsidRPr="00A658BB">
              <w:rPr>
                <w:rFonts w:ascii="GHEA Grapalat" w:eastAsia="Times New Roman" w:hAnsi="GHEA Grapalat" w:cs="Times New Roman"/>
                <w:sz w:val="24"/>
                <w:szCs w:val="24"/>
                <w:lang w:val="hy-AM" w:eastAsia="ru-RU"/>
              </w:rPr>
              <w:t xml:space="preserve">Որակավորման գնահատում անցնող դատավորներն ու թեկնածուները կարող են ծանոթանալ ամբողջական դոսյեին։ </w:t>
            </w:r>
          </w:p>
          <w:p w:rsidR="00A658BB" w:rsidRPr="00A658BB" w:rsidRDefault="00A658BB" w:rsidP="00A658BB">
            <w:pPr>
              <w:tabs>
                <w:tab w:val="left" w:pos="709"/>
                <w:tab w:val="left" w:pos="851"/>
                <w:tab w:val="left" w:pos="993"/>
              </w:tabs>
              <w:spacing w:line="276" w:lineRule="auto"/>
              <w:ind w:right="49" w:firstLine="540"/>
              <w:rPr>
                <w:rFonts w:ascii="GHEA Grapalat" w:eastAsia="Times New Roman" w:hAnsi="GHEA Grapalat" w:cs="Times New Roman"/>
                <w:sz w:val="24"/>
                <w:szCs w:val="24"/>
                <w:lang w:val="hy-AM" w:eastAsia="ru-RU"/>
              </w:rPr>
            </w:pPr>
          </w:p>
        </w:tc>
      </w:tr>
      <w:tr w:rsidR="00A658BB" w:rsidRPr="00A658BB" w:rsidTr="00632126">
        <w:tc>
          <w:tcPr>
            <w:tcW w:w="1985" w:type="dxa"/>
          </w:tcPr>
          <w:p w:rsidR="00A658BB" w:rsidRPr="00A658BB" w:rsidRDefault="00A658BB" w:rsidP="00A658BB">
            <w:pPr>
              <w:tabs>
                <w:tab w:val="left" w:pos="709"/>
                <w:tab w:val="left" w:pos="851"/>
                <w:tab w:val="left" w:pos="993"/>
              </w:tabs>
              <w:spacing w:line="276" w:lineRule="auto"/>
              <w:ind w:right="49" w:firstLine="540"/>
              <w:rPr>
                <w:rFonts w:ascii="GHEA Grapalat" w:eastAsia="Times New Roman" w:hAnsi="GHEA Grapalat" w:cs="Times New Roman"/>
                <w:sz w:val="24"/>
                <w:szCs w:val="24"/>
                <w:lang w:val="af-ZA" w:eastAsia="ru-RU"/>
              </w:rPr>
            </w:pPr>
            <w:r w:rsidRPr="00A658BB">
              <w:rPr>
                <w:rFonts w:ascii="GHEA Grapalat" w:eastAsia="Times New Roman" w:hAnsi="GHEA Grapalat" w:cs="Times New Roman"/>
                <w:sz w:val="24"/>
                <w:szCs w:val="24"/>
                <w:lang w:val="af-ZA" w:eastAsia="ru-RU"/>
              </w:rPr>
              <w:lastRenderedPageBreak/>
              <w:t>Պատճառա-բանվածություն</w:t>
            </w:r>
          </w:p>
        </w:tc>
        <w:tc>
          <w:tcPr>
            <w:tcW w:w="3969" w:type="dxa"/>
          </w:tcPr>
          <w:p w:rsidR="00A658BB" w:rsidRPr="00A658BB" w:rsidRDefault="00A658BB" w:rsidP="00A658BB">
            <w:pPr>
              <w:tabs>
                <w:tab w:val="left" w:pos="709"/>
                <w:tab w:val="left" w:pos="851"/>
                <w:tab w:val="left" w:pos="993"/>
              </w:tabs>
              <w:spacing w:line="276" w:lineRule="auto"/>
              <w:ind w:right="49" w:firstLine="540"/>
              <w:jc w:val="both"/>
              <w:rPr>
                <w:rFonts w:ascii="GHEA Grapalat" w:eastAsia="Times New Roman" w:hAnsi="GHEA Grapalat" w:cs="Times New Roman"/>
                <w:sz w:val="24"/>
                <w:szCs w:val="24"/>
                <w:lang w:val="af-ZA" w:eastAsia="ru-RU"/>
              </w:rPr>
            </w:pPr>
            <w:r w:rsidRPr="00A658BB">
              <w:rPr>
                <w:rFonts w:ascii="GHEA Grapalat" w:eastAsia="Times New Roman" w:hAnsi="GHEA Grapalat" w:cs="Times New Roman"/>
                <w:sz w:val="24"/>
                <w:szCs w:val="24"/>
                <w:lang w:eastAsia="ru-RU"/>
              </w:rPr>
              <w:t>Յուրաքանչյուր</w:t>
            </w:r>
            <w:r w:rsidRPr="00A658BB">
              <w:rPr>
                <w:rFonts w:ascii="GHEA Grapalat" w:eastAsia="Times New Roman" w:hAnsi="GHEA Grapalat" w:cs="Times New Roman"/>
                <w:sz w:val="24"/>
                <w:szCs w:val="24"/>
                <w:lang w:val="af-ZA" w:eastAsia="ru-RU"/>
              </w:rPr>
              <w:t xml:space="preserve"> </w:t>
            </w:r>
            <w:r w:rsidRPr="00A658BB">
              <w:rPr>
                <w:rFonts w:ascii="GHEA Grapalat" w:eastAsia="Times New Roman" w:hAnsi="GHEA Grapalat" w:cs="Times New Roman"/>
                <w:sz w:val="24"/>
                <w:szCs w:val="24"/>
                <w:lang w:eastAsia="ru-RU"/>
              </w:rPr>
              <w:t>թափուր</w:t>
            </w:r>
            <w:r w:rsidRPr="00A658BB">
              <w:rPr>
                <w:rFonts w:ascii="GHEA Grapalat" w:eastAsia="Times New Roman" w:hAnsi="GHEA Grapalat" w:cs="Times New Roman"/>
                <w:sz w:val="24"/>
                <w:szCs w:val="24"/>
                <w:lang w:val="af-ZA" w:eastAsia="ru-RU"/>
              </w:rPr>
              <w:t xml:space="preserve"> </w:t>
            </w:r>
            <w:r w:rsidRPr="00A658BB">
              <w:rPr>
                <w:rFonts w:ascii="GHEA Grapalat" w:eastAsia="Times New Roman" w:hAnsi="GHEA Grapalat" w:cs="Times New Roman"/>
                <w:sz w:val="24"/>
                <w:szCs w:val="24"/>
                <w:lang w:eastAsia="ru-RU"/>
              </w:rPr>
              <w:t>տեղի</w:t>
            </w:r>
            <w:r w:rsidRPr="00A658BB">
              <w:rPr>
                <w:rFonts w:ascii="GHEA Grapalat" w:eastAsia="Times New Roman" w:hAnsi="GHEA Grapalat" w:cs="Times New Roman"/>
                <w:sz w:val="24"/>
                <w:szCs w:val="24"/>
                <w:lang w:val="af-ZA" w:eastAsia="ru-RU"/>
              </w:rPr>
              <w:t xml:space="preserve"> </w:t>
            </w:r>
            <w:r w:rsidRPr="00A658BB">
              <w:rPr>
                <w:rFonts w:ascii="GHEA Grapalat" w:eastAsia="Times New Roman" w:hAnsi="GHEA Grapalat" w:cs="Times New Roman"/>
                <w:sz w:val="24"/>
                <w:szCs w:val="24"/>
                <w:lang w:eastAsia="ru-RU"/>
              </w:rPr>
              <w:t>համար</w:t>
            </w:r>
            <w:r w:rsidRPr="00A658BB">
              <w:rPr>
                <w:rFonts w:ascii="GHEA Grapalat" w:eastAsia="Times New Roman" w:hAnsi="GHEA Grapalat" w:cs="Times New Roman"/>
                <w:sz w:val="24"/>
                <w:szCs w:val="24"/>
                <w:lang w:val="af-ZA" w:eastAsia="ru-RU"/>
              </w:rPr>
              <w:t xml:space="preserve"> </w:t>
            </w:r>
            <w:r w:rsidRPr="00A658BB">
              <w:rPr>
                <w:rFonts w:ascii="GHEA Grapalat" w:eastAsia="Times New Roman" w:hAnsi="GHEA Grapalat" w:cs="Times New Roman"/>
                <w:sz w:val="24"/>
                <w:szCs w:val="24"/>
                <w:lang w:eastAsia="ru-RU"/>
              </w:rPr>
              <w:t>Բարձրագույն</w:t>
            </w:r>
            <w:r w:rsidRPr="00A658BB">
              <w:rPr>
                <w:rFonts w:ascii="GHEA Grapalat" w:eastAsia="Times New Roman" w:hAnsi="GHEA Grapalat" w:cs="Times New Roman"/>
                <w:sz w:val="24"/>
                <w:szCs w:val="24"/>
                <w:lang w:val="af-ZA" w:eastAsia="ru-RU"/>
              </w:rPr>
              <w:t xml:space="preserve"> </w:t>
            </w:r>
            <w:r w:rsidRPr="00A658BB">
              <w:rPr>
                <w:rFonts w:ascii="GHEA Grapalat" w:eastAsia="Times New Roman" w:hAnsi="GHEA Grapalat" w:cs="Times New Roman"/>
                <w:sz w:val="24"/>
                <w:szCs w:val="24"/>
                <w:lang w:eastAsia="ru-RU"/>
              </w:rPr>
              <w:t>որակավորման</w:t>
            </w:r>
            <w:r w:rsidRPr="00A658BB">
              <w:rPr>
                <w:rFonts w:ascii="GHEA Grapalat" w:eastAsia="Times New Roman" w:hAnsi="GHEA Grapalat" w:cs="Times New Roman"/>
                <w:sz w:val="24"/>
                <w:szCs w:val="24"/>
                <w:lang w:val="af-ZA" w:eastAsia="ru-RU"/>
              </w:rPr>
              <w:t xml:space="preserve"> </w:t>
            </w:r>
            <w:r w:rsidRPr="00A658BB">
              <w:rPr>
                <w:rFonts w:ascii="GHEA Grapalat" w:eastAsia="Times New Roman" w:hAnsi="GHEA Grapalat" w:cs="Times New Roman"/>
                <w:sz w:val="24"/>
                <w:szCs w:val="24"/>
                <w:lang w:eastAsia="ru-RU"/>
              </w:rPr>
              <w:t>հանձնաժողովը</w:t>
            </w:r>
            <w:r w:rsidRPr="00A658BB">
              <w:rPr>
                <w:rFonts w:ascii="GHEA Grapalat" w:eastAsia="Times New Roman" w:hAnsi="GHEA Grapalat" w:cs="Times New Roman"/>
                <w:sz w:val="24"/>
                <w:szCs w:val="24"/>
                <w:lang w:val="af-ZA" w:eastAsia="ru-RU"/>
              </w:rPr>
              <w:t xml:space="preserve"> </w:t>
            </w:r>
            <w:r w:rsidRPr="00A658BB">
              <w:rPr>
                <w:rFonts w:ascii="GHEA Grapalat" w:eastAsia="Times New Roman" w:hAnsi="GHEA Grapalat" w:cs="Times New Roman"/>
                <w:sz w:val="24"/>
                <w:szCs w:val="24"/>
                <w:lang w:eastAsia="ru-RU"/>
              </w:rPr>
              <w:t>Արդարադատության</w:t>
            </w:r>
            <w:r w:rsidRPr="00A658BB">
              <w:rPr>
                <w:rFonts w:ascii="GHEA Grapalat" w:eastAsia="Times New Roman" w:hAnsi="GHEA Grapalat" w:cs="Times New Roman"/>
                <w:sz w:val="24"/>
                <w:szCs w:val="24"/>
                <w:lang w:val="af-ZA" w:eastAsia="ru-RU"/>
              </w:rPr>
              <w:t xml:space="preserve"> </w:t>
            </w:r>
            <w:r w:rsidRPr="00A658BB">
              <w:rPr>
                <w:rFonts w:ascii="GHEA Grapalat" w:eastAsia="Times New Roman" w:hAnsi="GHEA Grapalat" w:cs="Times New Roman"/>
                <w:sz w:val="24"/>
                <w:szCs w:val="24"/>
                <w:lang w:eastAsia="ru-RU"/>
              </w:rPr>
              <w:t>բարձրագույն</w:t>
            </w:r>
            <w:r w:rsidRPr="00A658BB">
              <w:rPr>
                <w:rFonts w:ascii="GHEA Grapalat" w:eastAsia="Times New Roman" w:hAnsi="GHEA Grapalat" w:cs="Times New Roman"/>
                <w:sz w:val="24"/>
                <w:szCs w:val="24"/>
                <w:lang w:val="af-ZA" w:eastAsia="ru-RU"/>
              </w:rPr>
              <w:t xml:space="preserve"> </w:t>
            </w:r>
            <w:r w:rsidRPr="00A658BB">
              <w:rPr>
                <w:rFonts w:ascii="GHEA Grapalat" w:eastAsia="Times New Roman" w:hAnsi="GHEA Grapalat" w:cs="Times New Roman"/>
                <w:sz w:val="24"/>
                <w:szCs w:val="24"/>
                <w:lang w:eastAsia="ru-RU"/>
              </w:rPr>
              <w:t>խորհրդին</w:t>
            </w:r>
            <w:r w:rsidRPr="00A658BB">
              <w:rPr>
                <w:rFonts w:ascii="GHEA Grapalat" w:eastAsia="Times New Roman" w:hAnsi="GHEA Grapalat" w:cs="Times New Roman"/>
                <w:sz w:val="24"/>
                <w:szCs w:val="24"/>
                <w:lang w:val="af-ZA" w:eastAsia="ru-RU"/>
              </w:rPr>
              <w:t xml:space="preserve"> </w:t>
            </w:r>
            <w:r w:rsidRPr="00A658BB">
              <w:rPr>
                <w:rFonts w:ascii="GHEA Grapalat" w:eastAsia="Times New Roman" w:hAnsi="GHEA Grapalat" w:cs="Times New Roman"/>
                <w:sz w:val="24"/>
                <w:szCs w:val="24"/>
                <w:lang w:eastAsia="ru-RU"/>
              </w:rPr>
              <w:t>առաջարկում</w:t>
            </w:r>
            <w:r w:rsidRPr="00A658BB">
              <w:rPr>
                <w:rFonts w:ascii="GHEA Grapalat" w:eastAsia="Times New Roman" w:hAnsi="GHEA Grapalat" w:cs="Times New Roman"/>
                <w:sz w:val="24"/>
                <w:szCs w:val="24"/>
                <w:lang w:val="af-ZA" w:eastAsia="ru-RU"/>
              </w:rPr>
              <w:t xml:space="preserve"> </w:t>
            </w:r>
            <w:r w:rsidRPr="00A658BB">
              <w:rPr>
                <w:rFonts w:ascii="GHEA Grapalat" w:eastAsia="Times New Roman" w:hAnsi="GHEA Grapalat" w:cs="Times New Roman"/>
                <w:sz w:val="24"/>
                <w:szCs w:val="24"/>
                <w:lang w:eastAsia="ru-RU"/>
              </w:rPr>
              <w:t>է</w:t>
            </w:r>
            <w:r w:rsidRPr="00A658BB">
              <w:rPr>
                <w:rFonts w:ascii="GHEA Grapalat" w:eastAsia="Times New Roman" w:hAnsi="GHEA Grapalat" w:cs="Times New Roman"/>
                <w:sz w:val="24"/>
                <w:szCs w:val="24"/>
                <w:lang w:val="af-ZA" w:eastAsia="ru-RU"/>
              </w:rPr>
              <w:t xml:space="preserve"> </w:t>
            </w:r>
            <w:r w:rsidRPr="00A658BB">
              <w:rPr>
                <w:rFonts w:ascii="GHEA Grapalat" w:eastAsia="Times New Roman" w:hAnsi="GHEA Grapalat" w:cs="Times New Roman"/>
                <w:sz w:val="24"/>
                <w:szCs w:val="24"/>
                <w:lang w:eastAsia="ru-RU"/>
              </w:rPr>
              <w:t>մեկ</w:t>
            </w:r>
            <w:r w:rsidRPr="00A658BB">
              <w:rPr>
                <w:rFonts w:ascii="GHEA Grapalat" w:eastAsia="Times New Roman" w:hAnsi="GHEA Grapalat" w:cs="Times New Roman"/>
                <w:sz w:val="24"/>
                <w:szCs w:val="24"/>
                <w:lang w:val="af-ZA" w:eastAsia="ru-RU"/>
              </w:rPr>
              <w:t xml:space="preserve"> </w:t>
            </w:r>
            <w:r w:rsidRPr="00A658BB">
              <w:rPr>
                <w:rFonts w:ascii="GHEA Grapalat" w:eastAsia="Times New Roman" w:hAnsi="GHEA Grapalat" w:cs="Times New Roman"/>
                <w:sz w:val="24"/>
                <w:szCs w:val="24"/>
                <w:lang w:eastAsia="ru-RU"/>
              </w:rPr>
              <w:t>թեկնածու։</w:t>
            </w:r>
            <w:r w:rsidRPr="00A658BB">
              <w:rPr>
                <w:rFonts w:ascii="GHEA Grapalat" w:eastAsia="Times New Roman" w:hAnsi="GHEA Grapalat" w:cs="Times New Roman"/>
                <w:sz w:val="24"/>
                <w:szCs w:val="24"/>
                <w:lang w:val="af-ZA" w:eastAsia="ru-RU"/>
              </w:rPr>
              <w:t xml:space="preserve">  </w:t>
            </w:r>
            <w:r w:rsidRPr="00A658BB">
              <w:rPr>
                <w:rFonts w:ascii="GHEA Grapalat" w:eastAsia="Times New Roman" w:hAnsi="GHEA Grapalat" w:cs="Times New Roman"/>
                <w:sz w:val="24"/>
                <w:szCs w:val="24"/>
                <w:lang w:eastAsia="ru-RU"/>
              </w:rPr>
              <w:t>Արդարադատության</w:t>
            </w:r>
            <w:r w:rsidRPr="00A658BB">
              <w:rPr>
                <w:rFonts w:ascii="GHEA Grapalat" w:eastAsia="Times New Roman" w:hAnsi="GHEA Grapalat" w:cs="Times New Roman"/>
                <w:sz w:val="24"/>
                <w:szCs w:val="24"/>
                <w:lang w:val="af-ZA" w:eastAsia="ru-RU"/>
              </w:rPr>
              <w:t xml:space="preserve"> </w:t>
            </w:r>
            <w:r w:rsidRPr="00A658BB">
              <w:rPr>
                <w:rFonts w:ascii="GHEA Grapalat" w:eastAsia="Times New Roman" w:hAnsi="GHEA Grapalat" w:cs="Times New Roman"/>
                <w:sz w:val="24"/>
                <w:szCs w:val="24"/>
                <w:lang w:eastAsia="ru-RU"/>
              </w:rPr>
              <w:t>բարձրագույն</w:t>
            </w:r>
            <w:r w:rsidRPr="00A658BB">
              <w:rPr>
                <w:rFonts w:ascii="GHEA Grapalat" w:eastAsia="Times New Roman" w:hAnsi="GHEA Grapalat" w:cs="Times New Roman"/>
                <w:sz w:val="24"/>
                <w:szCs w:val="24"/>
                <w:lang w:val="af-ZA" w:eastAsia="ru-RU"/>
              </w:rPr>
              <w:t xml:space="preserve"> </w:t>
            </w:r>
            <w:r w:rsidRPr="00A658BB">
              <w:rPr>
                <w:rFonts w:ascii="GHEA Grapalat" w:eastAsia="Times New Roman" w:hAnsi="GHEA Grapalat" w:cs="Times New Roman"/>
                <w:sz w:val="24"/>
                <w:szCs w:val="24"/>
                <w:lang w:eastAsia="ru-RU"/>
              </w:rPr>
              <w:t>խորհուրդը</w:t>
            </w:r>
            <w:r w:rsidRPr="00A658BB">
              <w:rPr>
                <w:rFonts w:ascii="GHEA Grapalat" w:eastAsia="Times New Roman" w:hAnsi="GHEA Grapalat" w:cs="Times New Roman"/>
                <w:sz w:val="24"/>
                <w:szCs w:val="24"/>
                <w:lang w:val="af-ZA" w:eastAsia="ru-RU"/>
              </w:rPr>
              <w:t xml:space="preserve"> </w:t>
            </w:r>
            <w:r w:rsidRPr="00A658BB">
              <w:rPr>
                <w:rFonts w:ascii="GHEA Grapalat" w:eastAsia="Times New Roman" w:hAnsi="GHEA Grapalat" w:cs="Times New Roman"/>
                <w:sz w:val="24"/>
                <w:szCs w:val="24"/>
                <w:lang w:eastAsia="ru-RU"/>
              </w:rPr>
              <w:t>կարող</w:t>
            </w:r>
            <w:r w:rsidRPr="00A658BB">
              <w:rPr>
                <w:rFonts w:ascii="GHEA Grapalat" w:eastAsia="Times New Roman" w:hAnsi="GHEA Grapalat" w:cs="Times New Roman"/>
                <w:sz w:val="24"/>
                <w:szCs w:val="24"/>
                <w:lang w:val="af-ZA" w:eastAsia="ru-RU"/>
              </w:rPr>
              <w:t xml:space="preserve"> </w:t>
            </w:r>
            <w:r w:rsidRPr="00A658BB">
              <w:rPr>
                <w:rFonts w:ascii="GHEA Grapalat" w:eastAsia="Times New Roman" w:hAnsi="GHEA Grapalat" w:cs="Times New Roman"/>
                <w:sz w:val="24"/>
                <w:szCs w:val="24"/>
                <w:lang w:eastAsia="ru-RU"/>
              </w:rPr>
              <w:t>է</w:t>
            </w:r>
            <w:r w:rsidRPr="00A658BB">
              <w:rPr>
                <w:rFonts w:ascii="GHEA Grapalat" w:eastAsia="Times New Roman" w:hAnsi="GHEA Grapalat" w:cs="Times New Roman"/>
                <w:sz w:val="24"/>
                <w:szCs w:val="24"/>
                <w:lang w:val="af-ZA" w:eastAsia="ru-RU"/>
              </w:rPr>
              <w:t xml:space="preserve"> </w:t>
            </w:r>
            <w:r w:rsidRPr="00A658BB">
              <w:rPr>
                <w:rFonts w:ascii="GHEA Grapalat" w:eastAsia="Times New Roman" w:hAnsi="GHEA Grapalat" w:cs="Times New Roman"/>
                <w:sz w:val="24"/>
                <w:szCs w:val="24"/>
                <w:lang w:eastAsia="ru-RU"/>
              </w:rPr>
              <w:t>մերժել</w:t>
            </w:r>
            <w:r w:rsidRPr="00A658BB">
              <w:rPr>
                <w:rFonts w:ascii="GHEA Grapalat" w:eastAsia="Times New Roman" w:hAnsi="GHEA Grapalat" w:cs="Times New Roman"/>
                <w:sz w:val="24"/>
                <w:szCs w:val="24"/>
                <w:lang w:val="af-ZA" w:eastAsia="ru-RU"/>
              </w:rPr>
              <w:t xml:space="preserve"> </w:t>
            </w:r>
            <w:r w:rsidRPr="00A658BB">
              <w:rPr>
                <w:rFonts w:ascii="GHEA Grapalat" w:eastAsia="Times New Roman" w:hAnsi="GHEA Grapalat" w:cs="Times New Roman"/>
                <w:sz w:val="24"/>
                <w:szCs w:val="24"/>
                <w:lang w:eastAsia="ru-RU"/>
              </w:rPr>
              <w:t>տվյալ</w:t>
            </w:r>
            <w:r w:rsidRPr="00A658BB">
              <w:rPr>
                <w:rFonts w:ascii="GHEA Grapalat" w:eastAsia="Times New Roman" w:hAnsi="GHEA Grapalat" w:cs="Times New Roman"/>
                <w:sz w:val="24"/>
                <w:szCs w:val="24"/>
                <w:lang w:val="af-ZA" w:eastAsia="ru-RU"/>
              </w:rPr>
              <w:t xml:space="preserve"> </w:t>
            </w:r>
            <w:r w:rsidRPr="00A658BB">
              <w:rPr>
                <w:rFonts w:ascii="GHEA Grapalat" w:eastAsia="Times New Roman" w:hAnsi="GHEA Grapalat" w:cs="Times New Roman"/>
                <w:sz w:val="24"/>
                <w:szCs w:val="24"/>
                <w:lang w:eastAsia="ru-RU"/>
              </w:rPr>
              <w:t>թեկնածուին</w:t>
            </w:r>
            <w:r w:rsidRPr="00A658BB">
              <w:rPr>
                <w:rFonts w:ascii="GHEA Grapalat" w:eastAsia="Times New Roman" w:hAnsi="GHEA Grapalat" w:cs="Times New Roman"/>
                <w:sz w:val="24"/>
                <w:szCs w:val="24"/>
                <w:lang w:val="af-ZA" w:eastAsia="ru-RU"/>
              </w:rPr>
              <w:t xml:space="preserve">, </w:t>
            </w:r>
            <w:r w:rsidRPr="00A658BB">
              <w:rPr>
                <w:rFonts w:ascii="GHEA Grapalat" w:eastAsia="Times New Roman" w:hAnsi="GHEA Grapalat" w:cs="Times New Roman"/>
                <w:sz w:val="24"/>
                <w:szCs w:val="24"/>
                <w:lang w:eastAsia="ru-RU"/>
              </w:rPr>
              <w:t>եթե</w:t>
            </w:r>
            <w:r w:rsidRPr="00A658BB">
              <w:rPr>
                <w:rFonts w:ascii="GHEA Grapalat" w:eastAsia="Times New Roman" w:hAnsi="GHEA Grapalat" w:cs="Times New Roman"/>
                <w:sz w:val="24"/>
                <w:szCs w:val="24"/>
                <w:lang w:val="af-ZA" w:eastAsia="ru-RU"/>
              </w:rPr>
              <w:t xml:space="preserve"> </w:t>
            </w:r>
            <w:r w:rsidRPr="00A658BB">
              <w:rPr>
                <w:rFonts w:ascii="GHEA Grapalat" w:eastAsia="Times New Roman" w:hAnsi="GHEA Grapalat" w:cs="Times New Roman"/>
                <w:sz w:val="24"/>
                <w:szCs w:val="24"/>
                <w:lang w:eastAsia="ru-RU"/>
              </w:rPr>
              <w:t>առկա</w:t>
            </w:r>
            <w:r w:rsidRPr="00A658BB">
              <w:rPr>
                <w:rFonts w:ascii="GHEA Grapalat" w:eastAsia="Times New Roman" w:hAnsi="GHEA Grapalat" w:cs="Times New Roman"/>
                <w:sz w:val="24"/>
                <w:szCs w:val="24"/>
                <w:lang w:val="af-ZA" w:eastAsia="ru-RU"/>
              </w:rPr>
              <w:t xml:space="preserve"> </w:t>
            </w:r>
            <w:r w:rsidRPr="00A658BB">
              <w:rPr>
                <w:rFonts w:ascii="GHEA Grapalat" w:eastAsia="Times New Roman" w:hAnsi="GHEA Grapalat" w:cs="Times New Roman"/>
                <w:sz w:val="24"/>
                <w:szCs w:val="24"/>
                <w:lang w:eastAsia="ru-RU"/>
              </w:rPr>
              <w:t>է</w:t>
            </w:r>
            <w:r w:rsidRPr="00A658BB">
              <w:rPr>
                <w:rFonts w:ascii="GHEA Grapalat" w:eastAsia="Times New Roman" w:hAnsi="GHEA Grapalat" w:cs="Times New Roman"/>
                <w:sz w:val="24"/>
                <w:szCs w:val="24"/>
                <w:lang w:val="af-ZA" w:eastAsia="ru-RU"/>
              </w:rPr>
              <w:t xml:space="preserve"> </w:t>
            </w:r>
            <w:r w:rsidRPr="00A658BB">
              <w:rPr>
                <w:rFonts w:ascii="GHEA Grapalat" w:eastAsia="Times New Roman" w:hAnsi="GHEA Grapalat" w:cs="Times New Roman"/>
                <w:sz w:val="24"/>
                <w:szCs w:val="24"/>
                <w:lang w:eastAsia="ru-RU"/>
              </w:rPr>
              <w:t>հիմնավոր</w:t>
            </w:r>
            <w:r w:rsidRPr="00A658BB">
              <w:rPr>
                <w:rFonts w:ascii="GHEA Grapalat" w:eastAsia="Times New Roman" w:hAnsi="GHEA Grapalat" w:cs="Times New Roman"/>
                <w:sz w:val="24"/>
                <w:szCs w:val="24"/>
                <w:lang w:val="af-ZA" w:eastAsia="ru-RU"/>
              </w:rPr>
              <w:t xml:space="preserve"> </w:t>
            </w:r>
            <w:r w:rsidRPr="00A658BB">
              <w:rPr>
                <w:rFonts w:ascii="GHEA Grapalat" w:eastAsia="Times New Roman" w:hAnsi="GHEA Grapalat" w:cs="Times New Roman"/>
                <w:sz w:val="24"/>
                <w:szCs w:val="24"/>
                <w:lang w:eastAsia="ru-RU"/>
              </w:rPr>
              <w:t>կասկած</w:t>
            </w:r>
            <w:r w:rsidRPr="00A658BB">
              <w:rPr>
                <w:rFonts w:ascii="GHEA Grapalat" w:eastAsia="Times New Roman" w:hAnsi="GHEA Grapalat" w:cs="Times New Roman"/>
                <w:sz w:val="24"/>
                <w:szCs w:val="24"/>
                <w:lang w:val="af-ZA" w:eastAsia="ru-RU"/>
              </w:rPr>
              <w:t xml:space="preserve"> </w:t>
            </w:r>
            <w:r w:rsidRPr="00A658BB">
              <w:rPr>
                <w:rFonts w:ascii="GHEA Grapalat" w:eastAsia="Times New Roman" w:hAnsi="GHEA Grapalat" w:cs="Times New Roman"/>
                <w:sz w:val="24"/>
                <w:szCs w:val="24"/>
                <w:lang w:eastAsia="ru-RU"/>
              </w:rPr>
              <w:t>և</w:t>
            </w:r>
            <w:r w:rsidRPr="00A658BB">
              <w:rPr>
                <w:rFonts w:ascii="GHEA Grapalat" w:eastAsia="Times New Roman" w:hAnsi="GHEA Grapalat" w:cs="Times New Roman"/>
                <w:sz w:val="24"/>
                <w:szCs w:val="24"/>
                <w:lang w:val="af-ZA" w:eastAsia="ru-RU"/>
              </w:rPr>
              <w:t xml:space="preserve"> </w:t>
            </w:r>
            <w:r w:rsidRPr="00A658BB">
              <w:rPr>
                <w:rFonts w:ascii="GHEA Grapalat" w:eastAsia="Times New Roman" w:hAnsi="GHEA Grapalat" w:cs="Times New Roman"/>
                <w:sz w:val="24"/>
                <w:szCs w:val="24"/>
                <w:lang w:eastAsia="ru-RU"/>
              </w:rPr>
              <w:t>բարեվարքության</w:t>
            </w:r>
            <w:r w:rsidRPr="00A658BB">
              <w:rPr>
                <w:rFonts w:ascii="GHEA Grapalat" w:eastAsia="Times New Roman" w:hAnsi="GHEA Grapalat" w:cs="Times New Roman"/>
                <w:sz w:val="24"/>
                <w:szCs w:val="24"/>
                <w:lang w:val="af-ZA" w:eastAsia="ru-RU"/>
              </w:rPr>
              <w:t xml:space="preserve"> </w:t>
            </w:r>
            <w:r w:rsidRPr="00A658BB">
              <w:rPr>
                <w:rFonts w:ascii="GHEA Grapalat" w:eastAsia="Times New Roman" w:hAnsi="GHEA Grapalat" w:cs="Times New Roman"/>
                <w:sz w:val="24"/>
                <w:szCs w:val="24"/>
                <w:lang w:eastAsia="ru-RU"/>
              </w:rPr>
              <w:t>կամ</w:t>
            </w:r>
            <w:r w:rsidRPr="00A658BB">
              <w:rPr>
                <w:rFonts w:ascii="GHEA Grapalat" w:eastAsia="Times New Roman" w:hAnsi="GHEA Grapalat" w:cs="Times New Roman"/>
                <w:sz w:val="24"/>
                <w:szCs w:val="24"/>
                <w:lang w:val="af-ZA" w:eastAsia="ru-RU"/>
              </w:rPr>
              <w:t xml:space="preserve"> կոմպետենցիաների հետ կապված կամ առկա են այլ հանգամանքներ, որոնք կարող են բացասաբար ազդել դատական համակարգի նկատմամբ հանրային վստահության վրա։ Օրենքը չի նախատեսում հստակ չափանիշներ։ </w:t>
            </w:r>
          </w:p>
          <w:p w:rsidR="00A658BB" w:rsidRPr="00A658BB" w:rsidRDefault="00A658BB" w:rsidP="00A658BB">
            <w:pPr>
              <w:tabs>
                <w:tab w:val="left" w:pos="709"/>
                <w:tab w:val="left" w:pos="851"/>
                <w:tab w:val="left" w:pos="993"/>
              </w:tabs>
              <w:spacing w:line="276" w:lineRule="auto"/>
              <w:ind w:right="49" w:firstLine="540"/>
              <w:rPr>
                <w:rFonts w:ascii="GHEA Grapalat" w:eastAsia="Times New Roman" w:hAnsi="GHEA Grapalat" w:cs="Times New Roman"/>
                <w:sz w:val="24"/>
                <w:szCs w:val="24"/>
                <w:lang w:val="af-ZA" w:eastAsia="ru-RU"/>
              </w:rPr>
            </w:pPr>
          </w:p>
        </w:tc>
        <w:tc>
          <w:tcPr>
            <w:tcW w:w="4783" w:type="dxa"/>
          </w:tcPr>
          <w:p w:rsidR="00A658BB" w:rsidRPr="00A658BB" w:rsidRDefault="00A658BB" w:rsidP="00A658BB">
            <w:pPr>
              <w:tabs>
                <w:tab w:val="left" w:pos="709"/>
                <w:tab w:val="left" w:pos="851"/>
                <w:tab w:val="left" w:pos="993"/>
              </w:tabs>
              <w:spacing w:line="276" w:lineRule="auto"/>
              <w:ind w:right="49" w:firstLine="540"/>
              <w:contextualSpacing/>
              <w:jc w:val="both"/>
              <w:rPr>
                <w:rFonts w:ascii="GHEA Grapalat" w:eastAsia="Times New Roman" w:hAnsi="GHEA Grapalat" w:cs="Times New Roman"/>
                <w:sz w:val="24"/>
                <w:szCs w:val="24"/>
                <w:u w:val="single"/>
                <w:lang w:val="hy-AM" w:eastAsia="ru-RU"/>
              </w:rPr>
            </w:pPr>
            <w:r w:rsidRPr="00A658BB">
              <w:rPr>
                <w:rFonts w:ascii="GHEA Grapalat" w:eastAsia="Times New Roman" w:hAnsi="GHEA Grapalat" w:cs="Times New Roman"/>
                <w:sz w:val="24"/>
                <w:szCs w:val="24"/>
                <w:lang w:val="hy-AM" w:eastAsia="ru-RU"/>
              </w:rPr>
              <w:t>Բարեվարքության հարցերով hանրային խորհուրդը</w:t>
            </w:r>
            <w:r w:rsidRPr="00A658BB">
              <w:rPr>
                <w:rFonts w:ascii="GHEA Grapalat" w:eastAsia="Times New Roman" w:hAnsi="GHEA Grapalat" w:cs="Times New Roman"/>
                <w:sz w:val="24"/>
                <w:szCs w:val="24"/>
                <w:vertAlign w:val="superscript"/>
                <w:lang w:val="hy-AM" w:eastAsia="ru-RU"/>
              </w:rPr>
              <w:footnoteReference w:id="19"/>
            </w:r>
            <w:r w:rsidRPr="00A658BB">
              <w:rPr>
                <w:rFonts w:ascii="GHEA Grapalat" w:eastAsia="Times New Roman" w:hAnsi="GHEA Grapalat" w:cs="Times New Roman"/>
                <w:sz w:val="24"/>
                <w:szCs w:val="24"/>
                <w:lang w:val="hy-AM" w:eastAsia="ru-RU"/>
              </w:rPr>
              <w:t>, ի թիվս այլնի, Ուկրաինայի դատավորների Բարձրագույն որակավորման հանձնաժողովին տրամադրում է պատճառաբանված/հիմնավորված եզրակացություն, թե արդյոք տվյալ դատավորը/թեկնածուն համապատասխանում է մասնագիտական էթիկայի և բարեվարքության չափանիշներին։ Տվյալ եզրակացությունը հրապարակվում է հանձնաժողովի կայքէջում։</w:t>
            </w:r>
            <w:r w:rsidRPr="00A658BB">
              <w:rPr>
                <w:rFonts w:ascii="GHEA Grapalat" w:eastAsia="Times New Roman" w:hAnsi="GHEA Grapalat" w:cs="Times New Roman"/>
                <w:sz w:val="24"/>
                <w:szCs w:val="24"/>
                <w:u w:val="single"/>
                <w:lang w:val="hy-AM" w:eastAsia="ru-RU"/>
              </w:rPr>
              <w:t xml:space="preserve"> </w:t>
            </w:r>
            <w:r w:rsidRPr="00A658BB">
              <w:rPr>
                <w:rFonts w:ascii="GHEA Grapalat" w:eastAsia="Times New Roman" w:hAnsi="GHEA Grapalat" w:cs="Times New Roman"/>
                <w:sz w:val="24"/>
                <w:szCs w:val="24"/>
                <w:lang w:val="hy-AM" w:eastAsia="ru-RU"/>
              </w:rPr>
              <w:t>Եզրակացությունների հիման վրա Դատավորների Բարձրագույն որակավորման հանձնաժողովը պատճառաբանված որոշում է կայացնում որևէ թեկնածուին տվյալ դատավորի պաշտոնում հաստատելու ու չհաստատելու վերաբերյալ։</w:t>
            </w:r>
          </w:p>
          <w:p w:rsidR="00A658BB" w:rsidRPr="00A658BB" w:rsidRDefault="00A658BB" w:rsidP="00A658BB">
            <w:pPr>
              <w:tabs>
                <w:tab w:val="left" w:pos="709"/>
                <w:tab w:val="left" w:pos="851"/>
                <w:tab w:val="left" w:pos="993"/>
              </w:tabs>
              <w:spacing w:line="276" w:lineRule="auto"/>
              <w:ind w:right="49" w:firstLine="540"/>
              <w:rPr>
                <w:rFonts w:ascii="GHEA Grapalat" w:eastAsia="Times New Roman" w:hAnsi="GHEA Grapalat" w:cs="Times New Roman"/>
                <w:b/>
                <w:bCs/>
                <w:sz w:val="24"/>
                <w:szCs w:val="24"/>
                <w:lang w:val="hy-AM" w:eastAsia="ru-RU"/>
              </w:rPr>
            </w:pPr>
          </w:p>
          <w:p w:rsidR="00A658BB" w:rsidRPr="00A658BB" w:rsidRDefault="00A658BB" w:rsidP="00A658BB">
            <w:pPr>
              <w:tabs>
                <w:tab w:val="left" w:pos="709"/>
                <w:tab w:val="left" w:pos="851"/>
                <w:tab w:val="left" w:pos="993"/>
              </w:tabs>
              <w:spacing w:line="276" w:lineRule="auto"/>
              <w:ind w:right="49" w:firstLine="540"/>
              <w:contextualSpacing/>
              <w:jc w:val="both"/>
              <w:rPr>
                <w:rFonts w:ascii="GHEA Grapalat" w:eastAsia="Times New Roman" w:hAnsi="GHEA Grapalat" w:cs="Times New Roman"/>
                <w:sz w:val="24"/>
                <w:szCs w:val="24"/>
                <w:lang w:val="hy-AM" w:eastAsia="ru-RU"/>
              </w:rPr>
            </w:pPr>
            <w:r w:rsidRPr="00A658BB">
              <w:rPr>
                <w:rFonts w:ascii="GHEA Grapalat" w:eastAsia="Times New Roman" w:hAnsi="GHEA Grapalat" w:cs="Times New Roman"/>
                <w:sz w:val="24"/>
                <w:szCs w:val="24"/>
                <w:lang w:val="hy-AM" w:eastAsia="ru-RU"/>
              </w:rPr>
              <w:t xml:space="preserve">Հարկ է նշել, որ եթե Բարեվարքության հարցերով hանրային խորհուրդը իր կարծիքի մեջ նշում է, որ անձը չի համապատասխանում բարեվարքության չափանիշներին, Ուկրաինայի դատավորների Բարձրագույն որակավորման հանձնաժողովը կարող է պատճառաբանված որոշում կայացնել </w:t>
            </w:r>
            <w:r w:rsidRPr="00A658BB">
              <w:rPr>
                <w:rFonts w:ascii="GHEA Grapalat" w:eastAsia="Times New Roman" w:hAnsi="GHEA Grapalat" w:cs="Times New Roman"/>
                <w:sz w:val="24"/>
                <w:szCs w:val="24"/>
                <w:lang w:val="hy-AM" w:eastAsia="ru-RU"/>
              </w:rPr>
              <w:lastRenderedPageBreak/>
              <w:t xml:space="preserve">այդպիսի անձանց՝ դատավորի պաշտոնին համապատասխանելու վերաբերյալ հանձնաժողովի ձայների 2/3 հիման վրա: </w:t>
            </w:r>
          </w:p>
          <w:p w:rsidR="00A658BB" w:rsidRPr="00A658BB" w:rsidRDefault="00A658BB" w:rsidP="00A658BB">
            <w:pPr>
              <w:tabs>
                <w:tab w:val="left" w:pos="709"/>
                <w:tab w:val="left" w:pos="851"/>
                <w:tab w:val="left" w:pos="993"/>
              </w:tabs>
              <w:spacing w:line="276" w:lineRule="auto"/>
              <w:ind w:right="49" w:firstLine="540"/>
              <w:contextualSpacing/>
              <w:rPr>
                <w:rFonts w:ascii="GHEA Grapalat" w:eastAsia="Times New Roman" w:hAnsi="GHEA Grapalat" w:cs="Times New Roman"/>
                <w:b/>
                <w:bCs/>
                <w:sz w:val="24"/>
                <w:szCs w:val="24"/>
                <w:lang w:val="hy-AM" w:eastAsia="ru-RU"/>
              </w:rPr>
            </w:pPr>
          </w:p>
          <w:p w:rsidR="00A658BB" w:rsidRPr="00A658BB" w:rsidRDefault="00A658BB" w:rsidP="00A658BB">
            <w:pPr>
              <w:tabs>
                <w:tab w:val="left" w:pos="709"/>
                <w:tab w:val="left" w:pos="851"/>
                <w:tab w:val="left" w:pos="993"/>
              </w:tabs>
              <w:ind w:right="49" w:firstLine="540"/>
              <w:contextualSpacing/>
              <w:rPr>
                <w:rFonts w:ascii="GHEA Grapalat" w:eastAsia="Times New Roman" w:hAnsi="GHEA Grapalat" w:cs="Times New Roman"/>
                <w:sz w:val="24"/>
                <w:szCs w:val="24"/>
                <w:lang w:val="af-ZA" w:eastAsia="ru-RU"/>
              </w:rPr>
            </w:pPr>
          </w:p>
        </w:tc>
      </w:tr>
      <w:tr w:rsidR="00A658BB" w:rsidRPr="00A658BB" w:rsidTr="00632126">
        <w:tc>
          <w:tcPr>
            <w:tcW w:w="1985" w:type="dxa"/>
          </w:tcPr>
          <w:p w:rsidR="00A658BB" w:rsidRPr="00A658BB" w:rsidRDefault="00A658BB" w:rsidP="00A658BB">
            <w:pPr>
              <w:tabs>
                <w:tab w:val="left" w:pos="709"/>
                <w:tab w:val="left" w:pos="851"/>
                <w:tab w:val="left" w:pos="993"/>
              </w:tabs>
              <w:spacing w:line="276" w:lineRule="auto"/>
              <w:ind w:right="49" w:firstLine="540"/>
              <w:rPr>
                <w:rFonts w:ascii="GHEA Grapalat" w:eastAsia="Times New Roman" w:hAnsi="GHEA Grapalat" w:cs="Times New Roman"/>
                <w:sz w:val="24"/>
                <w:szCs w:val="24"/>
                <w:lang w:val="af-ZA" w:eastAsia="ru-RU"/>
              </w:rPr>
            </w:pPr>
            <w:r w:rsidRPr="00A658BB">
              <w:rPr>
                <w:rFonts w:ascii="GHEA Grapalat" w:eastAsia="Times New Roman" w:hAnsi="GHEA Grapalat" w:cs="Times New Roman"/>
                <w:sz w:val="24"/>
                <w:szCs w:val="24"/>
                <w:lang w:val="af-ZA" w:eastAsia="ru-RU"/>
              </w:rPr>
              <w:lastRenderedPageBreak/>
              <w:t>Բողոքարկում</w:t>
            </w:r>
          </w:p>
        </w:tc>
        <w:tc>
          <w:tcPr>
            <w:tcW w:w="3969" w:type="dxa"/>
          </w:tcPr>
          <w:p w:rsidR="00A658BB" w:rsidRPr="00A658BB" w:rsidRDefault="00A658BB" w:rsidP="00A658BB">
            <w:pPr>
              <w:tabs>
                <w:tab w:val="left" w:pos="709"/>
                <w:tab w:val="left" w:pos="851"/>
                <w:tab w:val="left" w:pos="993"/>
              </w:tabs>
              <w:spacing w:line="276" w:lineRule="auto"/>
              <w:ind w:right="49" w:firstLine="540"/>
              <w:rPr>
                <w:rFonts w:ascii="GHEA Grapalat" w:eastAsia="Times New Roman" w:hAnsi="GHEA Grapalat" w:cs="Times New Roman"/>
                <w:sz w:val="24"/>
                <w:szCs w:val="24"/>
                <w:lang w:val="af-ZA" w:eastAsia="ru-RU"/>
              </w:rPr>
            </w:pPr>
            <w:r w:rsidRPr="00A658BB">
              <w:rPr>
                <w:rFonts w:ascii="GHEA Grapalat" w:eastAsia="Times New Roman" w:hAnsi="GHEA Grapalat" w:cs="Times New Roman"/>
                <w:sz w:val="24"/>
                <w:szCs w:val="24"/>
                <w:lang w:val="af-ZA" w:eastAsia="ru-RU"/>
              </w:rPr>
              <w:t>Արդարադատության բարձրագույն խորհրդի որոշումը կարող է բողոքարկվել դատարանում։</w:t>
            </w:r>
          </w:p>
        </w:tc>
        <w:tc>
          <w:tcPr>
            <w:tcW w:w="4783" w:type="dxa"/>
          </w:tcPr>
          <w:p w:rsidR="00A658BB" w:rsidRPr="00A658BB" w:rsidRDefault="00A658BB" w:rsidP="00A658BB">
            <w:pPr>
              <w:tabs>
                <w:tab w:val="left" w:pos="709"/>
                <w:tab w:val="left" w:pos="851"/>
                <w:tab w:val="left" w:pos="993"/>
              </w:tabs>
              <w:spacing w:line="276" w:lineRule="auto"/>
              <w:ind w:right="49" w:firstLine="540"/>
              <w:contextualSpacing/>
              <w:jc w:val="both"/>
              <w:rPr>
                <w:rFonts w:ascii="GHEA Grapalat" w:eastAsia="Times New Roman" w:hAnsi="GHEA Grapalat" w:cs="Times New Roman"/>
                <w:sz w:val="24"/>
                <w:szCs w:val="24"/>
                <w:lang w:val="hy-AM" w:eastAsia="ru-RU"/>
              </w:rPr>
            </w:pPr>
            <w:r w:rsidRPr="00A658BB">
              <w:rPr>
                <w:rFonts w:ascii="GHEA Grapalat" w:eastAsia="Times New Roman" w:hAnsi="GHEA Grapalat" w:cs="Times New Roman"/>
                <w:sz w:val="24"/>
                <w:szCs w:val="24"/>
                <w:lang w:val="hy-AM" w:eastAsia="ru-RU"/>
              </w:rPr>
              <w:t>Հանձնաժողովի որոշումները կարող են բողոքարկվել որակավորման ստուգում անցող դատավորի/թեկնածուի կողմից Ուկրաինայի Վարչական դատավարության օրենսգրքով սահմանված կարգով։</w:t>
            </w:r>
          </w:p>
          <w:p w:rsidR="00A658BB" w:rsidRPr="00A658BB" w:rsidRDefault="00A658BB" w:rsidP="00A658BB">
            <w:pPr>
              <w:tabs>
                <w:tab w:val="left" w:pos="709"/>
                <w:tab w:val="left" w:pos="851"/>
                <w:tab w:val="left" w:pos="993"/>
              </w:tabs>
              <w:spacing w:line="276" w:lineRule="auto"/>
              <w:ind w:right="49" w:firstLine="540"/>
              <w:jc w:val="both"/>
              <w:rPr>
                <w:rFonts w:ascii="GHEA Grapalat" w:eastAsia="Times New Roman" w:hAnsi="GHEA Grapalat" w:cs="Times New Roman"/>
                <w:sz w:val="24"/>
                <w:szCs w:val="24"/>
                <w:lang w:val="hy-AM" w:eastAsia="ru-RU"/>
              </w:rPr>
            </w:pPr>
          </w:p>
        </w:tc>
      </w:tr>
    </w:tbl>
    <w:p w:rsidR="00A658BB" w:rsidRPr="00A658BB" w:rsidRDefault="00A658BB" w:rsidP="00A658BB">
      <w:pPr>
        <w:tabs>
          <w:tab w:val="left" w:pos="709"/>
          <w:tab w:val="left" w:pos="851"/>
          <w:tab w:val="left" w:pos="993"/>
        </w:tabs>
        <w:spacing w:after="200" w:line="276" w:lineRule="auto"/>
        <w:ind w:right="49" w:firstLine="540"/>
        <w:contextualSpacing/>
        <w:jc w:val="both"/>
        <w:rPr>
          <w:rFonts w:ascii="GHEA Grapalat" w:eastAsia="Times New Roman" w:hAnsi="GHEA Grapalat" w:cs="Times New Roman"/>
          <w:bCs/>
          <w:sz w:val="24"/>
          <w:szCs w:val="24"/>
          <w:lang w:val="af-ZA" w:eastAsia="ru-RU"/>
        </w:rPr>
      </w:pPr>
    </w:p>
    <w:p w:rsidR="00A658BB" w:rsidRPr="00A658BB" w:rsidRDefault="00A658BB" w:rsidP="00A658BB">
      <w:pPr>
        <w:tabs>
          <w:tab w:val="left" w:pos="709"/>
          <w:tab w:val="left" w:pos="851"/>
          <w:tab w:val="left" w:pos="993"/>
          <w:tab w:val="left" w:pos="2700"/>
        </w:tabs>
        <w:spacing w:after="200" w:line="276" w:lineRule="auto"/>
        <w:ind w:right="49" w:firstLine="540"/>
        <w:rPr>
          <w:rFonts w:ascii="GHEA Grapalat" w:eastAsia="Times New Roman" w:hAnsi="GHEA Grapalat" w:cs="Times New Roman"/>
          <w:b/>
          <w:bCs/>
          <w:i/>
          <w:iCs/>
          <w:sz w:val="24"/>
          <w:szCs w:val="24"/>
          <w:lang w:val="hy-AM" w:eastAsia="ru-RU"/>
        </w:rPr>
      </w:pPr>
    </w:p>
    <w:tbl>
      <w:tblPr>
        <w:tblStyle w:val="TableGrid1"/>
        <w:tblW w:w="10773" w:type="dxa"/>
        <w:tblInd w:w="-572" w:type="dxa"/>
        <w:tblLayout w:type="fixed"/>
        <w:tblLook w:val="04A0" w:firstRow="1" w:lastRow="0" w:firstColumn="1" w:lastColumn="0" w:noHBand="0" w:noVBand="1"/>
      </w:tblPr>
      <w:tblGrid>
        <w:gridCol w:w="1985"/>
        <w:gridCol w:w="3969"/>
        <w:gridCol w:w="4819"/>
      </w:tblGrid>
      <w:tr w:rsidR="00A658BB" w:rsidRPr="00A658BB" w:rsidTr="00632126">
        <w:trPr>
          <w:trHeight w:val="1250"/>
        </w:trPr>
        <w:tc>
          <w:tcPr>
            <w:tcW w:w="10773" w:type="dxa"/>
            <w:gridSpan w:val="3"/>
          </w:tcPr>
          <w:p w:rsidR="00A658BB" w:rsidRPr="00A658BB" w:rsidRDefault="00A658BB" w:rsidP="00A658BB">
            <w:pPr>
              <w:tabs>
                <w:tab w:val="left" w:pos="709"/>
                <w:tab w:val="left" w:pos="851"/>
                <w:tab w:val="left" w:pos="993"/>
              </w:tabs>
              <w:ind w:right="49" w:firstLine="540"/>
              <w:jc w:val="center"/>
              <w:rPr>
                <w:rFonts w:ascii="GHEA Grapalat" w:eastAsia="Times New Roman" w:hAnsi="GHEA Grapalat" w:cs="Times New Roman"/>
                <w:b/>
                <w:bCs/>
                <w:sz w:val="24"/>
                <w:szCs w:val="24"/>
                <w:lang w:val="af-ZA" w:eastAsia="ru-RU"/>
              </w:rPr>
            </w:pPr>
            <w:r w:rsidRPr="00A658BB">
              <w:rPr>
                <w:rFonts w:ascii="GHEA Grapalat" w:eastAsia="Times New Roman" w:hAnsi="GHEA Grapalat" w:cs="Times New Roman"/>
                <w:b/>
                <w:bCs/>
                <w:sz w:val="24"/>
                <w:szCs w:val="24"/>
                <w:lang w:val="af-ZA" w:eastAsia="ru-RU"/>
              </w:rPr>
              <w:t>ԱԼԲԱՆԻԱ</w:t>
            </w:r>
          </w:p>
        </w:tc>
      </w:tr>
      <w:tr w:rsidR="00A658BB" w:rsidRPr="00A658BB" w:rsidTr="00632126">
        <w:trPr>
          <w:trHeight w:val="1250"/>
        </w:trPr>
        <w:tc>
          <w:tcPr>
            <w:tcW w:w="1985" w:type="dxa"/>
          </w:tcPr>
          <w:p w:rsidR="00A658BB" w:rsidRPr="00A658BB" w:rsidRDefault="00A658BB" w:rsidP="00A658BB">
            <w:pPr>
              <w:tabs>
                <w:tab w:val="left" w:pos="709"/>
                <w:tab w:val="left" w:pos="851"/>
                <w:tab w:val="left" w:pos="993"/>
              </w:tabs>
              <w:spacing w:line="276" w:lineRule="auto"/>
              <w:ind w:right="49" w:firstLine="540"/>
              <w:rPr>
                <w:rFonts w:ascii="GHEA Grapalat" w:eastAsia="Times New Roman" w:hAnsi="GHEA Grapalat" w:cs="Times New Roman"/>
                <w:b/>
                <w:bCs/>
                <w:sz w:val="24"/>
                <w:szCs w:val="24"/>
                <w:lang w:val="af-ZA" w:eastAsia="ru-RU"/>
              </w:rPr>
            </w:pPr>
            <w:r w:rsidRPr="00A658BB">
              <w:rPr>
                <w:rFonts w:ascii="GHEA Grapalat" w:eastAsia="Times New Roman" w:hAnsi="GHEA Grapalat" w:cs="Times New Roman"/>
                <w:b/>
                <w:bCs/>
                <w:sz w:val="24"/>
                <w:szCs w:val="24"/>
                <w:lang w:val="af-ZA" w:eastAsia="ru-RU"/>
              </w:rPr>
              <w:t>Չափանիշներ</w:t>
            </w:r>
          </w:p>
        </w:tc>
        <w:tc>
          <w:tcPr>
            <w:tcW w:w="3969" w:type="dxa"/>
          </w:tcPr>
          <w:p w:rsidR="00A658BB" w:rsidRPr="00A658BB" w:rsidRDefault="00A658BB" w:rsidP="00A658BB">
            <w:pPr>
              <w:tabs>
                <w:tab w:val="left" w:pos="709"/>
                <w:tab w:val="left" w:pos="851"/>
                <w:tab w:val="left" w:pos="993"/>
              </w:tabs>
              <w:spacing w:line="276" w:lineRule="auto"/>
              <w:ind w:right="49" w:firstLine="540"/>
              <w:jc w:val="center"/>
              <w:rPr>
                <w:rFonts w:ascii="GHEA Grapalat" w:eastAsia="Times New Roman" w:hAnsi="GHEA Grapalat" w:cs="Times New Roman"/>
                <w:b/>
                <w:bCs/>
                <w:sz w:val="24"/>
                <w:szCs w:val="24"/>
                <w:lang w:val="af-ZA" w:eastAsia="ru-RU"/>
              </w:rPr>
            </w:pPr>
            <w:r w:rsidRPr="00A658BB">
              <w:rPr>
                <w:rFonts w:ascii="GHEA Grapalat" w:eastAsia="Times New Roman" w:hAnsi="GHEA Grapalat" w:cs="Times New Roman"/>
                <w:b/>
                <w:bCs/>
                <w:sz w:val="24"/>
                <w:szCs w:val="24"/>
                <w:lang w:val="af-ZA" w:eastAsia="ru-RU"/>
              </w:rPr>
              <w:t>Մեղմ ընթացակարգեր՝ ավելի մեղմ հրապարակայնության ռեժիմով և պահանջներով</w:t>
            </w:r>
          </w:p>
        </w:tc>
        <w:tc>
          <w:tcPr>
            <w:tcW w:w="4819" w:type="dxa"/>
          </w:tcPr>
          <w:p w:rsidR="00A658BB" w:rsidRPr="00A658BB" w:rsidRDefault="00A658BB" w:rsidP="00A658BB">
            <w:pPr>
              <w:tabs>
                <w:tab w:val="left" w:pos="709"/>
                <w:tab w:val="left" w:pos="851"/>
                <w:tab w:val="left" w:pos="993"/>
              </w:tabs>
              <w:spacing w:line="276" w:lineRule="auto"/>
              <w:ind w:right="49" w:firstLine="540"/>
              <w:jc w:val="center"/>
              <w:rPr>
                <w:rFonts w:ascii="GHEA Grapalat" w:eastAsia="Times New Roman" w:hAnsi="GHEA Grapalat" w:cs="Times New Roman"/>
                <w:b/>
                <w:bCs/>
                <w:sz w:val="24"/>
                <w:szCs w:val="24"/>
                <w:lang w:val="af-ZA" w:eastAsia="ru-RU"/>
              </w:rPr>
            </w:pPr>
            <w:r w:rsidRPr="00A658BB">
              <w:rPr>
                <w:rFonts w:ascii="GHEA Grapalat" w:eastAsia="Times New Roman" w:hAnsi="GHEA Grapalat" w:cs="Times New Roman"/>
                <w:b/>
                <w:bCs/>
                <w:sz w:val="24"/>
                <w:szCs w:val="24"/>
                <w:lang w:val="af-ZA" w:eastAsia="ru-RU"/>
              </w:rPr>
              <w:t>Կոշտ ընթացակարգեր՝ հրապարակայնության և պատճառաբանվածության բարձր շեմով</w:t>
            </w:r>
          </w:p>
          <w:p w:rsidR="00A658BB" w:rsidRPr="00A658BB" w:rsidRDefault="00A658BB" w:rsidP="00A658BB">
            <w:pPr>
              <w:tabs>
                <w:tab w:val="left" w:pos="709"/>
                <w:tab w:val="left" w:pos="851"/>
                <w:tab w:val="left" w:pos="993"/>
              </w:tabs>
              <w:spacing w:line="276" w:lineRule="auto"/>
              <w:ind w:right="49" w:firstLine="540"/>
              <w:jc w:val="both"/>
              <w:rPr>
                <w:rFonts w:ascii="GHEA Grapalat" w:eastAsia="Times New Roman" w:hAnsi="GHEA Grapalat" w:cs="Times New Roman"/>
                <w:b/>
                <w:bCs/>
                <w:sz w:val="24"/>
                <w:szCs w:val="24"/>
                <w:lang w:val="af-ZA" w:eastAsia="ru-RU"/>
              </w:rPr>
            </w:pPr>
          </w:p>
        </w:tc>
      </w:tr>
      <w:tr w:rsidR="00A658BB" w:rsidRPr="00A658BB" w:rsidTr="00632126">
        <w:tc>
          <w:tcPr>
            <w:tcW w:w="1985" w:type="dxa"/>
          </w:tcPr>
          <w:p w:rsidR="00A658BB" w:rsidRPr="00A658BB" w:rsidRDefault="00A658BB" w:rsidP="00A658BB">
            <w:pPr>
              <w:tabs>
                <w:tab w:val="left" w:pos="709"/>
                <w:tab w:val="left" w:pos="851"/>
                <w:tab w:val="left" w:pos="993"/>
              </w:tabs>
              <w:spacing w:line="276" w:lineRule="auto"/>
              <w:ind w:right="49" w:firstLine="540"/>
              <w:rPr>
                <w:rFonts w:ascii="GHEA Grapalat" w:eastAsia="Times New Roman" w:hAnsi="GHEA Grapalat" w:cs="Times New Roman"/>
                <w:sz w:val="24"/>
                <w:szCs w:val="24"/>
                <w:lang w:val="af-ZA" w:eastAsia="ru-RU"/>
              </w:rPr>
            </w:pPr>
            <w:r w:rsidRPr="00A658BB">
              <w:rPr>
                <w:rFonts w:ascii="GHEA Grapalat" w:eastAsia="Times New Roman" w:hAnsi="GHEA Grapalat" w:cs="Times New Roman"/>
                <w:sz w:val="24"/>
                <w:szCs w:val="24"/>
                <w:lang w:val="af-ZA" w:eastAsia="ru-RU"/>
              </w:rPr>
              <w:t>Ստուգվող սուբյեկտների և ստուգող մարմինների շրջանակ</w:t>
            </w:r>
          </w:p>
        </w:tc>
        <w:tc>
          <w:tcPr>
            <w:tcW w:w="3969" w:type="dxa"/>
          </w:tcPr>
          <w:p w:rsidR="00A658BB" w:rsidRPr="00A658BB" w:rsidRDefault="00A658BB" w:rsidP="00A658BB">
            <w:pPr>
              <w:tabs>
                <w:tab w:val="left" w:pos="709"/>
                <w:tab w:val="left" w:pos="851"/>
                <w:tab w:val="left" w:pos="993"/>
              </w:tabs>
              <w:spacing w:line="276" w:lineRule="auto"/>
              <w:ind w:right="49" w:firstLine="540"/>
              <w:jc w:val="both"/>
              <w:rPr>
                <w:rFonts w:ascii="GHEA Grapalat" w:eastAsia="Times New Roman" w:hAnsi="GHEA Grapalat" w:cs="Times New Roman"/>
                <w:sz w:val="24"/>
                <w:szCs w:val="24"/>
                <w:lang w:val="af-ZA" w:eastAsia="ru-RU"/>
              </w:rPr>
            </w:pPr>
            <w:r w:rsidRPr="00A658BB">
              <w:rPr>
                <w:rFonts w:ascii="GHEA Grapalat" w:eastAsia="Times New Roman" w:hAnsi="GHEA Grapalat" w:cs="Times New Roman"/>
                <w:sz w:val="24"/>
                <w:szCs w:val="24"/>
                <w:lang w:val="af-ZA" w:eastAsia="ru-RU"/>
              </w:rPr>
              <w:t xml:space="preserve">Սովորական բարեվարքության ստուգման ընթացակարգն ունի ավելի մեղմ չափանիշներ և ավելի ցածր հրապարակայնության </w:t>
            </w:r>
            <w:r w:rsidRPr="00A658BB">
              <w:rPr>
                <w:rFonts w:ascii="GHEA Grapalat" w:eastAsia="Times New Roman" w:hAnsi="GHEA Grapalat" w:cs="Times New Roman"/>
                <w:sz w:val="24"/>
                <w:szCs w:val="24"/>
                <w:lang w:val="af-ZA" w:eastAsia="ru-RU"/>
              </w:rPr>
              <w:lastRenderedPageBreak/>
              <w:t xml:space="preserve">պահանջներ, քանի որ այն չի կիրառվում գործող դատավորների նկատմամբ, այլ նոր համակարգ մուտք գործող թեկնածուների նկատմամբ։ </w:t>
            </w:r>
          </w:p>
          <w:p w:rsidR="00A658BB" w:rsidRPr="00A658BB" w:rsidRDefault="00A658BB" w:rsidP="00A658BB">
            <w:pPr>
              <w:tabs>
                <w:tab w:val="left" w:pos="709"/>
                <w:tab w:val="left" w:pos="851"/>
                <w:tab w:val="left" w:pos="993"/>
              </w:tabs>
              <w:spacing w:line="276" w:lineRule="auto"/>
              <w:ind w:right="49" w:firstLine="540"/>
              <w:jc w:val="both"/>
              <w:rPr>
                <w:rFonts w:ascii="GHEA Grapalat" w:eastAsia="Times New Roman" w:hAnsi="GHEA Grapalat" w:cs="Times New Roman"/>
                <w:sz w:val="24"/>
                <w:szCs w:val="24"/>
                <w:lang w:val="af-ZA" w:eastAsia="ru-RU"/>
              </w:rPr>
            </w:pPr>
            <w:r w:rsidRPr="00A658BB">
              <w:rPr>
                <w:rFonts w:ascii="GHEA Grapalat" w:eastAsia="Times New Roman" w:hAnsi="GHEA Grapalat" w:cs="Times New Roman"/>
                <w:sz w:val="24"/>
                <w:szCs w:val="24"/>
                <w:lang w:val="af-ZA" w:eastAsia="ru-RU"/>
              </w:rPr>
              <w:t>Դատավորների թեկնածուները մինչև համակարգ մուտք գործելը վեթինգ են անցնում Բարձրագույն դատական խորհրդի (ԲԴԽ) կողմից, որն իրականացնում է HIDACCHI-ի (լիազորություններով համարժեք է Հայաստանի ԿԿՀ-ին)</w:t>
            </w:r>
            <w:r w:rsidRPr="00A658BB">
              <w:rPr>
                <w:rFonts w:ascii="GHEA Grapalat" w:eastAsia="Times New Roman" w:hAnsi="GHEA Grapalat" w:cs="Times New Roman"/>
                <w:sz w:val="24"/>
                <w:szCs w:val="24"/>
                <w:vertAlign w:val="superscript"/>
                <w:lang w:val="af-ZA" w:eastAsia="ru-RU"/>
              </w:rPr>
              <w:footnoteReference w:id="20"/>
            </w:r>
            <w:r w:rsidRPr="00A658BB">
              <w:rPr>
                <w:rFonts w:ascii="GHEA Grapalat" w:eastAsia="Times New Roman" w:hAnsi="GHEA Grapalat" w:cs="Times New Roman"/>
                <w:sz w:val="24"/>
                <w:szCs w:val="24"/>
                <w:vertAlign w:val="superscript"/>
                <w:lang w:val="af-ZA" w:eastAsia="ru-RU"/>
              </w:rPr>
              <w:t xml:space="preserve"> </w:t>
            </w:r>
            <w:r w:rsidRPr="00A658BB">
              <w:rPr>
                <w:rFonts w:ascii="GHEA Grapalat" w:eastAsia="Times New Roman" w:hAnsi="GHEA Grapalat" w:cs="Times New Roman"/>
                <w:sz w:val="24"/>
                <w:szCs w:val="24"/>
                <w:lang w:val="af-ZA" w:eastAsia="ru-RU"/>
              </w:rPr>
              <w:t xml:space="preserve">և Գաղտնի ծառայության տրամադրած զեկույցների վրա: Բայց ԲԴԽ դեռևս ունի այդ զեկույցը ընդունել-չընդունելու կամ նույնիսկ ներկայացված փաստերը ինքնուրույն ստուգելու լիազորությունը։ Տվյալ դեպքում, HIDACCHI ներկայացված եզրակացությունները հրապարակային չեն, սակայն ԲԴԽ պարտավոր է դրանք տրամադրել ստուգում </w:t>
            </w:r>
            <w:r w:rsidRPr="00A658BB">
              <w:rPr>
                <w:rFonts w:ascii="GHEA Grapalat" w:eastAsia="Times New Roman" w:hAnsi="GHEA Grapalat" w:cs="Times New Roman"/>
                <w:sz w:val="24"/>
                <w:szCs w:val="24"/>
                <w:lang w:val="af-ZA" w:eastAsia="ru-RU"/>
              </w:rPr>
              <w:lastRenderedPageBreak/>
              <w:t xml:space="preserve">անցնողներին ծանոթանալու և իրենց պաշտպանությունը կազմակերպելու համար։ </w:t>
            </w:r>
          </w:p>
          <w:p w:rsidR="00A658BB" w:rsidRPr="00A658BB" w:rsidRDefault="00A658BB" w:rsidP="00A658BB">
            <w:pPr>
              <w:tabs>
                <w:tab w:val="left" w:pos="709"/>
                <w:tab w:val="left" w:pos="851"/>
                <w:tab w:val="left" w:pos="993"/>
              </w:tabs>
              <w:spacing w:line="276" w:lineRule="auto"/>
              <w:ind w:right="49" w:firstLine="540"/>
              <w:rPr>
                <w:rFonts w:ascii="GHEA Grapalat" w:eastAsia="Times New Roman" w:hAnsi="GHEA Grapalat" w:cs="Times New Roman"/>
                <w:sz w:val="24"/>
                <w:szCs w:val="24"/>
                <w:lang w:val="af-ZA" w:eastAsia="ru-RU"/>
              </w:rPr>
            </w:pPr>
            <w:r w:rsidRPr="00A658BB">
              <w:rPr>
                <w:rFonts w:ascii="GHEA Grapalat" w:eastAsia="Times New Roman" w:hAnsi="GHEA Grapalat" w:cs="Times New Roman"/>
                <w:sz w:val="24"/>
                <w:szCs w:val="24"/>
                <w:lang w:val="af-ZA" w:eastAsia="ru-RU"/>
              </w:rPr>
              <w:t>Սա իրենից ներկայացնում է հայտարարագրի ստուգում, ինչպես նաև կապերի ստուգում/background check, որը գրավոր ընթացակարգով է կատարվում։</w:t>
            </w:r>
          </w:p>
        </w:tc>
        <w:tc>
          <w:tcPr>
            <w:tcW w:w="4819" w:type="dxa"/>
          </w:tcPr>
          <w:p w:rsidR="00A658BB" w:rsidRPr="00A658BB" w:rsidRDefault="00A658BB" w:rsidP="00A658BB">
            <w:pPr>
              <w:tabs>
                <w:tab w:val="left" w:pos="709"/>
                <w:tab w:val="left" w:pos="851"/>
                <w:tab w:val="left" w:pos="993"/>
              </w:tabs>
              <w:spacing w:line="276" w:lineRule="auto"/>
              <w:ind w:right="49" w:firstLine="540"/>
              <w:rPr>
                <w:rFonts w:ascii="GHEA Grapalat" w:eastAsia="Times New Roman" w:hAnsi="GHEA Grapalat" w:cs="Times New Roman"/>
                <w:sz w:val="24"/>
                <w:szCs w:val="24"/>
                <w:lang w:val="af-ZA" w:eastAsia="ru-RU"/>
              </w:rPr>
            </w:pPr>
            <w:r w:rsidRPr="00A658BB">
              <w:rPr>
                <w:rFonts w:ascii="GHEA Grapalat" w:eastAsia="Times New Roman" w:hAnsi="GHEA Grapalat" w:cs="Times New Roman"/>
                <w:sz w:val="24"/>
                <w:szCs w:val="24"/>
                <w:lang w:val="hy-AM" w:eastAsia="ru-RU"/>
              </w:rPr>
              <w:lastRenderedPageBreak/>
              <w:t xml:space="preserve">Իրականացվում է </w:t>
            </w:r>
            <w:r w:rsidRPr="00A658BB">
              <w:rPr>
                <w:rFonts w:ascii="GHEA Grapalat" w:eastAsia="Times New Roman" w:hAnsi="GHEA Grapalat" w:cs="Times New Roman"/>
                <w:sz w:val="24"/>
                <w:szCs w:val="24"/>
                <w:lang w:val="af-ZA" w:eastAsia="ru-RU"/>
              </w:rPr>
              <w:t>գործող դատավորների և դատախազների համար հիմնարար վեթինգի կազմակերպման նպատակով</w:t>
            </w:r>
            <w:r w:rsidRPr="00A658BB">
              <w:rPr>
                <w:rFonts w:ascii="GHEA Grapalat" w:eastAsia="Times New Roman" w:hAnsi="GHEA Grapalat" w:cs="Times New Roman"/>
                <w:sz w:val="24"/>
                <w:szCs w:val="24"/>
                <w:vertAlign w:val="superscript"/>
                <w:lang w:val="af-ZA" w:eastAsia="ru-RU"/>
              </w:rPr>
              <w:footnoteReference w:id="21"/>
            </w:r>
            <w:r w:rsidRPr="00A658BB">
              <w:rPr>
                <w:rFonts w:ascii="GHEA Grapalat" w:eastAsia="Times New Roman" w:hAnsi="GHEA Grapalat" w:cs="Times New Roman"/>
                <w:sz w:val="24"/>
                <w:szCs w:val="24"/>
                <w:lang w:val="af-ZA" w:eastAsia="ru-RU"/>
              </w:rPr>
              <w:t>։</w:t>
            </w:r>
          </w:p>
          <w:p w:rsidR="00A658BB" w:rsidRPr="00A658BB" w:rsidRDefault="00A658BB" w:rsidP="00A658BB">
            <w:pPr>
              <w:tabs>
                <w:tab w:val="left" w:pos="709"/>
                <w:tab w:val="left" w:pos="851"/>
                <w:tab w:val="left" w:pos="993"/>
              </w:tabs>
              <w:spacing w:line="276" w:lineRule="auto"/>
              <w:ind w:right="49" w:firstLine="540"/>
              <w:rPr>
                <w:rFonts w:ascii="GHEA Grapalat" w:eastAsia="Times New Roman" w:hAnsi="GHEA Grapalat" w:cs="Times New Roman"/>
                <w:sz w:val="24"/>
                <w:szCs w:val="24"/>
                <w:lang w:val="af-ZA" w:eastAsia="ru-RU"/>
              </w:rPr>
            </w:pPr>
          </w:p>
          <w:p w:rsidR="00A658BB" w:rsidRPr="00A658BB" w:rsidRDefault="00A658BB" w:rsidP="00A658BB">
            <w:pPr>
              <w:tabs>
                <w:tab w:val="left" w:pos="709"/>
                <w:tab w:val="left" w:pos="851"/>
                <w:tab w:val="left" w:pos="993"/>
              </w:tabs>
              <w:spacing w:line="276" w:lineRule="auto"/>
              <w:ind w:right="49" w:firstLine="540"/>
              <w:jc w:val="both"/>
              <w:rPr>
                <w:rFonts w:ascii="GHEA Grapalat" w:eastAsia="Times New Roman" w:hAnsi="GHEA Grapalat" w:cs="Times New Roman"/>
                <w:sz w:val="24"/>
                <w:szCs w:val="24"/>
                <w:lang w:val="af-ZA" w:eastAsia="ru-RU"/>
              </w:rPr>
            </w:pPr>
            <w:r w:rsidRPr="00A658BB">
              <w:rPr>
                <w:rFonts w:ascii="GHEA Grapalat" w:eastAsia="Times New Roman" w:hAnsi="GHEA Grapalat" w:cs="Times New Roman"/>
                <w:sz w:val="24"/>
                <w:szCs w:val="24"/>
                <w:lang w:val="af-ZA" w:eastAsia="ru-RU"/>
              </w:rPr>
              <w:lastRenderedPageBreak/>
              <w:t>Վեթինգի համար ստեղծվել է Վեթինգի մարմինը, որին կից գործում է հատուկ Միջազգային Մոնիթորինգային Խումբը (International Monitoring Operation</w:t>
            </w:r>
            <w:r w:rsidRPr="00A658BB">
              <w:rPr>
                <w:rFonts w:ascii="GHEA Grapalat" w:eastAsia="Times New Roman" w:hAnsi="GHEA Grapalat" w:cs="Times New Roman"/>
                <w:sz w:val="24"/>
                <w:szCs w:val="24"/>
                <w:lang w:val="af-ZA" w:eastAsia="ru-RU"/>
              </w:rPr>
              <w:footnoteReference w:id="22"/>
            </w:r>
            <w:r w:rsidRPr="00A658BB">
              <w:rPr>
                <w:rFonts w:ascii="GHEA Grapalat" w:eastAsia="Times New Roman" w:hAnsi="GHEA Grapalat" w:cs="Times New Roman"/>
                <w:sz w:val="24"/>
                <w:szCs w:val="24"/>
                <w:lang w:val="af-ZA" w:eastAsia="ru-RU"/>
              </w:rPr>
              <w:t>)։ Դատավորների և դատախազների վեթինգը ներառում է հետևյալ երեք բաղադրիչները`</w:t>
            </w:r>
          </w:p>
          <w:p w:rsidR="00A658BB" w:rsidRPr="00A658BB" w:rsidRDefault="00A658BB" w:rsidP="00A658BB">
            <w:pPr>
              <w:tabs>
                <w:tab w:val="left" w:pos="709"/>
                <w:tab w:val="left" w:pos="851"/>
                <w:tab w:val="left" w:pos="993"/>
              </w:tabs>
              <w:spacing w:line="276" w:lineRule="auto"/>
              <w:ind w:right="49" w:firstLine="540"/>
              <w:jc w:val="both"/>
              <w:rPr>
                <w:rFonts w:ascii="GHEA Grapalat" w:eastAsia="Times New Roman" w:hAnsi="GHEA Grapalat" w:cs="Times New Roman"/>
                <w:sz w:val="24"/>
                <w:szCs w:val="24"/>
                <w:lang w:val="af-ZA" w:eastAsia="ru-RU"/>
              </w:rPr>
            </w:pPr>
            <w:r w:rsidRPr="00A658BB">
              <w:rPr>
                <w:rFonts w:ascii="GHEA Grapalat" w:eastAsia="Times New Roman" w:hAnsi="GHEA Grapalat" w:cs="Times New Roman"/>
                <w:sz w:val="24"/>
                <w:szCs w:val="24"/>
                <w:lang w:val="af-ZA" w:eastAsia="ru-RU"/>
              </w:rPr>
              <w:t>ա.գույքի գնահատում, բ.կապերի գնահատում/ Background assessment, գ.մասնագիտական հմտությունների գնահատում։</w:t>
            </w:r>
          </w:p>
        </w:tc>
      </w:tr>
      <w:tr w:rsidR="00A658BB" w:rsidRPr="00A658BB" w:rsidTr="00632126">
        <w:tc>
          <w:tcPr>
            <w:tcW w:w="1985" w:type="dxa"/>
          </w:tcPr>
          <w:p w:rsidR="00A658BB" w:rsidRPr="00A658BB" w:rsidRDefault="00A658BB" w:rsidP="00A658BB">
            <w:pPr>
              <w:tabs>
                <w:tab w:val="left" w:pos="709"/>
                <w:tab w:val="left" w:pos="851"/>
                <w:tab w:val="left" w:pos="993"/>
              </w:tabs>
              <w:spacing w:line="276" w:lineRule="auto"/>
              <w:ind w:right="49" w:firstLine="540"/>
              <w:rPr>
                <w:rFonts w:ascii="GHEA Grapalat" w:eastAsia="Times New Roman" w:hAnsi="GHEA Grapalat" w:cs="Times New Roman"/>
                <w:sz w:val="24"/>
                <w:szCs w:val="24"/>
                <w:lang w:val="af-ZA" w:eastAsia="ru-RU"/>
              </w:rPr>
            </w:pPr>
            <w:r w:rsidRPr="00A658BB">
              <w:rPr>
                <w:rFonts w:ascii="GHEA Grapalat" w:eastAsia="Times New Roman" w:hAnsi="GHEA Grapalat" w:cs="Times New Roman"/>
                <w:sz w:val="24"/>
                <w:szCs w:val="24"/>
                <w:lang w:val="af-ZA" w:eastAsia="ru-RU"/>
              </w:rPr>
              <w:lastRenderedPageBreak/>
              <w:t>Հրապարակայնություն</w:t>
            </w:r>
          </w:p>
        </w:tc>
        <w:tc>
          <w:tcPr>
            <w:tcW w:w="3969" w:type="dxa"/>
          </w:tcPr>
          <w:p w:rsidR="00A658BB" w:rsidRPr="00A658BB" w:rsidRDefault="00A658BB" w:rsidP="00A658BB">
            <w:pPr>
              <w:tabs>
                <w:tab w:val="left" w:pos="709"/>
                <w:tab w:val="left" w:pos="851"/>
                <w:tab w:val="left" w:pos="993"/>
              </w:tabs>
              <w:spacing w:line="276" w:lineRule="auto"/>
              <w:ind w:right="49" w:firstLine="540"/>
              <w:jc w:val="both"/>
              <w:rPr>
                <w:rFonts w:ascii="GHEA Grapalat" w:eastAsia="Times New Roman" w:hAnsi="GHEA Grapalat" w:cs="Times New Roman"/>
                <w:sz w:val="24"/>
                <w:szCs w:val="24"/>
                <w:lang w:val="hy-AM" w:eastAsia="ru-RU"/>
              </w:rPr>
            </w:pPr>
            <w:r w:rsidRPr="00A658BB">
              <w:rPr>
                <w:rFonts w:ascii="GHEA Grapalat" w:eastAsia="Times New Roman" w:hAnsi="GHEA Grapalat" w:cs="Times New Roman"/>
                <w:sz w:val="24"/>
                <w:szCs w:val="24"/>
                <w:lang w:val="hy-AM" w:eastAsia="ru-RU"/>
              </w:rPr>
              <w:t>Սովորական բարեվարքության ստուգման ընթացակարգն ունի ավելի մեղմ չափանիշներ և ավելի ցածր հրապարակայնության պահանջներ, քանի որ այն չի կիրառվում գործող դատավորների նկատմամբ, այլ նոր համակարգ մուտք գործող թեկնածուների նկատմամբ։  Ստուգման ընթացակարգը գրավոր է, առանց դռնբաց նիստերի։ Վերջնական որոշումները հրապարակվում են, սակայն առանց հիմնավորումների և նույնականացնող տվյալների։ Ամբողջական որոշումը ենթակա չէ հրապարակման:</w:t>
            </w:r>
          </w:p>
          <w:p w:rsidR="00A658BB" w:rsidRPr="00A658BB" w:rsidRDefault="00A658BB" w:rsidP="00A658BB">
            <w:pPr>
              <w:tabs>
                <w:tab w:val="left" w:pos="709"/>
                <w:tab w:val="left" w:pos="851"/>
                <w:tab w:val="left" w:pos="993"/>
              </w:tabs>
              <w:spacing w:line="276" w:lineRule="auto"/>
              <w:ind w:right="49" w:firstLine="540"/>
              <w:rPr>
                <w:rFonts w:ascii="GHEA Grapalat" w:eastAsia="Times New Roman" w:hAnsi="GHEA Grapalat" w:cs="Times New Roman"/>
                <w:sz w:val="24"/>
                <w:szCs w:val="24"/>
                <w:lang w:val="hy-AM" w:eastAsia="ru-RU"/>
              </w:rPr>
            </w:pPr>
          </w:p>
          <w:p w:rsidR="00A658BB" w:rsidRPr="00A658BB" w:rsidRDefault="00A658BB" w:rsidP="00A658BB">
            <w:pPr>
              <w:tabs>
                <w:tab w:val="left" w:pos="709"/>
                <w:tab w:val="left" w:pos="851"/>
                <w:tab w:val="left" w:pos="993"/>
              </w:tabs>
              <w:spacing w:line="276" w:lineRule="auto"/>
              <w:ind w:right="49" w:firstLine="540"/>
              <w:rPr>
                <w:rFonts w:ascii="GHEA Grapalat" w:eastAsia="Times New Roman" w:hAnsi="GHEA Grapalat" w:cs="Times New Roman"/>
                <w:sz w:val="24"/>
                <w:szCs w:val="24"/>
                <w:lang w:val="hy-AM" w:eastAsia="ru-RU"/>
              </w:rPr>
            </w:pPr>
            <w:r w:rsidRPr="00A658BB">
              <w:rPr>
                <w:rFonts w:ascii="GHEA Grapalat" w:eastAsia="Times New Roman" w:hAnsi="GHEA Grapalat" w:cs="Times New Roman"/>
                <w:sz w:val="24"/>
                <w:szCs w:val="24"/>
                <w:lang w:val="hy-AM" w:eastAsia="ru-RU"/>
              </w:rPr>
              <w:t xml:space="preserve">Նույն կերպ ԲԴԽ-ի կայացրած որոշումները դատավորների </w:t>
            </w:r>
            <w:r w:rsidRPr="00A658BB">
              <w:rPr>
                <w:rFonts w:ascii="GHEA Grapalat" w:eastAsia="Times New Roman" w:hAnsi="GHEA Grapalat" w:cs="Times New Roman"/>
                <w:sz w:val="24"/>
                <w:szCs w:val="24"/>
                <w:lang w:val="hy-AM" w:eastAsia="ru-RU"/>
              </w:rPr>
              <w:lastRenderedPageBreak/>
              <w:t>առաջխաղացման վերաբերյալ ամբողջական կերպով հրապարակային չեն, հատկապես պատճառների մասով։</w:t>
            </w:r>
          </w:p>
          <w:p w:rsidR="00A658BB" w:rsidRPr="00A658BB" w:rsidRDefault="00A658BB" w:rsidP="00A658BB">
            <w:pPr>
              <w:tabs>
                <w:tab w:val="left" w:pos="709"/>
                <w:tab w:val="left" w:pos="851"/>
                <w:tab w:val="left" w:pos="993"/>
              </w:tabs>
              <w:spacing w:line="276" w:lineRule="auto"/>
              <w:ind w:right="49" w:firstLine="540"/>
              <w:rPr>
                <w:rFonts w:ascii="GHEA Grapalat" w:eastAsia="Times New Roman" w:hAnsi="GHEA Grapalat" w:cs="Times New Roman"/>
                <w:sz w:val="24"/>
                <w:szCs w:val="24"/>
                <w:lang w:val="hy-AM" w:eastAsia="ru-RU"/>
              </w:rPr>
            </w:pPr>
          </w:p>
          <w:p w:rsidR="00A658BB" w:rsidRPr="00A658BB" w:rsidRDefault="00A658BB" w:rsidP="00A658BB">
            <w:pPr>
              <w:tabs>
                <w:tab w:val="left" w:pos="709"/>
                <w:tab w:val="left" w:pos="851"/>
                <w:tab w:val="left" w:pos="993"/>
              </w:tabs>
              <w:spacing w:line="276" w:lineRule="auto"/>
              <w:ind w:right="49" w:firstLine="540"/>
              <w:rPr>
                <w:rFonts w:ascii="GHEA Grapalat" w:eastAsia="Times New Roman" w:hAnsi="GHEA Grapalat" w:cs="Times New Roman"/>
                <w:sz w:val="24"/>
                <w:szCs w:val="24"/>
                <w:lang w:val="hy-AM" w:eastAsia="ru-RU"/>
              </w:rPr>
            </w:pPr>
          </w:p>
        </w:tc>
        <w:tc>
          <w:tcPr>
            <w:tcW w:w="4819" w:type="dxa"/>
          </w:tcPr>
          <w:p w:rsidR="00A658BB" w:rsidRPr="00A658BB" w:rsidRDefault="00A658BB" w:rsidP="00A658BB">
            <w:pPr>
              <w:tabs>
                <w:tab w:val="left" w:pos="709"/>
                <w:tab w:val="left" w:pos="851"/>
                <w:tab w:val="left" w:pos="993"/>
              </w:tabs>
              <w:spacing w:line="276" w:lineRule="auto"/>
              <w:ind w:right="49" w:firstLine="540"/>
              <w:contextualSpacing/>
              <w:jc w:val="both"/>
              <w:rPr>
                <w:rFonts w:ascii="GHEA Grapalat" w:eastAsia="Times New Roman" w:hAnsi="GHEA Grapalat" w:cs="Times New Roman"/>
                <w:sz w:val="24"/>
                <w:szCs w:val="24"/>
                <w:lang w:val="hy-AM" w:eastAsia="ru-RU"/>
              </w:rPr>
            </w:pPr>
            <w:r w:rsidRPr="00A658BB">
              <w:rPr>
                <w:rFonts w:ascii="GHEA Grapalat" w:eastAsia="Times New Roman" w:hAnsi="GHEA Grapalat" w:cs="Times New Roman"/>
                <w:sz w:val="24"/>
                <w:szCs w:val="24"/>
                <w:lang w:val="hy-AM" w:eastAsia="ru-RU"/>
              </w:rPr>
              <w:lastRenderedPageBreak/>
              <w:t>Հրապարակայնությունը ունի 3 բաղադրիչներ՝</w:t>
            </w:r>
          </w:p>
          <w:p w:rsidR="00A658BB" w:rsidRPr="00A658BB" w:rsidRDefault="00A658BB" w:rsidP="00A658BB">
            <w:pPr>
              <w:tabs>
                <w:tab w:val="left" w:pos="709"/>
                <w:tab w:val="left" w:pos="851"/>
                <w:tab w:val="left" w:pos="993"/>
              </w:tabs>
              <w:spacing w:line="276" w:lineRule="auto"/>
              <w:ind w:right="49" w:firstLine="540"/>
              <w:contextualSpacing/>
              <w:jc w:val="both"/>
              <w:rPr>
                <w:rFonts w:ascii="GHEA Grapalat" w:eastAsia="Times New Roman" w:hAnsi="GHEA Grapalat" w:cs="Times New Roman"/>
                <w:sz w:val="24"/>
                <w:szCs w:val="24"/>
                <w:lang w:val="hy-AM" w:eastAsia="ru-RU"/>
              </w:rPr>
            </w:pPr>
            <w:r w:rsidRPr="00A658BB">
              <w:rPr>
                <w:rFonts w:ascii="GHEA Grapalat" w:eastAsia="Times New Roman" w:hAnsi="GHEA Grapalat" w:cs="Times New Roman"/>
                <w:sz w:val="24"/>
                <w:szCs w:val="24"/>
                <w:lang w:val="hy-AM" w:eastAsia="ru-RU"/>
              </w:rPr>
              <w:t xml:space="preserve">-բոլոր լսումները դռնբաց են, բացառությամբ օրենքով նախատեսված դեպքերի, </w:t>
            </w:r>
          </w:p>
          <w:p w:rsidR="00A658BB" w:rsidRPr="00A658BB" w:rsidRDefault="00A658BB" w:rsidP="00A658BB">
            <w:pPr>
              <w:tabs>
                <w:tab w:val="left" w:pos="709"/>
                <w:tab w:val="left" w:pos="851"/>
                <w:tab w:val="left" w:pos="993"/>
              </w:tabs>
              <w:spacing w:line="276" w:lineRule="auto"/>
              <w:ind w:right="49" w:firstLine="540"/>
              <w:contextualSpacing/>
              <w:jc w:val="both"/>
              <w:rPr>
                <w:rFonts w:ascii="GHEA Grapalat" w:eastAsia="Times New Roman" w:hAnsi="GHEA Grapalat" w:cs="Times New Roman"/>
                <w:sz w:val="24"/>
                <w:szCs w:val="24"/>
                <w:lang w:val="hy-AM" w:eastAsia="ru-RU"/>
              </w:rPr>
            </w:pPr>
            <w:r w:rsidRPr="00A658BB">
              <w:rPr>
                <w:rFonts w:ascii="GHEA Grapalat" w:eastAsia="Times New Roman" w:hAnsi="GHEA Grapalat" w:cs="Times New Roman"/>
                <w:sz w:val="24"/>
                <w:szCs w:val="24"/>
                <w:lang w:val="hy-AM" w:eastAsia="ru-RU"/>
              </w:rPr>
              <w:t>-հավատարմագրված ԶԼՄ-ները կարող են ներկա գտնվել և լուսաբանել,</w:t>
            </w:r>
          </w:p>
          <w:p w:rsidR="00A658BB" w:rsidRPr="00A658BB" w:rsidRDefault="00A658BB" w:rsidP="00A658BB">
            <w:pPr>
              <w:tabs>
                <w:tab w:val="left" w:pos="709"/>
                <w:tab w:val="left" w:pos="851"/>
                <w:tab w:val="left" w:pos="993"/>
              </w:tabs>
              <w:spacing w:line="276" w:lineRule="auto"/>
              <w:ind w:right="49" w:firstLine="540"/>
              <w:contextualSpacing/>
              <w:jc w:val="both"/>
              <w:rPr>
                <w:rFonts w:ascii="GHEA Grapalat" w:eastAsia="Times New Roman" w:hAnsi="GHEA Grapalat" w:cs="Times New Roman"/>
                <w:sz w:val="24"/>
                <w:szCs w:val="24"/>
                <w:lang w:val="hy-AM" w:eastAsia="ru-RU"/>
              </w:rPr>
            </w:pPr>
            <w:r w:rsidRPr="00A658BB">
              <w:rPr>
                <w:rFonts w:ascii="GHEA Grapalat" w:eastAsia="Times New Roman" w:hAnsi="GHEA Grapalat" w:cs="Times New Roman"/>
                <w:sz w:val="24"/>
                <w:szCs w:val="24"/>
                <w:lang w:val="hy-AM" w:eastAsia="ru-RU"/>
              </w:rPr>
              <w:t>- վերջնական բարեվարքության որոշումները հրապարակային են, բացառությամբ խիստ անձնական նույնականացնող տվյալների:</w:t>
            </w:r>
          </w:p>
          <w:p w:rsidR="00A658BB" w:rsidRPr="00A658BB" w:rsidRDefault="00A658BB" w:rsidP="00A658BB">
            <w:pPr>
              <w:tabs>
                <w:tab w:val="left" w:pos="709"/>
                <w:tab w:val="left" w:pos="851"/>
                <w:tab w:val="left" w:pos="993"/>
              </w:tabs>
              <w:spacing w:line="276" w:lineRule="auto"/>
              <w:ind w:right="49" w:firstLine="540"/>
              <w:contextualSpacing/>
              <w:jc w:val="both"/>
              <w:rPr>
                <w:rFonts w:ascii="GHEA Grapalat" w:eastAsia="Times New Roman" w:hAnsi="GHEA Grapalat" w:cs="Times New Roman"/>
                <w:sz w:val="24"/>
                <w:szCs w:val="24"/>
                <w:lang w:val="hy-AM" w:eastAsia="ru-RU"/>
              </w:rPr>
            </w:pPr>
          </w:p>
          <w:p w:rsidR="00A658BB" w:rsidRPr="00A658BB" w:rsidRDefault="00A658BB" w:rsidP="00A658BB">
            <w:pPr>
              <w:tabs>
                <w:tab w:val="left" w:pos="709"/>
                <w:tab w:val="left" w:pos="851"/>
                <w:tab w:val="left" w:pos="993"/>
                <w:tab w:val="left" w:pos="2700"/>
              </w:tabs>
              <w:spacing w:line="276" w:lineRule="auto"/>
              <w:ind w:right="49" w:firstLine="540"/>
              <w:jc w:val="both"/>
              <w:rPr>
                <w:rFonts w:ascii="GHEA Grapalat" w:eastAsia="Times New Roman" w:hAnsi="GHEA Grapalat" w:cs="Times New Roman"/>
                <w:sz w:val="24"/>
                <w:szCs w:val="24"/>
                <w:lang w:val="hy-AM" w:eastAsia="ru-RU"/>
              </w:rPr>
            </w:pPr>
            <w:r w:rsidRPr="00A658BB">
              <w:rPr>
                <w:rFonts w:ascii="GHEA Grapalat" w:eastAsia="Times New Roman" w:hAnsi="GHEA Grapalat" w:cs="Times New Roman"/>
                <w:sz w:val="24"/>
                <w:szCs w:val="24"/>
                <w:lang w:val="hy-AM" w:eastAsia="ru-RU"/>
              </w:rPr>
              <w:t xml:space="preserve">Այլ կարգ սահմանված չլինելու դեպքում վերագնահատման ընթացակարգը պետք է համապատասխանի վարչական վարույթի պահանջներին կամ «Վարչական դատարանների կառուցվածքի, գործունեության և վարչական վեճերի լուծման մասին» Ալբանիայի օրենքին։ Օրենքի 55-րդ հոդվածի համաձայն՝ վեթինգի մարմինը հրավիրում է վեթինգ անցնող </w:t>
            </w:r>
            <w:r w:rsidRPr="00A658BB">
              <w:rPr>
                <w:rFonts w:ascii="GHEA Grapalat" w:eastAsia="Times New Roman" w:hAnsi="GHEA Grapalat" w:cs="Times New Roman"/>
                <w:sz w:val="24"/>
                <w:szCs w:val="24"/>
                <w:lang w:val="hy-AM" w:eastAsia="ru-RU"/>
              </w:rPr>
              <w:lastRenderedPageBreak/>
              <w:t xml:space="preserve">դատավորին/դատախազին դռնբաց լսումների վարչական դատավարության սկզբունքներին համապատասխան։ </w:t>
            </w:r>
          </w:p>
          <w:p w:rsidR="00A658BB" w:rsidRPr="00A658BB" w:rsidRDefault="00A658BB" w:rsidP="00A658BB">
            <w:pPr>
              <w:tabs>
                <w:tab w:val="left" w:pos="709"/>
                <w:tab w:val="left" w:pos="851"/>
                <w:tab w:val="left" w:pos="993"/>
              </w:tabs>
              <w:spacing w:line="276" w:lineRule="auto"/>
              <w:ind w:right="49" w:firstLine="540"/>
              <w:contextualSpacing/>
              <w:jc w:val="both"/>
              <w:rPr>
                <w:rFonts w:ascii="GHEA Grapalat" w:eastAsia="Times New Roman" w:hAnsi="GHEA Grapalat" w:cs="Times New Roman"/>
                <w:sz w:val="24"/>
                <w:szCs w:val="24"/>
                <w:lang w:val="hy-AM" w:eastAsia="ru-RU"/>
              </w:rPr>
            </w:pPr>
          </w:p>
        </w:tc>
      </w:tr>
      <w:tr w:rsidR="00A658BB" w:rsidRPr="00A658BB" w:rsidTr="00632126">
        <w:tc>
          <w:tcPr>
            <w:tcW w:w="1985" w:type="dxa"/>
          </w:tcPr>
          <w:p w:rsidR="00A658BB" w:rsidRPr="00A658BB" w:rsidRDefault="00A658BB" w:rsidP="00A658BB">
            <w:pPr>
              <w:tabs>
                <w:tab w:val="left" w:pos="709"/>
                <w:tab w:val="left" w:pos="851"/>
                <w:tab w:val="left" w:pos="993"/>
              </w:tabs>
              <w:spacing w:line="276" w:lineRule="auto"/>
              <w:ind w:right="49" w:firstLine="540"/>
              <w:rPr>
                <w:rFonts w:ascii="GHEA Grapalat" w:eastAsia="Times New Roman" w:hAnsi="GHEA Grapalat" w:cs="Times New Roman"/>
                <w:sz w:val="24"/>
                <w:szCs w:val="24"/>
                <w:lang w:val="af-ZA" w:eastAsia="ru-RU"/>
              </w:rPr>
            </w:pPr>
            <w:r w:rsidRPr="00A658BB">
              <w:rPr>
                <w:rFonts w:ascii="GHEA Grapalat" w:eastAsia="Times New Roman" w:hAnsi="GHEA Grapalat" w:cs="Times New Roman"/>
                <w:sz w:val="24"/>
                <w:szCs w:val="24"/>
                <w:lang w:val="af-ZA" w:eastAsia="ru-RU"/>
              </w:rPr>
              <w:lastRenderedPageBreak/>
              <w:t>Պատճառա-բանվածություն</w:t>
            </w:r>
          </w:p>
        </w:tc>
        <w:tc>
          <w:tcPr>
            <w:tcW w:w="3969" w:type="dxa"/>
          </w:tcPr>
          <w:p w:rsidR="00A658BB" w:rsidRPr="00A658BB" w:rsidRDefault="00A658BB" w:rsidP="00A658BB">
            <w:pPr>
              <w:tabs>
                <w:tab w:val="left" w:pos="709"/>
                <w:tab w:val="left" w:pos="851"/>
                <w:tab w:val="left" w:pos="993"/>
              </w:tabs>
              <w:spacing w:line="276" w:lineRule="auto"/>
              <w:ind w:right="49" w:firstLine="540"/>
              <w:jc w:val="both"/>
              <w:rPr>
                <w:rFonts w:ascii="GHEA Grapalat" w:eastAsia="Times New Roman" w:hAnsi="GHEA Grapalat" w:cs="Times New Roman"/>
                <w:sz w:val="24"/>
                <w:szCs w:val="24"/>
                <w:lang w:val="af-ZA" w:eastAsia="ru-RU"/>
              </w:rPr>
            </w:pPr>
            <w:r w:rsidRPr="00A658BB">
              <w:rPr>
                <w:rFonts w:ascii="GHEA Grapalat" w:eastAsia="Times New Roman" w:hAnsi="GHEA Grapalat" w:cs="Times New Roman"/>
                <w:sz w:val="24"/>
                <w:szCs w:val="24"/>
                <w:lang w:val="af-ZA" w:eastAsia="ru-RU"/>
              </w:rPr>
              <w:t>Ուսումնասիրության արդյունքների հիման վրա Բարձրագույն դատական խորհուրդը կայացնում է պատճառաբանված որոշում տվյալ թեկնածուի նշանակումը ընդունելու կամ մերժելու վերաբերյալ։</w:t>
            </w:r>
          </w:p>
          <w:p w:rsidR="00A658BB" w:rsidRPr="00A658BB" w:rsidRDefault="00A658BB" w:rsidP="00A658BB">
            <w:pPr>
              <w:tabs>
                <w:tab w:val="left" w:pos="709"/>
                <w:tab w:val="left" w:pos="851"/>
                <w:tab w:val="left" w:pos="993"/>
              </w:tabs>
              <w:spacing w:line="276" w:lineRule="auto"/>
              <w:ind w:right="49" w:firstLine="540"/>
              <w:jc w:val="both"/>
              <w:rPr>
                <w:rFonts w:ascii="GHEA Grapalat" w:eastAsia="Times New Roman" w:hAnsi="GHEA Grapalat" w:cs="Times New Roman"/>
                <w:sz w:val="24"/>
                <w:szCs w:val="24"/>
                <w:lang w:val="af-ZA" w:eastAsia="ru-RU"/>
              </w:rPr>
            </w:pPr>
            <w:r w:rsidRPr="00A658BB">
              <w:rPr>
                <w:rFonts w:ascii="GHEA Grapalat" w:eastAsia="Times New Roman" w:hAnsi="GHEA Grapalat" w:cs="Times New Roman"/>
                <w:sz w:val="24"/>
                <w:szCs w:val="24"/>
                <w:lang w:val="af-ZA" w:eastAsia="ru-RU"/>
              </w:rPr>
              <w:t xml:space="preserve"> </w:t>
            </w:r>
          </w:p>
        </w:tc>
        <w:tc>
          <w:tcPr>
            <w:tcW w:w="4819" w:type="dxa"/>
          </w:tcPr>
          <w:p w:rsidR="00A658BB" w:rsidRPr="00A658BB" w:rsidRDefault="00A658BB" w:rsidP="00A658BB">
            <w:pPr>
              <w:tabs>
                <w:tab w:val="left" w:pos="709"/>
                <w:tab w:val="left" w:pos="851"/>
                <w:tab w:val="left" w:pos="993"/>
                <w:tab w:val="left" w:pos="2700"/>
              </w:tabs>
              <w:spacing w:line="276" w:lineRule="auto"/>
              <w:ind w:right="49" w:firstLine="540"/>
              <w:jc w:val="both"/>
              <w:rPr>
                <w:rFonts w:ascii="GHEA Grapalat" w:eastAsia="Times New Roman" w:hAnsi="GHEA Grapalat" w:cs="Times New Roman"/>
                <w:sz w:val="24"/>
                <w:szCs w:val="24"/>
                <w:lang w:val="hy-AM" w:eastAsia="ru-RU"/>
              </w:rPr>
            </w:pPr>
            <w:r w:rsidRPr="00A658BB">
              <w:rPr>
                <w:rFonts w:ascii="GHEA Grapalat" w:eastAsia="Times New Roman" w:hAnsi="GHEA Grapalat" w:cs="Times New Roman"/>
                <w:sz w:val="24"/>
                <w:szCs w:val="24"/>
                <w:lang w:val="hy-AM" w:eastAsia="ru-RU"/>
              </w:rPr>
              <w:t>Դատավորների կամ դատախազների գործերի լսումներից հետո Գնահատման հանձնաժողովի անդամները որոշում են կայացնում դռնփակ բաց քվեարկությամբ և միջազգային դիտորդների ներկայությամբ։ Հատուկ կարծիքները, եթե կան այդպիսիք, պետք է ներկայացվեն գրավոր կարգով։ Որոշումը պետք է հրապարակվի լսումների վերջում, իսկ 30 օր հետո վեթինգ անցնողը պետք է ծանուցվի որոշման մասին։ Վեթինգի մարմնի որոշումները պատճառաբանված են և հրապարակային։</w:t>
            </w:r>
          </w:p>
          <w:p w:rsidR="00A658BB" w:rsidRPr="00A658BB" w:rsidRDefault="00A658BB" w:rsidP="00A658BB">
            <w:pPr>
              <w:tabs>
                <w:tab w:val="left" w:pos="709"/>
                <w:tab w:val="left" w:pos="851"/>
                <w:tab w:val="left" w:pos="993"/>
                <w:tab w:val="left" w:pos="1192"/>
              </w:tabs>
              <w:spacing w:line="276" w:lineRule="auto"/>
              <w:ind w:right="49" w:firstLine="540"/>
              <w:contextualSpacing/>
              <w:rPr>
                <w:rFonts w:ascii="GHEA Grapalat" w:eastAsia="Times New Roman" w:hAnsi="GHEA Grapalat" w:cs="Times New Roman"/>
                <w:sz w:val="24"/>
                <w:szCs w:val="24"/>
                <w:lang w:val="hy-AM" w:eastAsia="ru-RU"/>
              </w:rPr>
            </w:pPr>
          </w:p>
        </w:tc>
      </w:tr>
      <w:tr w:rsidR="00A658BB" w:rsidRPr="00A658BB" w:rsidTr="00632126">
        <w:tc>
          <w:tcPr>
            <w:tcW w:w="1985" w:type="dxa"/>
          </w:tcPr>
          <w:p w:rsidR="00A658BB" w:rsidRPr="00A658BB" w:rsidRDefault="00A658BB" w:rsidP="00A658BB">
            <w:pPr>
              <w:tabs>
                <w:tab w:val="left" w:pos="709"/>
                <w:tab w:val="left" w:pos="851"/>
                <w:tab w:val="left" w:pos="993"/>
              </w:tabs>
              <w:spacing w:line="276" w:lineRule="auto"/>
              <w:ind w:right="49" w:firstLine="540"/>
              <w:rPr>
                <w:rFonts w:ascii="GHEA Grapalat" w:eastAsia="Times New Roman" w:hAnsi="GHEA Grapalat" w:cs="Times New Roman"/>
                <w:sz w:val="24"/>
                <w:szCs w:val="24"/>
                <w:lang w:val="af-ZA" w:eastAsia="ru-RU"/>
              </w:rPr>
            </w:pPr>
            <w:r w:rsidRPr="00A658BB">
              <w:rPr>
                <w:rFonts w:ascii="GHEA Grapalat" w:eastAsia="Times New Roman" w:hAnsi="GHEA Grapalat" w:cs="Times New Roman"/>
                <w:sz w:val="24"/>
                <w:szCs w:val="24"/>
                <w:lang w:val="af-ZA" w:eastAsia="ru-RU"/>
              </w:rPr>
              <w:t>Բողոքարկում</w:t>
            </w:r>
          </w:p>
        </w:tc>
        <w:tc>
          <w:tcPr>
            <w:tcW w:w="3969" w:type="dxa"/>
          </w:tcPr>
          <w:p w:rsidR="00A658BB" w:rsidRPr="00A658BB" w:rsidRDefault="00A658BB" w:rsidP="00A658BB">
            <w:pPr>
              <w:tabs>
                <w:tab w:val="left" w:pos="709"/>
                <w:tab w:val="left" w:pos="851"/>
                <w:tab w:val="left" w:pos="993"/>
              </w:tabs>
              <w:spacing w:line="276" w:lineRule="auto"/>
              <w:ind w:right="49" w:firstLine="540"/>
              <w:rPr>
                <w:rFonts w:ascii="GHEA Grapalat" w:eastAsia="Times New Roman" w:hAnsi="GHEA Grapalat" w:cs="Times New Roman"/>
                <w:sz w:val="24"/>
                <w:szCs w:val="24"/>
                <w:lang w:val="af-ZA" w:eastAsia="ru-RU"/>
              </w:rPr>
            </w:pPr>
            <w:r w:rsidRPr="00A658BB">
              <w:rPr>
                <w:rFonts w:ascii="GHEA Grapalat" w:eastAsia="Times New Roman" w:hAnsi="GHEA Grapalat" w:cs="Times New Roman"/>
                <w:sz w:val="24"/>
                <w:szCs w:val="24"/>
                <w:lang w:val="af-ZA" w:eastAsia="ru-RU"/>
              </w:rPr>
              <w:t>ԲԴԽ-ի ընդունած անհատական վարչական ակտը ենթակա է բողոքարկման վարչական դատարանում այն ստանալուց 15 օրվա ընթացքում։</w:t>
            </w:r>
          </w:p>
        </w:tc>
        <w:tc>
          <w:tcPr>
            <w:tcW w:w="4819" w:type="dxa"/>
          </w:tcPr>
          <w:p w:rsidR="00A658BB" w:rsidRPr="00A658BB" w:rsidRDefault="00A658BB" w:rsidP="00A658BB">
            <w:pPr>
              <w:tabs>
                <w:tab w:val="left" w:pos="709"/>
                <w:tab w:val="left" w:pos="851"/>
                <w:tab w:val="left" w:pos="993"/>
                <w:tab w:val="left" w:pos="1448"/>
              </w:tabs>
              <w:spacing w:line="276" w:lineRule="auto"/>
              <w:ind w:right="49" w:firstLine="540"/>
              <w:contextualSpacing/>
              <w:jc w:val="both"/>
              <w:rPr>
                <w:rFonts w:ascii="GHEA Grapalat" w:eastAsia="Times New Roman" w:hAnsi="GHEA Grapalat" w:cs="Times New Roman"/>
                <w:sz w:val="24"/>
                <w:szCs w:val="24"/>
                <w:lang w:val="hy-AM" w:eastAsia="ru-RU"/>
              </w:rPr>
            </w:pPr>
            <w:r w:rsidRPr="00A658BB">
              <w:rPr>
                <w:rFonts w:ascii="GHEA Grapalat" w:eastAsia="Times New Roman" w:hAnsi="GHEA Grapalat" w:cs="Times New Roman"/>
                <w:sz w:val="24"/>
                <w:szCs w:val="24"/>
                <w:lang w:val="hy-AM" w:eastAsia="ru-RU"/>
              </w:rPr>
              <w:t>Սահմանադրության անցումային դրույթներով սահմանվել է նաև Վեթինգի մարմնի վերաքննիչ պալատը, որը քննում է ստորին պալատի՝ Հանձնաժողովի կայացրած վեթինգի որոշումները և կայացնում է պատճառաբանված գրավոր որոշումներ։  Բոլոր տարիների կայացված որոշումները հասանելի են իրենց կայքէջում։</w:t>
            </w:r>
          </w:p>
        </w:tc>
      </w:tr>
    </w:tbl>
    <w:p w:rsidR="00A658BB" w:rsidRPr="00A658BB" w:rsidRDefault="00A658BB" w:rsidP="00A658BB">
      <w:pPr>
        <w:pBdr>
          <w:top w:val="nil"/>
          <w:left w:val="nil"/>
          <w:bottom w:val="nil"/>
          <w:right w:val="nil"/>
          <w:between w:val="nil"/>
        </w:pBdr>
        <w:tabs>
          <w:tab w:val="left" w:pos="709"/>
          <w:tab w:val="left" w:pos="851"/>
          <w:tab w:val="left" w:pos="993"/>
        </w:tabs>
        <w:spacing w:after="0" w:line="360" w:lineRule="auto"/>
        <w:ind w:right="49" w:firstLine="540"/>
        <w:jc w:val="both"/>
        <w:rPr>
          <w:rFonts w:ascii="GHEA Grapalat" w:eastAsia="Times New Roman" w:hAnsi="GHEA Grapalat" w:cs="Calibri"/>
          <w:bCs/>
          <w:color w:val="000000"/>
          <w:sz w:val="24"/>
          <w:szCs w:val="24"/>
          <w:lang w:val="hy-AM" w:eastAsia="ru-RU"/>
        </w:rPr>
      </w:pPr>
    </w:p>
    <w:p w:rsidR="00A658BB" w:rsidRPr="00A658BB" w:rsidRDefault="00A658BB" w:rsidP="00A658BB">
      <w:pPr>
        <w:pBdr>
          <w:top w:val="nil"/>
          <w:left w:val="nil"/>
          <w:bottom w:val="nil"/>
          <w:right w:val="nil"/>
          <w:between w:val="nil"/>
        </w:pBdr>
        <w:tabs>
          <w:tab w:val="left" w:pos="709"/>
          <w:tab w:val="left" w:pos="851"/>
          <w:tab w:val="left" w:pos="993"/>
        </w:tabs>
        <w:spacing w:after="0" w:line="360" w:lineRule="auto"/>
        <w:ind w:right="49" w:firstLine="540"/>
        <w:jc w:val="both"/>
        <w:rPr>
          <w:rFonts w:ascii="GHEA Grapalat" w:eastAsia="Times New Roman" w:hAnsi="GHEA Grapalat" w:cs="Calibri"/>
          <w:bCs/>
          <w:color w:val="000000"/>
          <w:sz w:val="24"/>
          <w:szCs w:val="24"/>
          <w:lang w:val="hy-AM" w:eastAsia="ru-RU"/>
        </w:rPr>
      </w:pPr>
      <w:r w:rsidRPr="00A658BB">
        <w:rPr>
          <w:rFonts w:ascii="GHEA Grapalat" w:eastAsia="Times New Roman" w:hAnsi="GHEA Grapalat" w:cs="Calibri"/>
          <w:bCs/>
          <w:color w:val="000000"/>
          <w:sz w:val="24"/>
          <w:szCs w:val="24"/>
          <w:lang w:val="hy-AM" w:eastAsia="ru-RU"/>
        </w:rPr>
        <w:lastRenderedPageBreak/>
        <w:t>Վերոնշյալ երեք երկրների փորձի համակողմանի ուսումնասիրությունը բացահայտում է, որ բարեվարքության ուսումնասիրությունների հրապարակայնության, դրանց ազդեցության մակարդակի և պաշտոններում նշանակումների վերաբերյալ որոշումների պատճառաբանվածության հարցում առկա տարբերությունները պայմանավորված են կիրառվող ընթացակարգերի առանձնահատկություններով։ Այսպես, համակարգ նոր ներգրավվող պաշտոնյաների համար սահմանվում են համեմատաբար մեղմ պահանջներ, մինչդեռ գործող պաշտոնյաների համար չափանիշներն ավելի խստացված են։ Սակայն այս երեք երկրներում ընդհանուր գիծը վեթինգի դասական մեխանիզմների կիրառությունն է։ Հայաստանում, հակակոռուպցիոն ռազմավարության նպատակներից ելնելով՝ այն է՝ բարեվարքության ստուգման համակարգի ամրապնդումը և Կոռուպցիայի կանխարգելման հանձնաժողովի ու նշանակող մարմինների հաշվետվողականության բարձրացումը, անհրաժեշտ է ոչ թե ընտրել երկու ծայրահեղ մոդելներից մեկը, այլ մշակել խելամիտ համադրություն, որը կհամապատասխանի մեր իրավական համակարգի առանձնահատկություններին և բարեփոխումների տեսլականին։ Այդ նպատակով նախագծով առաջարկվում է երկու զուգահեռ մոդելների համակցված մոտեցում՝ միաժամանակ հաշվի առնելով միջազգային ստանդարտները և անձի կոնվենցիոն ու սահմանադրական իրավունքների հարգման անհրաժեշտությունը։</w:t>
      </w:r>
    </w:p>
    <w:p w:rsidR="00A658BB" w:rsidRPr="00A658BB" w:rsidRDefault="00A658BB" w:rsidP="00A658BB">
      <w:pPr>
        <w:pBdr>
          <w:top w:val="nil"/>
          <w:left w:val="nil"/>
          <w:bottom w:val="nil"/>
          <w:right w:val="nil"/>
          <w:between w:val="nil"/>
        </w:pBdr>
        <w:tabs>
          <w:tab w:val="left" w:pos="709"/>
          <w:tab w:val="left" w:pos="851"/>
          <w:tab w:val="left" w:pos="993"/>
        </w:tabs>
        <w:spacing w:after="0" w:line="360" w:lineRule="auto"/>
        <w:ind w:right="49" w:firstLine="540"/>
        <w:jc w:val="both"/>
        <w:rPr>
          <w:rFonts w:ascii="GHEA Grapalat" w:eastAsia="Times New Roman" w:hAnsi="GHEA Grapalat" w:cs="Calibri"/>
          <w:bCs/>
          <w:color w:val="000000"/>
          <w:sz w:val="24"/>
          <w:szCs w:val="24"/>
          <w:lang w:val="hy-AM" w:eastAsia="ru-RU"/>
        </w:rPr>
      </w:pPr>
    </w:p>
    <w:p w:rsidR="00A658BB" w:rsidRPr="00A658BB" w:rsidRDefault="00A658BB" w:rsidP="00A658BB">
      <w:pPr>
        <w:numPr>
          <w:ilvl w:val="0"/>
          <w:numId w:val="1"/>
        </w:numPr>
        <w:pBdr>
          <w:top w:val="nil"/>
          <w:left w:val="nil"/>
          <w:bottom w:val="nil"/>
          <w:right w:val="nil"/>
          <w:between w:val="nil"/>
        </w:pBdr>
        <w:tabs>
          <w:tab w:val="left" w:pos="709"/>
          <w:tab w:val="left" w:pos="851"/>
          <w:tab w:val="left" w:pos="993"/>
        </w:tabs>
        <w:spacing w:after="0" w:line="360" w:lineRule="auto"/>
        <w:ind w:left="0" w:right="49" w:firstLine="540"/>
        <w:jc w:val="both"/>
        <w:rPr>
          <w:rFonts w:ascii="GHEA Grapalat" w:eastAsia="Times New Roman" w:hAnsi="GHEA Grapalat" w:cs="Calibri"/>
          <w:b/>
          <w:color w:val="000000"/>
          <w:sz w:val="24"/>
          <w:szCs w:val="24"/>
          <w:lang w:val="hy-AM" w:eastAsia="ru-RU"/>
        </w:rPr>
      </w:pPr>
      <w:r w:rsidRPr="00A658BB">
        <w:rPr>
          <w:rFonts w:ascii="GHEA Grapalat" w:eastAsia="Times New Roman" w:hAnsi="GHEA Grapalat" w:cs="Calibri"/>
          <w:b/>
          <w:color w:val="000000"/>
          <w:sz w:val="24"/>
          <w:szCs w:val="24"/>
          <w:lang w:val="hy-AM" w:eastAsia="ru-RU"/>
        </w:rPr>
        <w:t>Առաջարկվող կարգավորման բնույթը</w:t>
      </w:r>
    </w:p>
    <w:p w:rsidR="00A658BB" w:rsidRPr="00A658BB" w:rsidRDefault="00A658BB" w:rsidP="00A658BB">
      <w:pPr>
        <w:tabs>
          <w:tab w:val="left" w:pos="709"/>
          <w:tab w:val="left" w:pos="851"/>
          <w:tab w:val="left" w:pos="993"/>
        </w:tabs>
        <w:spacing w:after="0" w:line="360" w:lineRule="auto"/>
        <w:ind w:right="49" w:firstLine="540"/>
        <w:jc w:val="both"/>
        <w:rPr>
          <w:rFonts w:ascii="GHEA Grapalat" w:eastAsia="Times New Roman" w:hAnsi="GHEA Grapalat" w:cs="Calibri"/>
          <w:color w:val="000000"/>
          <w:sz w:val="24"/>
          <w:szCs w:val="24"/>
          <w:lang w:val="hy-AM" w:eastAsia="ru-RU"/>
        </w:rPr>
      </w:pPr>
      <w:r w:rsidRPr="00A658BB">
        <w:rPr>
          <w:rFonts w:ascii="GHEA Grapalat" w:eastAsia="Times New Roman" w:hAnsi="GHEA Grapalat" w:cs="Calibri"/>
          <w:color w:val="000000"/>
          <w:sz w:val="24"/>
          <w:szCs w:val="24"/>
          <w:lang w:val="hy-AM" w:eastAsia="ru-RU"/>
        </w:rPr>
        <w:t>Վերոնշյալի հաշվառմամբ՝ նախագծերի փաթեթով առաջարկվում է դատավորների, դատախազների և քննիչների թեկնածուների ընտրության, նշանակման և առաջխաղացման գործընթացներում նախատեսել այնպիսի կարգավորումներ, որոնցով հնարավոր կլինի՝</w:t>
      </w:r>
    </w:p>
    <w:p w:rsidR="00A658BB" w:rsidRPr="00A658BB" w:rsidRDefault="00A658BB" w:rsidP="00A658BB">
      <w:pPr>
        <w:numPr>
          <w:ilvl w:val="0"/>
          <w:numId w:val="3"/>
        </w:numPr>
        <w:tabs>
          <w:tab w:val="left" w:pos="709"/>
          <w:tab w:val="left" w:pos="851"/>
          <w:tab w:val="left" w:pos="993"/>
        </w:tabs>
        <w:spacing w:after="0" w:line="360" w:lineRule="auto"/>
        <w:ind w:left="0" w:right="49" w:firstLine="540"/>
        <w:contextualSpacing/>
        <w:jc w:val="both"/>
        <w:rPr>
          <w:rFonts w:ascii="GHEA Grapalat" w:eastAsia="Times New Roman" w:hAnsi="GHEA Grapalat" w:cs="Calibri"/>
          <w:color w:val="000000"/>
          <w:sz w:val="24"/>
          <w:szCs w:val="24"/>
          <w:lang w:val="hy-AM" w:eastAsia="ru-RU"/>
        </w:rPr>
      </w:pPr>
      <w:r w:rsidRPr="00A658BB">
        <w:rPr>
          <w:rFonts w:ascii="GHEA Grapalat" w:eastAsia="Times New Roman" w:hAnsi="GHEA Grapalat" w:cs="Calibri"/>
          <w:color w:val="000000"/>
          <w:sz w:val="24"/>
          <w:szCs w:val="24"/>
          <w:lang w:val="hy-AM" w:eastAsia="ru-RU"/>
        </w:rPr>
        <w:t xml:space="preserve">Կոռուպցիայի կանխարգելման հանձնաժողովի տրամադրած բարեվարքության վերաբերյալ եզրակացության (թե՛ դրական, թե՛ բացասական եզրակացության) միայն եզրափակիչ մասը դարձնել հրապարակային՝ թեկնածուին պաշտոնի նշանակելուց, այդ թվում՝ </w:t>
      </w:r>
      <w:r w:rsidRPr="00A658BB">
        <w:rPr>
          <w:rFonts w:ascii="GHEA Grapalat" w:eastAsia="Times New Roman" w:hAnsi="GHEA Grapalat" w:cs="Calibri"/>
          <w:color w:val="000000"/>
          <w:sz w:val="24"/>
          <w:szCs w:val="24"/>
          <w:lang w:val="hy-AM" w:eastAsia="ru-RU"/>
        </w:rPr>
        <w:lastRenderedPageBreak/>
        <w:t>առաջխաղացման կարգով նշանակելուց հետո, իսկ չնշանակված թեկնածուներինը չհրապարակել՝ հաշվի առնելով դրա հնարավոր ազդեցությունը թեկնածուի անձնական կյանքի, աշխատանքային կարիերայի և հեղինակության վրա.</w:t>
      </w:r>
    </w:p>
    <w:p w:rsidR="00A658BB" w:rsidRPr="00A658BB" w:rsidRDefault="00A658BB" w:rsidP="00A658BB">
      <w:pPr>
        <w:numPr>
          <w:ilvl w:val="0"/>
          <w:numId w:val="3"/>
        </w:numPr>
        <w:tabs>
          <w:tab w:val="left" w:pos="709"/>
          <w:tab w:val="left" w:pos="851"/>
          <w:tab w:val="left" w:pos="993"/>
        </w:tabs>
        <w:spacing w:after="0" w:line="360" w:lineRule="auto"/>
        <w:ind w:left="0" w:right="49" w:firstLine="540"/>
        <w:contextualSpacing/>
        <w:jc w:val="both"/>
        <w:rPr>
          <w:rFonts w:ascii="GHEA Grapalat" w:eastAsia="Times New Roman" w:hAnsi="GHEA Grapalat" w:cs="Calibri"/>
          <w:color w:val="000000"/>
          <w:sz w:val="24"/>
          <w:szCs w:val="24"/>
          <w:lang w:val="hy-AM" w:eastAsia="ru-RU"/>
        </w:rPr>
      </w:pPr>
      <w:r w:rsidRPr="00A658BB">
        <w:rPr>
          <w:rFonts w:ascii="GHEA Grapalat" w:eastAsia="Times New Roman" w:hAnsi="GHEA Grapalat" w:cs="Calibri"/>
          <w:color w:val="000000"/>
          <w:sz w:val="24"/>
          <w:szCs w:val="24"/>
          <w:lang w:val="hy-AM" w:eastAsia="ru-RU"/>
        </w:rPr>
        <w:t>ուղղակիորեն սահմանել անձի իրավունքը՝ մասնակցելու իր բարեվարքության վերաբերյալ եզրակացության կազմման գործընթացին՝ գրավոր առարկություններ, պարզաբանումներ և այլ անհրաժեշտ նյութեր ու տեղեկություններ ներկայացնելու միջոցով՝ առանց ԿԿՀ-ի պահանջի.</w:t>
      </w:r>
    </w:p>
    <w:p w:rsidR="00A658BB" w:rsidRPr="00A658BB" w:rsidRDefault="00A658BB" w:rsidP="00A658BB">
      <w:pPr>
        <w:numPr>
          <w:ilvl w:val="0"/>
          <w:numId w:val="3"/>
        </w:numPr>
        <w:tabs>
          <w:tab w:val="left" w:pos="709"/>
          <w:tab w:val="left" w:pos="851"/>
          <w:tab w:val="left" w:pos="993"/>
        </w:tabs>
        <w:spacing w:after="0" w:line="360" w:lineRule="auto"/>
        <w:ind w:left="0" w:right="49" w:firstLine="540"/>
        <w:contextualSpacing/>
        <w:jc w:val="both"/>
        <w:rPr>
          <w:rFonts w:ascii="GHEA Grapalat" w:eastAsia="Times New Roman" w:hAnsi="GHEA Grapalat" w:cs="Calibri"/>
          <w:color w:val="000000"/>
          <w:sz w:val="24"/>
          <w:szCs w:val="24"/>
          <w:lang w:val="hy-AM" w:eastAsia="ru-RU"/>
        </w:rPr>
      </w:pPr>
      <w:r w:rsidRPr="00A658BB">
        <w:rPr>
          <w:rFonts w:ascii="GHEA Grapalat" w:eastAsia="Times New Roman" w:hAnsi="GHEA Grapalat" w:cs="Calibri"/>
          <w:color w:val="000000"/>
          <w:sz w:val="24"/>
          <w:szCs w:val="24"/>
          <w:lang w:val="hy-AM" w:eastAsia="ru-RU"/>
        </w:rPr>
        <w:t>սահմանել անձի իրավունքը՝ պահանջելու իր առարկությունները կամ դրանց մի մասը հրապարակել եզրակացության եզրափակիչ մասի հետ մեկտեղ.</w:t>
      </w:r>
    </w:p>
    <w:p w:rsidR="00A658BB" w:rsidRPr="00A658BB" w:rsidRDefault="00A658BB" w:rsidP="00A658BB">
      <w:pPr>
        <w:numPr>
          <w:ilvl w:val="0"/>
          <w:numId w:val="3"/>
        </w:numPr>
        <w:tabs>
          <w:tab w:val="left" w:pos="709"/>
          <w:tab w:val="left" w:pos="851"/>
          <w:tab w:val="left" w:pos="993"/>
        </w:tabs>
        <w:spacing w:after="0" w:line="360" w:lineRule="auto"/>
        <w:ind w:left="0" w:right="49" w:firstLine="540"/>
        <w:contextualSpacing/>
        <w:jc w:val="both"/>
        <w:rPr>
          <w:rFonts w:ascii="GHEA Grapalat" w:eastAsia="Times New Roman" w:hAnsi="GHEA Grapalat" w:cs="Calibri"/>
          <w:color w:val="000000"/>
          <w:sz w:val="24"/>
          <w:szCs w:val="24"/>
          <w:lang w:val="hy-AM" w:eastAsia="ru-RU"/>
        </w:rPr>
      </w:pPr>
      <w:r w:rsidRPr="00A658BB">
        <w:rPr>
          <w:rFonts w:ascii="GHEA Grapalat" w:eastAsia="Times New Roman" w:hAnsi="GHEA Grapalat" w:cs="Calibri"/>
          <w:color w:val="000000"/>
          <w:sz w:val="24"/>
          <w:szCs w:val="24"/>
          <w:lang w:val="hy-AM" w:eastAsia="ru-RU"/>
        </w:rPr>
        <w:t>սահմանել եզրակացության բողոքարկման հնարավորությունը վարչական դատավարության հատուկ վարույթի կարգով՝ ընթացակարգային խախտումների հիմքով և սեղմ ժամկետներում.</w:t>
      </w:r>
    </w:p>
    <w:p w:rsidR="00A658BB" w:rsidRPr="00A658BB" w:rsidRDefault="00A658BB" w:rsidP="00A658BB">
      <w:pPr>
        <w:numPr>
          <w:ilvl w:val="0"/>
          <w:numId w:val="3"/>
        </w:numPr>
        <w:tabs>
          <w:tab w:val="left" w:pos="709"/>
          <w:tab w:val="left" w:pos="851"/>
          <w:tab w:val="left" w:pos="993"/>
        </w:tabs>
        <w:spacing w:after="0" w:line="360" w:lineRule="auto"/>
        <w:ind w:left="0" w:right="49" w:firstLine="540"/>
        <w:contextualSpacing/>
        <w:jc w:val="both"/>
        <w:rPr>
          <w:rFonts w:ascii="GHEA Grapalat" w:eastAsia="Times New Roman" w:hAnsi="GHEA Grapalat" w:cs="Calibri"/>
          <w:color w:val="000000"/>
          <w:sz w:val="24"/>
          <w:szCs w:val="24"/>
          <w:lang w:val="hy-AM" w:eastAsia="ru-RU"/>
        </w:rPr>
      </w:pPr>
      <w:r w:rsidRPr="00A658BB">
        <w:rPr>
          <w:rFonts w:ascii="GHEA Grapalat" w:eastAsia="Times New Roman" w:hAnsi="GHEA Grapalat" w:cs="Calibri"/>
          <w:color w:val="000000"/>
          <w:sz w:val="24"/>
          <w:szCs w:val="24"/>
          <w:lang w:val="hy-AM" w:eastAsia="ru-RU"/>
        </w:rPr>
        <w:t>սահմանել բարեվարքության վերաբերյալ բացասական եզրակացությամբ թեկնածուների ընտրության, նշանակման և առաջխաղացման դեպքերում նման որոշումների պատճառաբանվածության պահանջ:</w:t>
      </w:r>
    </w:p>
    <w:p w:rsidR="00A658BB" w:rsidRPr="00A658BB" w:rsidRDefault="00A658BB" w:rsidP="00A658BB">
      <w:pPr>
        <w:tabs>
          <w:tab w:val="left" w:pos="709"/>
          <w:tab w:val="left" w:pos="851"/>
          <w:tab w:val="left" w:pos="993"/>
        </w:tabs>
        <w:spacing w:after="0" w:line="360" w:lineRule="auto"/>
        <w:ind w:right="49" w:firstLine="540"/>
        <w:jc w:val="both"/>
        <w:rPr>
          <w:rFonts w:ascii="GHEA Grapalat" w:eastAsia="Times New Roman" w:hAnsi="GHEA Grapalat" w:cs="Calibri"/>
          <w:color w:val="000000"/>
          <w:sz w:val="24"/>
          <w:szCs w:val="24"/>
          <w:lang w:val="hy-AM" w:eastAsia="ru-RU"/>
        </w:rPr>
      </w:pPr>
    </w:p>
    <w:p w:rsidR="00A658BB" w:rsidRPr="00A658BB" w:rsidRDefault="00A658BB" w:rsidP="00A658BB">
      <w:pPr>
        <w:tabs>
          <w:tab w:val="left" w:pos="709"/>
          <w:tab w:val="left" w:pos="851"/>
          <w:tab w:val="left" w:pos="993"/>
        </w:tabs>
        <w:spacing w:after="0" w:line="360" w:lineRule="auto"/>
        <w:ind w:right="49" w:firstLine="540"/>
        <w:jc w:val="both"/>
        <w:rPr>
          <w:rFonts w:ascii="GHEA Grapalat" w:eastAsia="Times New Roman" w:hAnsi="GHEA Grapalat" w:cs="Calibri"/>
          <w:b/>
          <w:color w:val="000000"/>
          <w:sz w:val="24"/>
          <w:szCs w:val="24"/>
          <w:lang w:val="hy-AM" w:eastAsia="ru-RU"/>
        </w:rPr>
      </w:pPr>
      <w:r w:rsidRPr="00A658BB">
        <w:rPr>
          <w:rFonts w:ascii="GHEA Grapalat" w:eastAsia="Times New Roman" w:hAnsi="GHEA Grapalat" w:cs="Calibri"/>
          <w:b/>
          <w:color w:val="000000"/>
          <w:sz w:val="24"/>
          <w:szCs w:val="24"/>
          <w:lang w:val="hy-AM" w:eastAsia="ru-RU"/>
        </w:rPr>
        <w:t>3. Ակնկալվող արդյունքը</w:t>
      </w:r>
    </w:p>
    <w:p w:rsidR="00A658BB" w:rsidRPr="00A658BB" w:rsidRDefault="00A658BB" w:rsidP="00A658BB">
      <w:pPr>
        <w:tabs>
          <w:tab w:val="left" w:pos="709"/>
          <w:tab w:val="left" w:pos="851"/>
          <w:tab w:val="left" w:pos="993"/>
        </w:tabs>
        <w:spacing w:after="0" w:line="360" w:lineRule="auto"/>
        <w:ind w:right="49" w:firstLine="540"/>
        <w:jc w:val="both"/>
        <w:rPr>
          <w:rFonts w:ascii="GHEA Grapalat" w:eastAsia="Times New Roman" w:hAnsi="GHEA Grapalat" w:cs="Calibri"/>
          <w:color w:val="000000"/>
          <w:sz w:val="24"/>
          <w:szCs w:val="24"/>
          <w:lang w:val="hy-AM" w:eastAsia="ru-RU"/>
        </w:rPr>
      </w:pPr>
      <w:r w:rsidRPr="00A658BB">
        <w:rPr>
          <w:rFonts w:ascii="GHEA Grapalat" w:eastAsia="Times New Roman" w:hAnsi="GHEA Grapalat" w:cs="Calibri"/>
          <w:color w:val="000000"/>
          <w:sz w:val="24"/>
          <w:szCs w:val="24"/>
          <w:lang w:val="hy-AM" w:eastAsia="ru-RU"/>
        </w:rPr>
        <w:t xml:space="preserve">Նախագծի ընդունման արդյունքում ակնկալվում է բարձրացնել ԿԿՀ կողմից բարեվարքության վերաբերյալ եզրակացությունների հիման վրա նշանակում իրականացնող մարմինների հաշվետվողականությունը՝ նպաստելով կոռուպցիայի կանխարգելման և բարեվարքության համակարգի ամրապնդման ռազմավարական նպատակների իրագործմանը: </w:t>
      </w:r>
    </w:p>
    <w:p w:rsidR="00A658BB" w:rsidRPr="00A658BB" w:rsidRDefault="00A658BB" w:rsidP="00A658BB">
      <w:pPr>
        <w:tabs>
          <w:tab w:val="left" w:pos="709"/>
          <w:tab w:val="left" w:pos="851"/>
          <w:tab w:val="left" w:pos="993"/>
        </w:tabs>
        <w:spacing w:after="0" w:line="360" w:lineRule="auto"/>
        <w:ind w:right="49" w:firstLine="540"/>
        <w:jc w:val="both"/>
        <w:rPr>
          <w:rFonts w:ascii="GHEA Grapalat" w:eastAsia="Times New Roman" w:hAnsi="GHEA Grapalat" w:cs="Calibri"/>
          <w:color w:val="000000"/>
          <w:sz w:val="24"/>
          <w:szCs w:val="24"/>
          <w:lang w:val="hy-AM" w:eastAsia="ru-RU"/>
        </w:rPr>
      </w:pPr>
    </w:p>
    <w:p w:rsidR="00A658BB" w:rsidRPr="00A658BB" w:rsidRDefault="00A658BB" w:rsidP="00A658BB">
      <w:pPr>
        <w:numPr>
          <w:ilvl w:val="0"/>
          <w:numId w:val="4"/>
        </w:numPr>
        <w:tabs>
          <w:tab w:val="left" w:pos="709"/>
          <w:tab w:val="left" w:pos="851"/>
          <w:tab w:val="left" w:pos="993"/>
        </w:tabs>
        <w:spacing w:after="0" w:line="360" w:lineRule="auto"/>
        <w:ind w:left="0" w:right="49" w:firstLine="540"/>
        <w:contextualSpacing/>
        <w:jc w:val="both"/>
        <w:rPr>
          <w:rFonts w:ascii="GHEA Grapalat" w:eastAsia="Times New Roman" w:hAnsi="GHEA Grapalat" w:cs="Calibri"/>
          <w:sz w:val="24"/>
          <w:szCs w:val="24"/>
          <w:lang w:val="hy-AM" w:eastAsia="ru-RU"/>
        </w:rPr>
      </w:pPr>
      <w:r w:rsidRPr="00A658BB">
        <w:rPr>
          <w:rFonts w:ascii="GHEA Grapalat" w:eastAsia="Times New Roman" w:hAnsi="GHEA Grapalat" w:cs="Calibri"/>
          <w:b/>
          <w:color w:val="000000"/>
          <w:sz w:val="24"/>
          <w:szCs w:val="24"/>
          <w:lang w:val="hy-AM" w:eastAsia="ru-RU"/>
        </w:rPr>
        <w:t>Նախագծի մշակման գործընթացում ներգրավված ինստիտուտները</w:t>
      </w:r>
    </w:p>
    <w:p w:rsidR="00A658BB" w:rsidRPr="00A658BB" w:rsidRDefault="00A658BB" w:rsidP="00A658BB">
      <w:pPr>
        <w:tabs>
          <w:tab w:val="left" w:pos="709"/>
          <w:tab w:val="left" w:pos="851"/>
          <w:tab w:val="left" w:pos="993"/>
        </w:tabs>
        <w:spacing w:after="0" w:line="360" w:lineRule="auto"/>
        <w:ind w:right="49" w:firstLine="540"/>
        <w:jc w:val="both"/>
        <w:rPr>
          <w:rFonts w:ascii="GHEA Grapalat" w:eastAsia="Times New Roman" w:hAnsi="GHEA Grapalat" w:cs="Calibri"/>
          <w:color w:val="000000"/>
          <w:sz w:val="24"/>
          <w:szCs w:val="24"/>
          <w:lang w:val="hy-AM" w:eastAsia="ru-RU"/>
        </w:rPr>
      </w:pPr>
      <w:r w:rsidRPr="00A658BB">
        <w:rPr>
          <w:rFonts w:ascii="GHEA Grapalat" w:eastAsia="Times New Roman" w:hAnsi="GHEA Grapalat" w:cs="Calibri"/>
          <w:color w:val="000000"/>
          <w:sz w:val="24"/>
          <w:szCs w:val="24"/>
          <w:lang w:val="hy-AM" w:eastAsia="ru-RU"/>
        </w:rPr>
        <w:t xml:space="preserve">Նախագիծը մշակվել է Հայաստանի Հանրապետության արդարադատության նախարարության կողմից: </w:t>
      </w:r>
    </w:p>
    <w:p w:rsidR="00A658BB" w:rsidRPr="00A658BB" w:rsidRDefault="00A658BB" w:rsidP="00A658BB">
      <w:pPr>
        <w:tabs>
          <w:tab w:val="left" w:pos="709"/>
          <w:tab w:val="left" w:pos="851"/>
          <w:tab w:val="left" w:pos="993"/>
        </w:tabs>
        <w:spacing w:after="0" w:line="360" w:lineRule="auto"/>
        <w:ind w:right="49" w:firstLine="540"/>
        <w:jc w:val="both"/>
        <w:rPr>
          <w:rFonts w:ascii="GHEA Grapalat" w:eastAsia="Times New Roman" w:hAnsi="GHEA Grapalat" w:cs="Calibri"/>
          <w:sz w:val="24"/>
          <w:szCs w:val="24"/>
          <w:lang w:val="hy-AM" w:eastAsia="ru-RU"/>
        </w:rPr>
      </w:pPr>
    </w:p>
    <w:p w:rsidR="00A658BB" w:rsidRPr="00A658BB" w:rsidRDefault="00A658BB" w:rsidP="00A658BB">
      <w:pPr>
        <w:tabs>
          <w:tab w:val="left" w:pos="709"/>
          <w:tab w:val="left" w:pos="851"/>
          <w:tab w:val="left" w:pos="993"/>
        </w:tabs>
        <w:spacing w:after="0" w:line="360" w:lineRule="auto"/>
        <w:ind w:right="49" w:firstLine="540"/>
        <w:jc w:val="both"/>
        <w:rPr>
          <w:rFonts w:ascii="GHEA Grapalat" w:eastAsia="Times New Roman" w:hAnsi="GHEA Grapalat" w:cs="Calibri"/>
          <w:b/>
          <w:sz w:val="24"/>
          <w:szCs w:val="24"/>
          <w:lang w:val="hy-AM" w:eastAsia="ru-RU"/>
        </w:rPr>
      </w:pPr>
      <w:r w:rsidRPr="00A658BB">
        <w:rPr>
          <w:rFonts w:ascii="GHEA Grapalat" w:eastAsia="Times New Roman" w:hAnsi="GHEA Grapalat" w:cs="Calibri"/>
          <w:b/>
          <w:sz w:val="24"/>
          <w:szCs w:val="24"/>
          <w:lang w:val="hy-AM" w:eastAsia="ru-RU"/>
        </w:rPr>
        <w:t xml:space="preserve">5. </w:t>
      </w:r>
      <w:r w:rsidRPr="00A658BB">
        <w:rPr>
          <w:rFonts w:ascii="GHEA Grapalat" w:eastAsia="Times New Roman" w:hAnsi="GHEA Grapalat" w:cs="Calibri"/>
          <w:b/>
          <w:color w:val="000000"/>
          <w:sz w:val="24"/>
          <w:szCs w:val="24"/>
          <w:lang w:val="hy-AM" w:eastAsia="ru-RU"/>
        </w:rPr>
        <w:t xml:space="preserve">Օրենքների </w:t>
      </w:r>
      <w:r w:rsidRPr="00A658BB">
        <w:rPr>
          <w:rFonts w:ascii="GHEA Grapalat" w:eastAsia="Times New Roman" w:hAnsi="GHEA Grapalat" w:cs="Calibri"/>
          <w:b/>
          <w:sz w:val="24"/>
          <w:szCs w:val="24"/>
          <w:lang w:val="hy-AM" w:eastAsia="ru-RU"/>
        </w:rPr>
        <w:t>ընդունման կապակցությամբ պետական բյուջեում եկամուտների և ծախսերի էական ավելացման կամ նվազեցման մասին</w:t>
      </w:r>
    </w:p>
    <w:p w:rsidR="00A658BB" w:rsidRPr="00A658BB" w:rsidRDefault="00A658BB" w:rsidP="00A658BB">
      <w:pPr>
        <w:tabs>
          <w:tab w:val="left" w:pos="709"/>
          <w:tab w:val="left" w:pos="851"/>
          <w:tab w:val="left" w:pos="993"/>
        </w:tabs>
        <w:spacing w:after="0" w:line="360" w:lineRule="auto"/>
        <w:ind w:right="49" w:firstLine="540"/>
        <w:jc w:val="both"/>
        <w:rPr>
          <w:rFonts w:ascii="GHEA Grapalat" w:eastAsia="Times New Roman" w:hAnsi="GHEA Grapalat" w:cs="Calibri"/>
          <w:color w:val="000000"/>
          <w:sz w:val="24"/>
          <w:szCs w:val="24"/>
          <w:lang w:val="hy-AM" w:eastAsia="ru-RU"/>
        </w:rPr>
      </w:pPr>
    </w:p>
    <w:p w:rsidR="00A658BB" w:rsidRPr="00A658BB" w:rsidRDefault="00A658BB" w:rsidP="00A658BB">
      <w:pPr>
        <w:tabs>
          <w:tab w:val="left" w:pos="709"/>
          <w:tab w:val="left" w:pos="851"/>
          <w:tab w:val="left" w:pos="993"/>
        </w:tabs>
        <w:spacing w:after="200" w:line="360" w:lineRule="auto"/>
        <w:ind w:right="49" w:firstLine="540"/>
        <w:jc w:val="both"/>
        <w:rPr>
          <w:rFonts w:ascii="GHEA Grapalat" w:eastAsia="Times New Roman" w:hAnsi="GHEA Grapalat" w:cs="Calibri"/>
          <w:color w:val="000000"/>
          <w:sz w:val="24"/>
          <w:szCs w:val="24"/>
          <w:lang w:val="hy-AM" w:eastAsia="ru-RU"/>
        </w:rPr>
      </w:pPr>
      <w:r w:rsidRPr="00A658BB">
        <w:rPr>
          <w:rFonts w:ascii="GHEA Grapalat" w:eastAsia="Times New Roman" w:hAnsi="GHEA Grapalat" w:cs="Calibri"/>
          <w:color w:val="000000"/>
          <w:sz w:val="24"/>
          <w:szCs w:val="24"/>
          <w:lang w:val="hy-AM" w:eastAsia="ru-RU"/>
        </w:rPr>
        <w:t>Նախագծերի ընդունման դեպքում պետական կամ տեղական ինքնակառավարման մարմնի բյուջեում ծախսերի ավելացման անհրաժեշտություն չի առաջանում:</w:t>
      </w:r>
    </w:p>
    <w:p w:rsidR="00A658BB" w:rsidRPr="00A658BB" w:rsidRDefault="00A658BB" w:rsidP="00A658BB">
      <w:pPr>
        <w:pBdr>
          <w:top w:val="nil"/>
          <w:left w:val="nil"/>
          <w:bottom w:val="nil"/>
          <w:right w:val="nil"/>
          <w:between w:val="nil"/>
        </w:pBdr>
        <w:tabs>
          <w:tab w:val="left" w:pos="709"/>
          <w:tab w:val="left" w:pos="851"/>
          <w:tab w:val="left" w:pos="993"/>
        </w:tabs>
        <w:spacing w:after="0" w:line="360" w:lineRule="auto"/>
        <w:ind w:right="49" w:firstLine="540"/>
        <w:jc w:val="both"/>
        <w:rPr>
          <w:rFonts w:ascii="GHEA Grapalat" w:eastAsia="Times New Roman" w:hAnsi="GHEA Grapalat" w:cs="Calibri"/>
          <w:b/>
          <w:color w:val="000000"/>
          <w:sz w:val="24"/>
          <w:szCs w:val="24"/>
          <w:lang w:val="hy-AM" w:eastAsia="ru-RU"/>
        </w:rPr>
      </w:pPr>
      <w:r w:rsidRPr="00A658BB">
        <w:rPr>
          <w:rFonts w:ascii="GHEA Grapalat" w:eastAsia="Times New Roman" w:hAnsi="GHEA Grapalat" w:cs="Calibri"/>
          <w:b/>
          <w:color w:val="000000"/>
          <w:sz w:val="24"/>
          <w:szCs w:val="24"/>
          <w:lang w:val="hy-AM" w:eastAsia="ru-RU"/>
        </w:rPr>
        <w:t xml:space="preserve">6. «Կապը ռազմավարական փաստաթղթերի հետ. Կառավարության 2021-2026թթ. ծրագիր, ոլորտային և/կամ այլ ռազմավարություններ». </w:t>
      </w:r>
      <w:r w:rsidRPr="00A658BB">
        <w:rPr>
          <w:rFonts w:ascii="GHEA Grapalat" w:eastAsia="Times New Roman" w:hAnsi="GHEA Grapalat" w:cs="Calibri"/>
          <w:b/>
          <w:color w:val="000000"/>
          <w:sz w:val="24"/>
          <w:szCs w:val="24"/>
          <w:lang w:val="hy-AM" w:eastAsia="ru-RU"/>
        </w:rPr>
        <w:tab/>
      </w:r>
    </w:p>
    <w:p w:rsidR="00A658BB" w:rsidRPr="00A658BB" w:rsidRDefault="00A658BB" w:rsidP="00A658BB">
      <w:pPr>
        <w:keepNext/>
        <w:tabs>
          <w:tab w:val="left" w:pos="709"/>
          <w:tab w:val="left" w:pos="851"/>
          <w:tab w:val="left" w:pos="993"/>
        </w:tabs>
        <w:spacing w:before="240" w:after="60" w:line="360" w:lineRule="auto"/>
        <w:ind w:right="49" w:firstLine="540"/>
        <w:jc w:val="both"/>
        <w:outlineLvl w:val="1"/>
        <w:rPr>
          <w:rFonts w:ascii="GHEA Grapalat" w:eastAsia="Times New Roman" w:hAnsi="GHEA Grapalat" w:cs="Times New Roman"/>
          <w:b/>
          <w:bCs/>
          <w:i/>
          <w:iCs/>
          <w:sz w:val="24"/>
          <w:szCs w:val="24"/>
          <w:lang w:val="hy-AM" w:eastAsia="ru-RU"/>
        </w:rPr>
      </w:pPr>
      <w:bookmarkStart w:id="4" w:name="_heading=h.gjdgxs" w:colFirst="0" w:colLast="0"/>
      <w:bookmarkEnd w:id="4"/>
      <w:r w:rsidRPr="00A658BB">
        <w:rPr>
          <w:rFonts w:ascii="GHEA Grapalat" w:eastAsia="Calibri" w:hAnsi="GHEA Grapalat" w:cs="Calibri"/>
          <w:bCs/>
          <w:iCs/>
          <w:color w:val="000000"/>
          <w:sz w:val="24"/>
          <w:szCs w:val="24"/>
          <w:lang w:val="hy-AM" w:eastAsia="ru-RU"/>
        </w:rPr>
        <w:t>Նախագծերի ընդունումը</w:t>
      </w:r>
      <w:r w:rsidRPr="00A658BB">
        <w:rPr>
          <w:rFonts w:ascii="GHEA Grapalat" w:eastAsia="Times New Roman" w:hAnsi="GHEA Grapalat" w:cs="Times New Roman"/>
          <w:b/>
          <w:bCs/>
          <w:i/>
          <w:iCs/>
          <w:sz w:val="24"/>
          <w:szCs w:val="24"/>
          <w:lang w:val="hy-AM" w:eastAsia="ru-RU"/>
        </w:rPr>
        <w:t xml:space="preserve"> </w:t>
      </w:r>
      <w:r w:rsidRPr="00A658BB">
        <w:rPr>
          <w:rFonts w:ascii="GHEA Grapalat" w:eastAsia="Calibri" w:hAnsi="GHEA Grapalat" w:cs="Calibri"/>
          <w:bCs/>
          <w:iCs/>
          <w:color w:val="000000"/>
          <w:sz w:val="24"/>
          <w:szCs w:val="24"/>
          <w:lang w:val="hy-AM" w:eastAsia="ru-RU"/>
        </w:rPr>
        <w:t>բխում է Կառավարության 2021-2026թթ. ծրագրի «5.5. Կոռուպցիայի դեմ պայքար» ուղղությունից և ՀՀ կառավարության 2023 թվականի «Հայաստանի Հանրապետության հակակոռուպցիոն ռազմավարությունը և դրանից բխող 2023-2026 թվականների գործողությունների ծրագիրը հաստատելու մասին» N 1871-Լ որոշման 2-րդ հավելվածի 1.14-րդ և 1.15-րդ գործողություններից։</w:t>
      </w:r>
    </w:p>
    <w:p w:rsidR="009B5DB8" w:rsidRPr="00A658BB" w:rsidRDefault="009B5DB8" w:rsidP="00A658BB">
      <w:pPr>
        <w:tabs>
          <w:tab w:val="left" w:pos="709"/>
          <w:tab w:val="left" w:pos="851"/>
          <w:tab w:val="left" w:pos="993"/>
        </w:tabs>
        <w:ind w:right="49" w:firstLine="540"/>
        <w:rPr>
          <w:lang w:val="hy-AM"/>
        </w:rPr>
      </w:pPr>
    </w:p>
    <w:sectPr w:rsidR="009B5DB8" w:rsidRPr="00A658BB" w:rsidSect="00A658BB">
      <w:headerReference w:type="default" r:id="rId7"/>
      <w:footerReference w:type="default" r:id="rId8"/>
      <w:pgSz w:w="12240" w:h="15840"/>
      <w:pgMar w:top="851" w:right="567" w:bottom="567" w:left="1134"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F77DD" w:rsidRDefault="008F77DD" w:rsidP="00A658BB">
      <w:pPr>
        <w:spacing w:after="0" w:line="240" w:lineRule="auto"/>
      </w:pPr>
      <w:r>
        <w:separator/>
      </w:r>
    </w:p>
  </w:endnote>
  <w:endnote w:type="continuationSeparator" w:id="0">
    <w:p w:rsidR="008F77DD" w:rsidRDefault="008F77DD" w:rsidP="00A658B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GHEA Grapalat">
    <w:panose1 w:val="02000506050000020003"/>
    <w:charset w:val="00"/>
    <w:family w:val="modern"/>
    <w:notTrueType/>
    <w:pitch w:val="variable"/>
    <w:sig w:usb0="A00006AF" w:usb1="5000204B" w:usb2="00000000" w:usb3="00000000" w:csb0="0000009F" w:csb1="00000000"/>
  </w:font>
  <w:font w:name="Cambria Math">
    <w:panose1 w:val="02040503050406030204"/>
    <w:charset w:val="00"/>
    <w:family w:val="roman"/>
    <w:pitch w:val="variable"/>
    <w:sig w:usb0="E00006FF" w:usb1="420024FF" w:usb2="02000000" w:usb3="00000000" w:csb0="0000019F" w:csb1="00000000"/>
  </w:font>
  <w:font w:name="Sylfaen">
    <w:panose1 w:val="010A0502050306030303"/>
    <w:charset w:val="00"/>
    <w:family w:val="roman"/>
    <w:pitch w:val="variable"/>
    <w:sig w:usb0="04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Art">
    <w:panose1 w:val="0402E200000000000000"/>
    <w:charset w:val="00"/>
    <w:family w:val="decorativ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47C23" w:rsidRDefault="008F77DD">
    <w:pPr>
      <w:pBdr>
        <w:top w:val="nil"/>
        <w:left w:val="nil"/>
        <w:bottom w:val="nil"/>
        <w:right w:val="nil"/>
        <w:between w:val="nil"/>
      </w:pBdr>
      <w:tabs>
        <w:tab w:val="center" w:pos="4844"/>
        <w:tab w:val="right" w:pos="9689"/>
      </w:tabs>
      <w:spacing w:after="0" w:line="240" w:lineRule="auto"/>
      <w:jc w:val="right"/>
      <w:rPr>
        <w:rFonts w:eastAsia="Calibri"/>
        <w:color w:val="000000"/>
      </w:rPr>
    </w:pPr>
    <w:r>
      <w:rPr>
        <w:rFonts w:eastAsia="Calibri"/>
        <w:color w:val="000000"/>
      </w:rPr>
      <w:fldChar w:fldCharType="begin"/>
    </w:r>
    <w:r>
      <w:rPr>
        <w:rFonts w:eastAsia="Calibri"/>
        <w:color w:val="000000"/>
      </w:rPr>
      <w:instrText>PAGE</w:instrText>
    </w:r>
    <w:r>
      <w:rPr>
        <w:rFonts w:eastAsia="Calibri"/>
        <w:color w:val="000000"/>
      </w:rPr>
      <w:fldChar w:fldCharType="separate"/>
    </w:r>
    <w:r w:rsidR="002B10A6">
      <w:rPr>
        <w:rFonts w:eastAsia="Calibri"/>
        <w:noProof/>
        <w:color w:val="000000"/>
      </w:rPr>
      <w:t>21</w:t>
    </w:r>
    <w:r>
      <w:rPr>
        <w:rFonts w:eastAsia="Calibri"/>
        <w:color w:val="000000"/>
      </w:rPr>
      <w:fldChar w:fldCharType="end"/>
    </w:r>
  </w:p>
  <w:p w:rsidR="00D47C23" w:rsidRDefault="008F77DD">
    <w:pPr>
      <w:pBdr>
        <w:top w:val="nil"/>
        <w:left w:val="nil"/>
        <w:bottom w:val="nil"/>
        <w:right w:val="nil"/>
        <w:between w:val="nil"/>
      </w:pBdr>
      <w:tabs>
        <w:tab w:val="center" w:pos="4844"/>
        <w:tab w:val="right" w:pos="9689"/>
      </w:tabs>
      <w:spacing w:after="0" w:line="240" w:lineRule="auto"/>
      <w:rPr>
        <w:rFonts w:eastAsia="Calibri"/>
        <w:color w:val="000000"/>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F77DD" w:rsidRDefault="008F77DD" w:rsidP="00A658BB">
      <w:pPr>
        <w:spacing w:after="0" w:line="240" w:lineRule="auto"/>
      </w:pPr>
      <w:r>
        <w:separator/>
      </w:r>
    </w:p>
  </w:footnote>
  <w:footnote w:type="continuationSeparator" w:id="0">
    <w:p w:rsidR="008F77DD" w:rsidRDefault="008F77DD" w:rsidP="00A658BB">
      <w:pPr>
        <w:spacing w:after="0" w:line="240" w:lineRule="auto"/>
      </w:pPr>
      <w:r>
        <w:continuationSeparator/>
      </w:r>
    </w:p>
  </w:footnote>
  <w:footnote w:id="1">
    <w:p w:rsidR="00A658BB" w:rsidRPr="00CC6861" w:rsidRDefault="00A658BB" w:rsidP="00A658BB">
      <w:pPr>
        <w:pStyle w:val="FootnoteText"/>
        <w:jc w:val="both"/>
        <w:rPr>
          <w:rFonts w:ascii="GHEA Grapalat" w:hAnsi="GHEA Grapalat"/>
          <w:lang w:eastAsia="ja-JP"/>
        </w:rPr>
      </w:pPr>
      <w:r w:rsidRPr="00CC6861">
        <w:rPr>
          <w:rStyle w:val="FootnoteReference"/>
          <w:rFonts w:ascii="GHEA Grapalat" w:hAnsi="GHEA Grapalat"/>
        </w:rPr>
        <w:footnoteRef/>
      </w:r>
      <w:r w:rsidRPr="00CC6861">
        <w:rPr>
          <w:rFonts w:ascii="GHEA Grapalat" w:hAnsi="GHEA Grapalat"/>
        </w:rPr>
        <w:t xml:space="preserve"> Տե՛ս </w:t>
      </w:r>
      <w:r w:rsidRPr="00CC6861">
        <w:rPr>
          <w:rFonts w:ascii="GHEA Grapalat" w:hAnsi="GHEA Grapalat"/>
          <w:lang w:eastAsia="ja-JP"/>
        </w:rPr>
        <w:t>ՏՀԶԿ Հայաստանի 5-րդ գնահատման զեկույցը, էջ 97, 103-106, 123</w:t>
      </w:r>
    </w:p>
    <w:p w:rsidR="00A658BB" w:rsidRPr="00CC6861" w:rsidRDefault="00A658BB" w:rsidP="00A658BB">
      <w:pPr>
        <w:pStyle w:val="FootnoteText"/>
        <w:jc w:val="both"/>
        <w:rPr>
          <w:rFonts w:ascii="GHEA Grapalat" w:hAnsi="GHEA Grapalat"/>
        </w:rPr>
      </w:pPr>
      <w:hyperlink r:id="rId1" w:history="1">
        <w:r w:rsidRPr="00CC6861">
          <w:rPr>
            <w:rStyle w:val="Hyperlink1"/>
            <w:rFonts w:ascii="GHEA Grapalat" w:hAnsi="GHEA Grapalat"/>
          </w:rPr>
          <w:t>https://www.oecd-ilibrary.org/governance/baseline-report-of-the-fifth-round-of-monitoring-of-anti-corruption-reforms-in-armenia_fb158bf9-en</w:t>
        </w:r>
      </w:hyperlink>
    </w:p>
  </w:footnote>
  <w:footnote w:id="2">
    <w:p w:rsidR="00A658BB" w:rsidRPr="00CC6861" w:rsidRDefault="00A658BB" w:rsidP="00A658BB">
      <w:pPr>
        <w:pStyle w:val="FootnoteText"/>
        <w:jc w:val="both"/>
        <w:rPr>
          <w:rFonts w:ascii="GHEA Grapalat" w:hAnsi="GHEA Grapalat"/>
        </w:rPr>
      </w:pPr>
      <w:r w:rsidRPr="00CC6861">
        <w:rPr>
          <w:rStyle w:val="FootnoteReference"/>
          <w:rFonts w:ascii="GHEA Grapalat" w:hAnsi="GHEA Grapalat"/>
        </w:rPr>
        <w:footnoteRef/>
      </w:r>
      <w:r w:rsidRPr="00CC6861">
        <w:rPr>
          <w:rFonts w:ascii="GHEA Grapalat" w:hAnsi="GHEA Grapalat"/>
        </w:rPr>
        <w:t xml:space="preserve"> </w:t>
      </w:r>
      <w:r w:rsidRPr="00CC6861">
        <w:rPr>
          <w:rFonts w:ascii="GHEA Grapalat" w:hAnsi="GHEA Grapalat"/>
        </w:rPr>
        <w:t xml:space="preserve">Տե՛ս </w:t>
      </w:r>
      <w:bookmarkStart w:id="1" w:name="_Hlk179918522"/>
      <w:r w:rsidRPr="00CC6861">
        <w:rPr>
          <w:lang w:val="en-US"/>
        </w:rPr>
        <w:fldChar w:fldCharType="begin"/>
      </w:r>
      <w:r w:rsidRPr="00CC6861">
        <w:rPr>
          <w:rFonts w:ascii="GHEA Grapalat" w:hAnsi="GHEA Grapalat"/>
        </w:rPr>
        <w:instrText>HYPERLINK "https://am.usembassy.gov/2023-human-rights-report-on-armenia/"</w:instrText>
      </w:r>
      <w:r w:rsidRPr="00CC6861">
        <w:rPr>
          <w:lang w:val="en-US"/>
        </w:rPr>
        <w:fldChar w:fldCharType="separate"/>
      </w:r>
      <w:r w:rsidRPr="00CC6861">
        <w:rPr>
          <w:rStyle w:val="Hyperlink1"/>
          <w:rFonts w:ascii="GHEA Grapalat" w:hAnsi="GHEA Grapalat"/>
        </w:rPr>
        <w:t>https://am.usembassy.gov/2023-human-rights-report-on-armenia/</w:t>
      </w:r>
      <w:r w:rsidRPr="00CC6861">
        <w:rPr>
          <w:rStyle w:val="Hyperlink1"/>
          <w:rFonts w:ascii="GHEA Grapalat" w:hAnsi="GHEA Grapalat"/>
        </w:rPr>
        <w:fldChar w:fldCharType="end"/>
      </w:r>
      <w:r w:rsidRPr="00CC6861">
        <w:rPr>
          <w:rFonts w:ascii="GHEA Grapalat" w:hAnsi="GHEA Grapalat"/>
        </w:rPr>
        <w:t xml:space="preserve">, </w:t>
      </w:r>
      <w:r w:rsidRPr="00CC6861">
        <w:rPr>
          <w:rFonts w:ascii="GHEA Grapalat" w:hAnsi="GHEA Grapalat" w:cs="Sylfaen"/>
        </w:rPr>
        <w:t>էջ</w:t>
      </w:r>
      <w:r w:rsidRPr="00CC6861">
        <w:rPr>
          <w:rFonts w:ascii="GHEA Grapalat" w:hAnsi="GHEA Grapalat"/>
        </w:rPr>
        <w:t xml:space="preserve"> 28-29</w:t>
      </w:r>
      <w:bookmarkEnd w:id="1"/>
    </w:p>
  </w:footnote>
  <w:footnote w:id="3">
    <w:p w:rsidR="00A658BB" w:rsidRPr="00CC6861" w:rsidRDefault="00A658BB" w:rsidP="00A658BB">
      <w:pPr>
        <w:pStyle w:val="FootnoteText"/>
        <w:jc w:val="both"/>
        <w:rPr>
          <w:rFonts w:ascii="GHEA Grapalat" w:hAnsi="GHEA Grapalat"/>
        </w:rPr>
      </w:pPr>
      <w:r w:rsidRPr="00CC6861">
        <w:rPr>
          <w:rStyle w:val="FootnoteReference"/>
          <w:rFonts w:ascii="GHEA Grapalat" w:hAnsi="GHEA Grapalat"/>
        </w:rPr>
        <w:footnoteRef/>
      </w:r>
      <w:r w:rsidRPr="00CC6861">
        <w:rPr>
          <w:rFonts w:ascii="GHEA Grapalat" w:hAnsi="GHEA Grapalat"/>
        </w:rPr>
        <w:t xml:space="preserve"> </w:t>
      </w:r>
      <w:r w:rsidRPr="00CC6861">
        <w:rPr>
          <w:rFonts w:ascii="GHEA Grapalat" w:hAnsi="GHEA Grapalat" w:cs="Arial"/>
        </w:rPr>
        <w:t xml:space="preserve">Տե՛ս </w:t>
      </w:r>
      <w:r w:rsidRPr="00CC6861">
        <w:rPr>
          <w:rFonts w:ascii="GHEA Grapalat" w:hAnsi="GHEA Grapalat"/>
        </w:rPr>
        <w:t xml:space="preserve">Օpinion on the draft Judicial Code (Venice Commission, Opinion on the Draft Judicial Code of Armenia, 2017, paras.117-118, </w:t>
      </w:r>
      <w:hyperlink r:id="rId2" w:history="1">
        <w:r w:rsidRPr="00CC6861">
          <w:rPr>
            <w:rStyle w:val="Hyperlink1"/>
            <w:rFonts w:ascii="GHEA Grapalat" w:hAnsi="GHEA Grapalat"/>
          </w:rPr>
          <w:t>www.venice.coe.int/webforms/documents/?pdf=CDL-AD(2017)019-e</w:t>
        </w:r>
      </w:hyperlink>
      <w:r w:rsidRPr="00CC6861">
        <w:rPr>
          <w:rFonts w:ascii="GHEA Grapalat" w:hAnsi="GHEA Grapalat"/>
        </w:rPr>
        <w:t>.)</w:t>
      </w:r>
    </w:p>
  </w:footnote>
  <w:footnote w:id="4">
    <w:p w:rsidR="00A658BB" w:rsidRPr="00CC6861" w:rsidRDefault="00A658BB" w:rsidP="00A658BB">
      <w:pPr>
        <w:pStyle w:val="FootnoteText"/>
        <w:tabs>
          <w:tab w:val="left" w:pos="284"/>
        </w:tabs>
        <w:ind w:left="-142" w:firstLine="284"/>
        <w:jc w:val="both"/>
        <w:rPr>
          <w:rFonts w:ascii="GHEA Grapalat" w:hAnsi="GHEA Grapalat" w:cs="Sylfaen"/>
        </w:rPr>
      </w:pPr>
      <w:r w:rsidRPr="00CC6861">
        <w:rPr>
          <w:rStyle w:val="FootnoteReference"/>
          <w:rFonts w:ascii="GHEA Grapalat" w:hAnsi="GHEA Grapalat"/>
        </w:rPr>
        <w:footnoteRef/>
      </w:r>
      <w:r w:rsidRPr="00CC6861">
        <w:rPr>
          <w:rFonts w:ascii="GHEA Grapalat" w:hAnsi="GHEA Grapalat" w:cs="Arial"/>
        </w:rPr>
        <w:t xml:space="preserve"> </w:t>
      </w:r>
      <w:r w:rsidRPr="00CC6861">
        <w:rPr>
          <w:rFonts w:ascii="GHEA Grapalat" w:hAnsi="GHEA Grapalat" w:cs="Arial"/>
        </w:rPr>
        <w:t xml:space="preserve">Տե՛ս </w:t>
      </w:r>
      <w:r w:rsidRPr="00CC6861">
        <w:rPr>
          <w:rFonts w:ascii="GHEA Grapalat" w:hAnsi="GHEA Grapalat" w:cs="Sylfaen"/>
        </w:rPr>
        <w:t xml:space="preserve">«ԻՊԱՍ» ՀԿ-ի կողմից իրականացվել է հակակոռուպցիոն դատարանի ձևավորման վերաբերյալ զեկույցը, էջ 59-60, </w:t>
      </w:r>
      <w:hyperlink r:id="rId3" w:history="1">
        <w:r w:rsidRPr="00CC6861">
          <w:rPr>
            <w:rStyle w:val="Hyperlink1"/>
            <w:rFonts w:ascii="GHEA Grapalat" w:hAnsi="GHEA Grapalat" w:cs="Sylfaen"/>
          </w:rPr>
          <w:t>https://prwb.am/2023/06/20/zekuyc-7/</w:t>
        </w:r>
      </w:hyperlink>
      <w:r w:rsidRPr="00CC6861">
        <w:rPr>
          <w:rFonts w:ascii="GHEA Grapalat" w:hAnsi="GHEA Grapalat" w:cs="Sylfaen"/>
        </w:rPr>
        <w:t xml:space="preserve">, </w:t>
      </w:r>
    </w:p>
    <w:p w:rsidR="00A658BB" w:rsidRPr="00CC6861" w:rsidRDefault="00A658BB" w:rsidP="00A658BB">
      <w:pPr>
        <w:pStyle w:val="FootnoteText"/>
        <w:tabs>
          <w:tab w:val="left" w:pos="284"/>
        </w:tabs>
        <w:ind w:left="-142" w:firstLine="284"/>
        <w:jc w:val="both"/>
        <w:rPr>
          <w:rFonts w:ascii="GHEA Grapalat" w:hAnsi="GHEA Grapalat" w:cs="Sylfaen"/>
        </w:rPr>
      </w:pPr>
      <w:r w:rsidRPr="00CC6861">
        <w:rPr>
          <w:rFonts w:ascii="GHEA Grapalat" w:hAnsi="GHEA Grapalat" w:cs="Sylfaen"/>
        </w:rPr>
        <w:t xml:space="preserve">Տե՛ս ՔՀԿ-ների համատեղ հայտարարությունները՝ </w:t>
      </w:r>
      <w:hyperlink r:id="rId4" w:history="1">
        <w:r w:rsidRPr="00CC6861">
          <w:rPr>
            <w:rStyle w:val="Hyperlink1"/>
            <w:rFonts w:ascii="GHEA Grapalat" w:hAnsi="GHEA Grapalat" w:cs="Sylfaen"/>
          </w:rPr>
          <w:t>https://www.osf.am/hy/2020/04/statement-3-hy-2/</w:t>
        </w:r>
      </w:hyperlink>
      <w:r w:rsidRPr="00CC6861">
        <w:rPr>
          <w:rFonts w:ascii="GHEA Grapalat" w:hAnsi="GHEA Grapalat" w:cs="Sylfaen"/>
        </w:rPr>
        <w:t>,</w:t>
      </w:r>
    </w:p>
    <w:p w:rsidR="00A658BB" w:rsidRPr="00CC6861" w:rsidRDefault="00A658BB" w:rsidP="00A658BB">
      <w:pPr>
        <w:pStyle w:val="FootnoteText"/>
        <w:tabs>
          <w:tab w:val="left" w:pos="284"/>
        </w:tabs>
        <w:ind w:left="-142" w:firstLine="284"/>
        <w:jc w:val="both"/>
        <w:rPr>
          <w:rFonts w:ascii="GHEA Grapalat" w:hAnsi="GHEA Grapalat" w:cs="Arial"/>
        </w:rPr>
      </w:pPr>
      <w:hyperlink r:id="rId5" w:history="1">
        <w:r w:rsidRPr="00CC6861">
          <w:rPr>
            <w:rStyle w:val="Hyperlink1"/>
            <w:rFonts w:ascii="GHEA Grapalat" w:hAnsi="GHEA Grapalat" w:cs="Sylfaen"/>
          </w:rPr>
          <w:t>https://www.osf.am/hy/2022/11/%D5%A2%D5%A1%D6%80%D5%B1%D6%80%D5%A1%D5%A3%D5%B8%D6%82%D5%B5%D5%B6-%D5%A4%D5%A1%D5%BF%D5%A1%D5%AF%D5%A1%D5%B6-%D5%AD%D5%B8%D6%80%D5%B0%D6%80%D5%A4%D5%AB-%D5%AF%D5%B8%D5%B2%D5%B4%D5%AB%D6%81-%D5%AF/</w:t>
        </w:r>
      </w:hyperlink>
      <w:r w:rsidRPr="00CC6861">
        <w:rPr>
          <w:rFonts w:ascii="GHEA Grapalat" w:hAnsi="GHEA Grapalat" w:cs="Sylfaen"/>
        </w:rPr>
        <w:t xml:space="preserve"> </w:t>
      </w:r>
    </w:p>
  </w:footnote>
  <w:footnote w:id="5">
    <w:p w:rsidR="00A658BB" w:rsidRPr="00CC6861" w:rsidRDefault="00A658BB" w:rsidP="00A658BB">
      <w:pPr>
        <w:pStyle w:val="FootnoteText"/>
        <w:spacing w:after="60"/>
        <w:jc w:val="both"/>
        <w:rPr>
          <w:rFonts w:ascii="GHEA Grapalat" w:hAnsi="GHEA Grapalat"/>
        </w:rPr>
      </w:pPr>
      <w:r w:rsidRPr="00CC6861">
        <w:rPr>
          <w:rStyle w:val="FootnoteReference"/>
          <w:rFonts w:ascii="GHEA Grapalat" w:hAnsi="GHEA Grapalat"/>
        </w:rPr>
        <w:footnoteRef/>
      </w:r>
      <w:r w:rsidRPr="00CC6861">
        <w:rPr>
          <w:rFonts w:ascii="GHEA Grapalat" w:hAnsi="GHEA Grapalat"/>
        </w:rPr>
        <w:t xml:space="preserve"> </w:t>
      </w:r>
      <w:r w:rsidRPr="00CC6861">
        <w:rPr>
          <w:rFonts w:ascii="GHEA Grapalat" w:hAnsi="GHEA Grapalat"/>
        </w:rPr>
        <w:t>Տե՛ս CDL-AD(2015)031-e Interim Opinion on the Draft Law on Integrity Checking of Ukraine, adopted by the Venice Commission at its 104th Plenary Meeting (Venice, 23-24 October 2015)</w:t>
      </w:r>
    </w:p>
    <w:p w:rsidR="00A658BB" w:rsidRPr="00CC6861" w:rsidRDefault="00A658BB" w:rsidP="00A658BB">
      <w:pPr>
        <w:pStyle w:val="FootnoteText"/>
        <w:spacing w:after="60"/>
        <w:jc w:val="both"/>
        <w:rPr>
          <w:rFonts w:ascii="GHEA Grapalat" w:hAnsi="GHEA Grapalat"/>
        </w:rPr>
      </w:pPr>
    </w:p>
  </w:footnote>
  <w:footnote w:id="6">
    <w:p w:rsidR="00A658BB" w:rsidRPr="00CC6861" w:rsidRDefault="00A658BB" w:rsidP="00A658BB">
      <w:pPr>
        <w:pStyle w:val="FootnoteText"/>
        <w:ind w:left="-567" w:firstLine="425"/>
        <w:jc w:val="both"/>
        <w:rPr>
          <w:rFonts w:ascii="GHEA Grapalat" w:hAnsi="GHEA Grapalat"/>
        </w:rPr>
      </w:pPr>
      <w:r w:rsidRPr="00CC6861">
        <w:rPr>
          <w:rStyle w:val="FootnoteReference"/>
          <w:rFonts w:ascii="GHEA Grapalat" w:hAnsi="GHEA Grapalat"/>
        </w:rPr>
        <w:footnoteRef/>
      </w:r>
      <w:r w:rsidRPr="00CC6861">
        <w:rPr>
          <w:rFonts w:ascii="GHEA Grapalat" w:hAnsi="GHEA Grapalat"/>
        </w:rPr>
        <w:t xml:space="preserve"> </w:t>
      </w:r>
      <w:r w:rsidRPr="00CC6861">
        <w:rPr>
          <w:rFonts w:ascii="GHEA Grapalat" w:hAnsi="GHEA Grapalat"/>
        </w:rPr>
        <w:t>Համարժեք է ՀՀ կոռուպցիայի կանխարգելման հանձնաժողովին, քանի որ ստուգում է հայտարարագրերը, շահերի բախման դեպքերն է ուսումնասիրում և այլ սահմանափակումներ։</w:t>
      </w:r>
    </w:p>
  </w:footnote>
  <w:footnote w:id="7">
    <w:p w:rsidR="00A658BB" w:rsidRPr="00CC6861" w:rsidRDefault="00A658BB" w:rsidP="00A658BB">
      <w:pPr>
        <w:pStyle w:val="FootnoteText"/>
        <w:ind w:left="-567" w:firstLine="425"/>
        <w:jc w:val="both"/>
        <w:rPr>
          <w:rFonts w:ascii="GHEA Grapalat" w:hAnsi="GHEA Grapalat"/>
        </w:rPr>
      </w:pPr>
      <w:r w:rsidRPr="00CC6861">
        <w:rPr>
          <w:rStyle w:val="FootnoteReference"/>
          <w:rFonts w:ascii="GHEA Grapalat" w:hAnsi="GHEA Grapalat"/>
        </w:rPr>
        <w:footnoteRef/>
      </w:r>
      <w:r w:rsidRPr="00CC6861">
        <w:rPr>
          <w:rFonts w:ascii="GHEA Grapalat" w:hAnsi="GHEA Grapalat"/>
        </w:rPr>
        <w:t xml:space="preserve"> </w:t>
      </w:r>
      <w:r w:rsidRPr="00CC6861">
        <w:rPr>
          <w:rFonts w:ascii="GHEA Grapalat" w:hAnsi="GHEA Grapalat"/>
        </w:rPr>
        <w:t>Համարժեք է ՀՀ հակակոռուպցիոն կոմիտեին, քանի որ մասնագիտացված քննչական մարմին է, քննություն է իրականացնում կոռուպցիոն հանցագործություններով, օպերատիվ-հետախուզական գործունեություն իրականացնելու մանդատ ունի։</w:t>
      </w:r>
    </w:p>
  </w:footnote>
  <w:footnote w:id="8">
    <w:p w:rsidR="00A658BB" w:rsidRPr="00CC6861" w:rsidRDefault="00A658BB" w:rsidP="00A658BB">
      <w:pPr>
        <w:pStyle w:val="FootnoteText"/>
        <w:jc w:val="both"/>
        <w:rPr>
          <w:rFonts w:ascii="GHEA Grapalat" w:hAnsi="GHEA Grapalat" w:cs="Times New Roman"/>
        </w:rPr>
      </w:pPr>
      <w:r w:rsidRPr="00CC6861">
        <w:rPr>
          <w:rStyle w:val="FootnoteReference"/>
          <w:rFonts w:ascii="GHEA Grapalat" w:hAnsi="GHEA Grapalat" w:cs="Times New Roman"/>
        </w:rPr>
        <w:footnoteRef/>
      </w:r>
      <w:r w:rsidRPr="00CC6861">
        <w:rPr>
          <w:rFonts w:ascii="GHEA Grapalat" w:hAnsi="GHEA Grapalat" w:cs="Times New Roman"/>
        </w:rPr>
        <w:t xml:space="preserve"> </w:t>
      </w:r>
      <w:hyperlink r:id="rId6" w:history="1">
        <w:r w:rsidRPr="00CC6861">
          <w:rPr>
            <w:rStyle w:val="Hyperlink1"/>
            <w:rFonts w:ascii="GHEA Grapalat" w:hAnsi="GHEA Grapalat" w:cs="Times New Roman"/>
          </w:rPr>
          <w:t>Law-26-2022_amended-22.08.2023-.pdf (vetting.md)</w:t>
        </w:r>
      </w:hyperlink>
      <w:r w:rsidRPr="00CC6861">
        <w:rPr>
          <w:rFonts w:ascii="GHEA Grapalat" w:hAnsi="GHEA Grapalat" w:cs="Times New Roman"/>
        </w:rPr>
        <w:t xml:space="preserve"> ; Հոդված 12</w:t>
      </w:r>
    </w:p>
  </w:footnote>
  <w:footnote w:id="9">
    <w:p w:rsidR="00A658BB" w:rsidRPr="00CC6861" w:rsidRDefault="00A658BB" w:rsidP="00A658BB">
      <w:pPr>
        <w:pStyle w:val="FootnoteText"/>
        <w:ind w:left="-567"/>
        <w:jc w:val="both"/>
        <w:rPr>
          <w:rFonts w:ascii="GHEA Grapalat" w:hAnsi="GHEA Grapalat" w:cs="Times New Roman"/>
        </w:rPr>
      </w:pPr>
      <w:r w:rsidRPr="00CC6861">
        <w:rPr>
          <w:rStyle w:val="FootnoteReference"/>
          <w:rFonts w:ascii="GHEA Grapalat" w:hAnsi="GHEA Grapalat" w:cs="Times New Roman"/>
        </w:rPr>
        <w:footnoteRef/>
      </w:r>
      <w:r w:rsidRPr="00CC6861">
        <w:rPr>
          <w:rFonts w:ascii="GHEA Grapalat" w:hAnsi="GHEA Grapalat" w:cs="Times New Roman"/>
        </w:rPr>
        <w:t xml:space="preserve">Օրինակները հասանելի են Հանձնաժողովի կայքէջում՝ </w:t>
      </w:r>
      <w:hyperlink r:id="rId7" w:history="1">
        <w:r w:rsidRPr="00CC6861">
          <w:rPr>
            <w:rStyle w:val="Hyperlink1"/>
            <w:rFonts w:ascii="GHEA Grapalat" w:hAnsi="GHEA Grapalat" w:cs="Times New Roman"/>
          </w:rPr>
          <w:t>https://vetting.md/</w:t>
        </w:r>
      </w:hyperlink>
      <w:r w:rsidRPr="00CC6861">
        <w:rPr>
          <w:rFonts w:ascii="GHEA Grapalat" w:hAnsi="GHEA Grapalat" w:cs="Times New Roman"/>
        </w:rPr>
        <w:t xml:space="preserve"> </w:t>
      </w:r>
    </w:p>
  </w:footnote>
  <w:footnote w:id="10">
    <w:p w:rsidR="00A658BB" w:rsidRPr="00CC6861" w:rsidRDefault="00A658BB" w:rsidP="00A658BB">
      <w:pPr>
        <w:pStyle w:val="FootnoteText"/>
        <w:ind w:left="-567"/>
        <w:jc w:val="both"/>
        <w:rPr>
          <w:rFonts w:ascii="GHEA Grapalat" w:hAnsi="GHEA Grapalat" w:cs="Times New Roman"/>
        </w:rPr>
      </w:pPr>
      <w:r w:rsidRPr="00CC6861">
        <w:rPr>
          <w:rStyle w:val="FootnoteReference"/>
          <w:rFonts w:ascii="GHEA Grapalat" w:hAnsi="GHEA Grapalat" w:cs="Times New Roman"/>
        </w:rPr>
        <w:footnoteRef/>
      </w:r>
      <w:r w:rsidRPr="00CC6861">
        <w:rPr>
          <w:rFonts w:ascii="GHEA Grapalat" w:hAnsi="GHEA Grapalat" w:cs="Times New Roman"/>
        </w:rPr>
        <w:t xml:space="preserve"> </w:t>
      </w:r>
      <w:hyperlink r:id="rId8" w:history="1">
        <w:r w:rsidRPr="00CC6861">
          <w:rPr>
            <w:rStyle w:val="Hyperlink1"/>
            <w:rFonts w:ascii="GHEA Grapalat" w:hAnsi="GHEA Grapalat" w:cs="Times New Roman"/>
          </w:rPr>
          <w:t>https://vetting.md/wp-content/uploads/2023/10/Law-26-2022_amended-22.08.2023-.pdf</w:t>
        </w:r>
      </w:hyperlink>
      <w:r w:rsidRPr="00CC6861">
        <w:rPr>
          <w:rFonts w:ascii="GHEA Grapalat" w:hAnsi="GHEA Grapalat" w:cs="Times New Roman"/>
        </w:rPr>
        <w:t xml:space="preserve"> </w:t>
      </w:r>
    </w:p>
  </w:footnote>
  <w:footnote w:id="11">
    <w:p w:rsidR="00A658BB" w:rsidRPr="00CC6861" w:rsidRDefault="00A658BB" w:rsidP="00A658BB">
      <w:pPr>
        <w:pStyle w:val="FootnoteText"/>
        <w:jc w:val="both"/>
        <w:rPr>
          <w:rFonts w:ascii="GHEA Grapalat" w:hAnsi="GHEA Grapalat" w:cs="Times New Roman"/>
        </w:rPr>
      </w:pPr>
      <w:r w:rsidRPr="00CC6861">
        <w:rPr>
          <w:rStyle w:val="FootnoteReference"/>
          <w:rFonts w:ascii="GHEA Grapalat" w:hAnsi="GHEA Grapalat" w:cs="Times New Roman"/>
        </w:rPr>
        <w:footnoteRef/>
      </w:r>
      <w:r w:rsidRPr="00CC6861">
        <w:rPr>
          <w:rFonts w:ascii="GHEA Grapalat" w:hAnsi="GHEA Grapalat" w:cs="Times New Roman"/>
        </w:rPr>
        <w:t xml:space="preserve"> </w:t>
      </w:r>
      <w:r w:rsidRPr="00CC6861">
        <w:rPr>
          <w:rFonts w:ascii="GHEA Grapalat" w:hAnsi="GHEA Grapalat" w:cs="Times New Roman"/>
        </w:rPr>
        <w:t>Նույն տեղում</w:t>
      </w:r>
      <w:r>
        <w:rPr>
          <w:rFonts w:ascii="GHEA Grapalat" w:hAnsi="GHEA Grapalat" w:cs="Times New Roman"/>
        </w:rPr>
        <w:t>,</w:t>
      </w:r>
      <w:r w:rsidRPr="00CC6861">
        <w:rPr>
          <w:rFonts w:ascii="GHEA Grapalat" w:hAnsi="GHEA Grapalat" w:cs="Times New Roman"/>
        </w:rPr>
        <w:t xml:space="preserve"> Հոդված 12</w:t>
      </w:r>
    </w:p>
  </w:footnote>
  <w:footnote w:id="12">
    <w:p w:rsidR="00A658BB" w:rsidRPr="00CC6861" w:rsidRDefault="00A658BB" w:rsidP="00A658BB">
      <w:pPr>
        <w:pStyle w:val="FootnoteText"/>
        <w:ind w:left="-567"/>
        <w:jc w:val="both"/>
        <w:rPr>
          <w:rFonts w:ascii="GHEA Grapalat" w:hAnsi="GHEA Grapalat" w:cs="Times New Roman"/>
        </w:rPr>
      </w:pPr>
      <w:r w:rsidRPr="00CC6861">
        <w:rPr>
          <w:rFonts w:ascii="GHEA Grapalat" w:hAnsi="GHEA Grapalat" w:cs="Times New Roman"/>
          <w:vertAlign w:val="superscript"/>
        </w:rPr>
        <w:footnoteRef/>
      </w:r>
      <w:r w:rsidRPr="00CC6861">
        <w:rPr>
          <w:rFonts w:ascii="GHEA Grapalat" w:hAnsi="GHEA Grapalat" w:cs="Times New Roman"/>
          <w:vertAlign w:val="superscript"/>
        </w:rPr>
        <w:t xml:space="preserve"> </w:t>
      </w:r>
      <w:r w:rsidRPr="00CC6861">
        <w:rPr>
          <w:rFonts w:ascii="GHEA Grapalat" w:hAnsi="GHEA Grapalat" w:cs="Times New Roman"/>
        </w:rPr>
        <w:t xml:space="preserve">THE LAW OF UKRAINE On the Judiciary and the Status of Judges (The Official Bulletin of the Verkhovna Rada of Ukraine (BVR), 2016, № 31, Article 545); Chapter 5; </w:t>
      </w:r>
      <w:hyperlink r:id="rId9" w:history="1">
        <w:r w:rsidRPr="00CC6861">
          <w:rPr>
            <w:rFonts w:ascii="GHEA Grapalat" w:hAnsi="GHEA Grapalat" w:cs="Times New Roman"/>
          </w:rPr>
          <w:t>https://vkksu.gov.ua/sites/default/files/field/file/lu_jst.pdf</w:t>
        </w:r>
      </w:hyperlink>
      <w:r w:rsidRPr="00CC6861">
        <w:rPr>
          <w:rFonts w:ascii="GHEA Grapalat" w:hAnsi="GHEA Grapalat" w:cs="Times New Roman"/>
        </w:rPr>
        <w:t xml:space="preserve"> </w:t>
      </w:r>
    </w:p>
  </w:footnote>
  <w:footnote w:id="13">
    <w:p w:rsidR="00A658BB" w:rsidRPr="00CC6861" w:rsidRDefault="00A658BB" w:rsidP="00A658BB">
      <w:pPr>
        <w:pStyle w:val="FootnoteText"/>
        <w:ind w:left="-567"/>
        <w:jc w:val="both"/>
        <w:rPr>
          <w:rFonts w:ascii="GHEA Grapalat" w:hAnsi="GHEA Grapalat" w:cs="Times New Roman"/>
        </w:rPr>
      </w:pPr>
      <w:r w:rsidRPr="00CC6861">
        <w:rPr>
          <w:rStyle w:val="FootnoteReference"/>
          <w:rFonts w:ascii="GHEA Grapalat" w:hAnsi="GHEA Grapalat" w:cs="Times New Roman"/>
        </w:rPr>
        <w:footnoteRef/>
      </w:r>
      <w:r w:rsidRPr="00CC6861">
        <w:rPr>
          <w:rFonts w:ascii="GHEA Grapalat" w:hAnsi="GHEA Grapalat" w:cs="Times New Roman"/>
        </w:rPr>
        <w:t xml:space="preserve">OECD (2024), Review of Anti-Corruption Reforms in Ukraine under the Fifth Round of Monitoring: The Istanbul Anti-Corruption Action Plan, OECD Publishing, Paris, </w:t>
      </w:r>
      <w:hyperlink r:id="rId10" w:history="1">
        <w:r w:rsidRPr="00CC6861">
          <w:rPr>
            <w:rStyle w:val="Hyperlink1"/>
            <w:rFonts w:ascii="GHEA Grapalat" w:hAnsi="GHEA Grapalat" w:cs="Times New Roman"/>
          </w:rPr>
          <w:t>https://doi.org/10.1787/9e03ebb6-en</w:t>
        </w:r>
      </w:hyperlink>
      <w:r w:rsidRPr="00CC6861">
        <w:rPr>
          <w:rFonts w:ascii="GHEA Grapalat" w:hAnsi="GHEA Grapalat" w:cs="Times New Roman"/>
        </w:rPr>
        <w:t xml:space="preserve"> </w:t>
      </w:r>
    </w:p>
  </w:footnote>
  <w:footnote w:id="14">
    <w:p w:rsidR="00A658BB" w:rsidRPr="00CC6861" w:rsidRDefault="00A658BB" w:rsidP="00A658BB">
      <w:pPr>
        <w:pStyle w:val="FootnoteText"/>
        <w:jc w:val="both"/>
        <w:rPr>
          <w:rFonts w:ascii="GHEA Grapalat" w:hAnsi="GHEA Grapalat" w:cs="Times New Roman"/>
        </w:rPr>
      </w:pPr>
      <w:r w:rsidRPr="00CC6861">
        <w:rPr>
          <w:rStyle w:val="FootnoteReference"/>
          <w:rFonts w:ascii="GHEA Grapalat" w:hAnsi="GHEA Grapalat" w:cs="Times New Roman"/>
        </w:rPr>
        <w:footnoteRef/>
      </w:r>
      <w:r w:rsidRPr="00CC6861">
        <w:rPr>
          <w:rFonts w:ascii="GHEA Grapalat" w:hAnsi="GHEA Grapalat" w:cs="Times New Roman"/>
        </w:rPr>
        <w:t xml:space="preserve"> </w:t>
      </w:r>
      <w:r w:rsidRPr="00CC6861">
        <w:rPr>
          <w:rFonts w:ascii="GHEA Grapalat" w:hAnsi="GHEA Grapalat" w:cs="Times New Roman"/>
        </w:rPr>
        <w:t>Ընդ որում հերթական որակավորման գնահատումը չի կարող լինել մեկ տարուց ավելի շուտ, բացառության այն դեպքերի, երբ դատավորը դիմում է թափուր հաստիքի համար։</w:t>
      </w:r>
    </w:p>
  </w:footnote>
  <w:footnote w:id="15">
    <w:p w:rsidR="00A658BB" w:rsidRPr="00CC6861" w:rsidRDefault="00A658BB" w:rsidP="00A658BB">
      <w:pPr>
        <w:pStyle w:val="FootnoteText"/>
        <w:jc w:val="both"/>
        <w:rPr>
          <w:rFonts w:ascii="GHEA Grapalat" w:hAnsi="GHEA Grapalat"/>
        </w:rPr>
      </w:pPr>
      <w:r w:rsidRPr="00CC6861">
        <w:rPr>
          <w:rStyle w:val="FootnoteReference"/>
          <w:rFonts w:ascii="GHEA Grapalat" w:hAnsi="GHEA Grapalat"/>
        </w:rPr>
        <w:footnoteRef/>
      </w:r>
      <w:r w:rsidRPr="00CC6861">
        <w:rPr>
          <w:rFonts w:ascii="GHEA Grapalat" w:hAnsi="GHEA Grapalat"/>
        </w:rPr>
        <w:t xml:space="preserve"> </w:t>
      </w:r>
      <w:r w:rsidRPr="00CC6861">
        <w:rPr>
          <w:rFonts w:ascii="GHEA Grapalat" w:hAnsi="GHEA Grapalat"/>
        </w:rPr>
        <w:t>Համարժեք է ՀՀ ԲԴԽ-ին, դատական համակարգի ինքնակառավարման բարձրագույն մարմինն է։</w:t>
      </w:r>
    </w:p>
  </w:footnote>
  <w:footnote w:id="16">
    <w:p w:rsidR="00A658BB" w:rsidRPr="00CC6861" w:rsidRDefault="00A658BB" w:rsidP="00A658BB">
      <w:pPr>
        <w:pStyle w:val="FootnoteText"/>
        <w:jc w:val="both"/>
        <w:rPr>
          <w:rFonts w:ascii="GHEA Grapalat" w:hAnsi="GHEA Grapalat" w:cs="Times New Roman"/>
        </w:rPr>
      </w:pPr>
      <w:r w:rsidRPr="00CC6861">
        <w:rPr>
          <w:rFonts w:ascii="GHEA Grapalat" w:hAnsi="GHEA Grapalat" w:cs="Times New Roman"/>
        </w:rPr>
        <w:footnoteRef/>
      </w:r>
      <w:r w:rsidRPr="00CC6861">
        <w:rPr>
          <w:rFonts w:ascii="GHEA Grapalat" w:hAnsi="GHEA Grapalat" w:cs="Times New Roman"/>
        </w:rPr>
        <w:t xml:space="preserve"> </w:t>
      </w:r>
      <w:hyperlink r:id="rId11" w:history="1">
        <w:r w:rsidRPr="00CC6861">
          <w:rPr>
            <w:rFonts w:ascii="GHEA Grapalat" w:hAnsi="GHEA Grapalat" w:cs="Times New Roman"/>
          </w:rPr>
          <w:t>https://vkksu.gov.ua/sites/default/files/poriadok_new.pdf</w:t>
        </w:r>
      </w:hyperlink>
      <w:r w:rsidRPr="00CC6861">
        <w:rPr>
          <w:rFonts w:ascii="GHEA Grapalat" w:hAnsi="GHEA Grapalat" w:cs="Times New Roman"/>
        </w:rPr>
        <w:t xml:space="preserve"> ; Ընթացակարգն ու մեթոդաբանությունը ենթակա են հաստատման Ուկրաինայի դատավորների Բարձր Որակավորման հանձնաժողովի կողմից։</w:t>
      </w:r>
    </w:p>
  </w:footnote>
  <w:footnote w:id="17">
    <w:p w:rsidR="00A658BB" w:rsidRPr="00CC6861" w:rsidRDefault="00A658BB" w:rsidP="00A658BB">
      <w:pPr>
        <w:pStyle w:val="FootnoteText"/>
        <w:jc w:val="both"/>
        <w:rPr>
          <w:rFonts w:ascii="GHEA Grapalat" w:hAnsi="GHEA Grapalat" w:cs="Times New Roman"/>
        </w:rPr>
      </w:pPr>
      <w:r w:rsidRPr="00CC6861">
        <w:rPr>
          <w:rStyle w:val="FootnoteReference"/>
          <w:rFonts w:ascii="GHEA Grapalat" w:hAnsi="GHEA Grapalat" w:cs="Times New Roman"/>
        </w:rPr>
        <w:footnoteRef/>
      </w:r>
      <w:r w:rsidRPr="00CC6861">
        <w:rPr>
          <w:rFonts w:ascii="GHEA Grapalat" w:hAnsi="GHEA Grapalat" w:cs="Times New Roman"/>
        </w:rPr>
        <w:t xml:space="preserve"> </w:t>
      </w:r>
      <w:hyperlink r:id="rId12" w:history="1">
        <w:r w:rsidRPr="00CC6861">
          <w:rPr>
            <w:rStyle w:val="Hyperlink1"/>
            <w:rFonts w:ascii="GHEA Grapalat" w:hAnsi="GHEA Grapalat" w:cs="Times New Roman"/>
          </w:rPr>
          <w:t>https://grd.gov.ua/</w:t>
        </w:r>
      </w:hyperlink>
      <w:r w:rsidRPr="00CC6861">
        <w:rPr>
          <w:rFonts w:ascii="GHEA Grapalat" w:hAnsi="GHEA Grapalat" w:cs="Times New Roman"/>
        </w:rPr>
        <w:t xml:space="preserve"> </w:t>
      </w:r>
    </w:p>
    <w:p w:rsidR="00A658BB" w:rsidRPr="00CC6861" w:rsidRDefault="00A658BB" w:rsidP="00A658BB">
      <w:pPr>
        <w:pStyle w:val="FootnoteText"/>
        <w:jc w:val="both"/>
        <w:rPr>
          <w:rFonts w:ascii="GHEA Grapalat" w:hAnsi="GHEA Grapalat" w:cs="Times New Roman"/>
        </w:rPr>
      </w:pPr>
      <w:hyperlink r:id="rId13" w:history="1">
        <w:r w:rsidRPr="00CC6861">
          <w:rPr>
            <w:rStyle w:val="Hyperlink1"/>
            <w:rFonts w:ascii="GHEA Grapalat" w:hAnsi="GHEA Grapalat" w:cs="Times New Roman"/>
          </w:rPr>
          <w:t>https://grd.gov.ua/conclusions/</w:t>
        </w:r>
      </w:hyperlink>
      <w:r w:rsidRPr="00CC6861">
        <w:rPr>
          <w:rFonts w:ascii="GHEA Grapalat" w:hAnsi="GHEA Grapalat" w:cs="Times New Roman"/>
        </w:rPr>
        <w:t xml:space="preserve"> </w:t>
      </w:r>
    </w:p>
  </w:footnote>
  <w:footnote w:id="18">
    <w:p w:rsidR="00A658BB" w:rsidRPr="00CC6861" w:rsidRDefault="00A658BB" w:rsidP="00A658BB">
      <w:pPr>
        <w:pStyle w:val="FootnoteText"/>
        <w:jc w:val="both"/>
        <w:rPr>
          <w:rFonts w:ascii="GHEA Grapalat" w:hAnsi="GHEA Grapalat" w:cs="Times New Roman"/>
        </w:rPr>
      </w:pPr>
      <w:r w:rsidRPr="00CC6861">
        <w:rPr>
          <w:rStyle w:val="FootnoteReference"/>
          <w:rFonts w:ascii="GHEA Grapalat" w:hAnsi="GHEA Grapalat" w:cs="Times New Roman"/>
        </w:rPr>
        <w:footnoteRef/>
      </w:r>
      <w:r w:rsidRPr="00CC6861">
        <w:rPr>
          <w:rFonts w:ascii="GHEA Grapalat" w:hAnsi="GHEA Grapalat" w:cs="Times New Roman"/>
        </w:rPr>
        <w:t xml:space="preserve"> </w:t>
      </w:r>
      <w:hyperlink r:id="rId14" w:history="1">
        <w:r w:rsidRPr="00CC6861">
          <w:rPr>
            <w:rStyle w:val="Hyperlink1"/>
            <w:rFonts w:ascii="GHEA Grapalat" w:hAnsi="GHEA Grapalat" w:cs="Times New Roman"/>
          </w:rPr>
          <w:t>https://grd.gov.ua/conclusions/</w:t>
        </w:r>
      </w:hyperlink>
      <w:r w:rsidRPr="00CC6861">
        <w:rPr>
          <w:rFonts w:ascii="GHEA Grapalat" w:hAnsi="GHEA Grapalat" w:cs="Times New Roman"/>
        </w:rPr>
        <w:t xml:space="preserve"> </w:t>
      </w:r>
    </w:p>
  </w:footnote>
  <w:footnote w:id="19">
    <w:p w:rsidR="00A658BB" w:rsidRPr="00CC6861" w:rsidRDefault="00A658BB" w:rsidP="00A658BB">
      <w:pPr>
        <w:pStyle w:val="FootnoteText"/>
        <w:jc w:val="both"/>
        <w:rPr>
          <w:rFonts w:ascii="GHEA Grapalat" w:hAnsi="GHEA Grapalat" w:cs="Times New Roman"/>
        </w:rPr>
      </w:pPr>
      <w:r w:rsidRPr="00CC6861">
        <w:rPr>
          <w:rStyle w:val="FootnoteReference"/>
          <w:rFonts w:ascii="GHEA Grapalat" w:hAnsi="GHEA Grapalat" w:cs="Times New Roman"/>
        </w:rPr>
        <w:footnoteRef/>
      </w:r>
      <w:r w:rsidRPr="00CC6861">
        <w:rPr>
          <w:rFonts w:ascii="GHEA Grapalat" w:hAnsi="GHEA Grapalat" w:cs="Times New Roman"/>
        </w:rPr>
        <w:t xml:space="preserve">Բարեվարքության հարցերով հանրային խորհրդի պաշտոնական կայքէջ; </w:t>
      </w:r>
      <w:hyperlink r:id="rId15" w:history="1">
        <w:r w:rsidRPr="00CC6861">
          <w:rPr>
            <w:rStyle w:val="Hyperlink1"/>
            <w:rFonts w:ascii="GHEA Grapalat" w:hAnsi="GHEA Grapalat" w:cs="Times New Roman"/>
          </w:rPr>
          <w:t>https://vkksu.gov.ua/en/rubric/public-integrity-council</w:t>
        </w:r>
      </w:hyperlink>
      <w:r w:rsidRPr="00CC6861">
        <w:rPr>
          <w:rFonts w:ascii="GHEA Grapalat" w:hAnsi="GHEA Grapalat" w:cs="Times New Roman"/>
        </w:rPr>
        <w:t xml:space="preserve"> </w:t>
      </w:r>
    </w:p>
  </w:footnote>
  <w:footnote w:id="20">
    <w:p w:rsidR="00A658BB" w:rsidRPr="00CC6861" w:rsidRDefault="00A658BB" w:rsidP="00A658BB">
      <w:pPr>
        <w:pStyle w:val="FootnoteText"/>
        <w:jc w:val="both"/>
        <w:rPr>
          <w:rFonts w:ascii="GHEA Grapalat" w:hAnsi="GHEA Grapalat" w:cs="Times New Roman"/>
          <w:b/>
          <w:bCs/>
        </w:rPr>
      </w:pPr>
      <w:r w:rsidRPr="00CC6861">
        <w:rPr>
          <w:rStyle w:val="FootnoteReference"/>
          <w:rFonts w:ascii="GHEA Grapalat" w:hAnsi="GHEA Grapalat" w:cs="Times New Roman"/>
        </w:rPr>
        <w:footnoteRef/>
      </w:r>
      <w:r w:rsidRPr="00CC6861">
        <w:rPr>
          <w:rFonts w:ascii="GHEA Grapalat" w:hAnsi="GHEA Grapalat" w:cs="Times New Roman"/>
        </w:rPr>
        <w:t xml:space="preserve"> </w:t>
      </w:r>
      <w:r w:rsidRPr="00CC6861">
        <w:rPr>
          <w:rFonts w:ascii="GHEA Grapalat" w:hAnsi="GHEA Grapalat" w:cs="Times New Roman"/>
        </w:rPr>
        <w:t xml:space="preserve">High Inspectorate of Declaration and Audit of Assets and Conflicts of Interest (HIDAACI) գործում է «Ընտրված անձանց և առանձին պետական </w:t>
      </w:r>
      <w:r w:rsidRPr="00CC6861">
        <w:rPr>
          <w:rFonts w:ascii="Cambria Math" w:hAnsi="Cambria Math" w:cs="Cambria Math"/>
        </w:rPr>
        <w:t>​​</w:t>
      </w:r>
      <w:r w:rsidRPr="00CC6861">
        <w:rPr>
          <w:rFonts w:ascii="GHEA Grapalat" w:hAnsi="GHEA Grapalat" w:cs="Times New Roman"/>
        </w:rPr>
        <w:t xml:space="preserve">պաշտոնատար անձանց ակտիվների, ֆինանսական պարտավորությունների հայտարարագրման և աուդիտի մասին» օրենքի համաձայն: Պատասխանատու է պետական պաշտոնյաների հայտարարագրերի անմիջական վերահսկողության համար, հայտարարագրերի վերաբերյալ տվյալների հավաքման և ուսումնասիրման համար, շահերի բախման կանխարգելման համար օրենքի և օրենսդրության, ինչպես նաև ազդարարողների պաշտպանության և ազդարարների մասին օրենքի կիրարկման համար և այլն։ </w:t>
      </w:r>
      <w:hyperlink r:id="rId16" w:history="1">
        <w:r w:rsidRPr="00CC6861">
          <w:rPr>
            <w:rStyle w:val="Hyperlink1"/>
            <w:rFonts w:ascii="GHEA Grapalat" w:hAnsi="GHEA Grapalat" w:cs="Times New Roman"/>
          </w:rPr>
          <w:t>https://rai-see.org/wp-content/uploads/2015/08/Albania_Declaration_of_Assets_Law_9049_2003_EN.pdf</w:t>
        </w:r>
      </w:hyperlink>
      <w:r w:rsidRPr="00CC6861">
        <w:rPr>
          <w:rFonts w:ascii="GHEA Grapalat" w:hAnsi="GHEA Grapalat" w:cs="Times New Roman"/>
        </w:rPr>
        <w:t xml:space="preserve"> </w:t>
      </w:r>
    </w:p>
    <w:p w:rsidR="00A658BB" w:rsidRPr="00CC6861" w:rsidRDefault="00A658BB" w:rsidP="00A658BB">
      <w:pPr>
        <w:pStyle w:val="FootnoteText"/>
        <w:jc w:val="both"/>
        <w:rPr>
          <w:rFonts w:ascii="GHEA Grapalat" w:hAnsi="GHEA Grapalat" w:cs="Times New Roman"/>
          <w:b/>
          <w:bCs/>
        </w:rPr>
      </w:pPr>
    </w:p>
  </w:footnote>
  <w:footnote w:id="21">
    <w:p w:rsidR="00A658BB" w:rsidRPr="00A658BB" w:rsidRDefault="00A658BB" w:rsidP="00A658BB">
      <w:pPr>
        <w:jc w:val="both"/>
        <w:rPr>
          <w:rFonts w:ascii="GHEA Grapalat" w:hAnsi="GHEA Grapalat" w:cs="Times New Roman"/>
          <w:sz w:val="20"/>
          <w:szCs w:val="20"/>
          <w:lang w:val="hy-AM"/>
        </w:rPr>
      </w:pPr>
      <w:r w:rsidRPr="00CC6861">
        <w:rPr>
          <w:rStyle w:val="FootnoteReference"/>
          <w:rFonts w:ascii="GHEA Grapalat" w:hAnsi="GHEA Grapalat" w:cs="Times New Roman"/>
          <w:sz w:val="20"/>
          <w:szCs w:val="20"/>
        </w:rPr>
        <w:footnoteRef/>
      </w:r>
      <w:r w:rsidRPr="00A658BB">
        <w:rPr>
          <w:rFonts w:ascii="GHEA Grapalat" w:hAnsi="GHEA Grapalat" w:cs="Times New Roman"/>
          <w:sz w:val="20"/>
          <w:szCs w:val="20"/>
          <w:lang w:val="hy-AM"/>
        </w:rPr>
        <w:t xml:space="preserve"> </w:t>
      </w:r>
      <w:r w:rsidRPr="00A658BB">
        <w:rPr>
          <w:rFonts w:ascii="GHEA Grapalat" w:hAnsi="GHEA Grapalat" w:cs="Times New Roman"/>
          <w:sz w:val="20"/>
          <w:szCs w:val="20"/>
          <w:lang w:val="hy-AM"/>
        </w:rPr>
        <w:t xml:space="preserve">Վեթինգ մարմնի լիազորությունները ավարտվում են 2024թ-ին, մինչդեռ իր Վերաքննիչ ատյանը կշարունակի գործել մինչև 2026 թվական։ Արդեն մեկ անգամ տվյալ մարմնի մանդատը երկարացվել է՝ </w:t>
      </w:r>
      <w:hyperlink r:id="rId17" w:history="1">
        <w:r w:rsidRPr="00A658BB">
          <w:rPr>
            <w:rStyle w:val="Hyperlink1"/>
            <w:rFonts w:ascii="GHEA Grapalat" w:hAnsi="GHEA Grapalat" w:cs="Times New Roman"/>
            <w:sz w:val="20"/>
            <w:szCs w:val="20"/>
            <w:lang w:val="hy-AM"/>
          </w:rPr>
          <w:t>https://www.venice.coe.int/webforms/documents/default.aspx?pdffile=CDL-AD(2021)053-e</w:t>
        </w:r>
      </w:hyperlink>
      <w:r w:rsidRPr="00A658BB">
        <w:rPr>
          <w:rFonts w:ascii="GHEA Grapalat" w:hAnsi="GHEA Grapalat" w:cs="Times New Roman"/>
          <w:sz w:val="20"/>
          <w:szCs w:val="20"/>
          <w:lang w:val="hy-AM"/>
        </w:rPr>
        <w:t xml:space="preserve"> </w:t>
      </w:r>
    </w:p>
  </w:footnote>
  <w:footnote w:id="22">
    <w:p w:rsidR="00A658BB" w:rsidRPr="00CC6861" w:rsidRDefault="00A658BB" w:rsidP="00A658BB">
      <w:pPr>
        <w:pStyle w:val="FootnoteText"/>
        <w:jc w:val="both"/>
        <w:rPr>
          <w:rFonts w:ascii="GHEA Grapalat" w:hAnsi="GHEA Grapalat" w:cs="Times New Roman"/>
        </w:rPr>
      </w:pPr>
      <w:r w:rsidRPr="00CC6861">
        <w:rPr>
          <w:rStyle w:val="FootnoteReference"/>
          <w:rFonts w:ascii="GHEA Grapalat" w:hAnsi="GHEA Grapalat" w:cs="Times New Roman"/>
        </w:rPr>
        <w:footnoteRef/>
      </w:r>
      <w:r w:rsidRPr="00CC6861">
        <w:rPr>
          <w:rFonts w:ascii="GHEA Grapalat" w:hAnsi="GHEA Grapalat" w:cs="Times New Roman"/>
        </w:rPr>
        <w:t xml:space="preserve"> </w:t>
      </w:r>
      <w:bookmarkStart w:id="3" w:name="_Hlk179845799"/>
      <w:r w:rsidRPr="00CC6861">
        <w:rPr>
          <w:rFonts w:ascii="GHEA Grapalat" w:hAnsi="GHEA Grapalat" w:cs="Times New Roman"/>
        </w:rPr>
        <w:fldChar w:fldCharType="begin"/>
      </w:r>
      <w:r w:rsidRPr="00CC6861">
        <w:rPr>
          <w:rFonts w:ascii="GHEA Grapalat" w:hAnsi="GHEA Grapalat" w:cs="Times New Roman"/>
        </w:rPr>
        <w:instrText>HYPERLINK "https://www.eeas.europa.eu/delegations/albania/international-monitoring-operation_en?s=214"</w:instrText>
      </w:r>
      <w:r w:rsidRPr="00CC6861">
        <w:rPr>
          <w:rFonts w:ascii="GHEA Grapalat" w:hAnsi="GHEA Grapalat" w:cs="Times New Roman"/>
        </w:rPr>
        <w:fldChar w:fldCharType="separate"/>
      </w:r>
      <w:r w:rsidRPr="00CC6861">
        <w:rPr>
          <w:rStyle w:val="Hyperlink1"/>
          <w:rFonts w:ascii="GHEA Grapalat" w:hAnsi="GHEA Grapalat" w:cs="Times New Roman"/>
        </w:rPr>
        <w:t>https://www.eeas.europa.eu/delegations/albania/international-monitoring-operation_en?s=214</w:t>
      </w:r>
      <w:r w:rsidRPr="00CC6861">
        <w:rPr>
          <w:rFonts w:ascii="GHEA Grapalat" w:hAnsi="GHEA Grapalat" w:cs="Times New Roman"/>
        </w:rPr>
        <w:fldChar w:fldCharType="end"/>
      </w:r>
      <w:r w:rsidRPr="00CC6861">
        <w:rPr>
          <w:rFonts w:ascii="GHEA Grapalat" w:hAnsi="GHEA Grapalat" w:cs="Times New Roman"/>
        </w:rPr>
        <w:t xml:space="preserve"> </w:t>
      </w:r>
      <w:bookmarkEnd w:id="3"/>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47C23" w:rsidRDefault="008F77DD">
    <w:pPr>
      <w:pBdr>
        <w:top w:val="nil"/>
        <w:left w:val="single" w:sz="18" w:space="4" w:color="FF0000"/>
        <w:bottom w:val="nil"/>
        <w:right w:val="nil"/>
        <w:between w:val="nil"/>
      </w:pBdr>
      <w:tabs>
        <w:tab w:val="right" w:pos="10206"/>
      </w:tabs>
      <w:spacing w:after="0"/>
      <w:ind w:hanging="2"/>
      <w:rPr>
        <w:rFonts w:ascii="GHEA Grapalat" w:eastAsia="GHEA Grapalat" w:hAnsi="GHEA Grapalat" w:cs="GHEA Grapalat"/>
        <w:color w:val="FF0000"/>
        <w:sz w:val="20"/>
        <w:szCs w:val="20"/>
      </w:rPr>
    </w:pPr>
    <w:r>
      <w:rPr>
        <w:rFonts w:ascii="GHEA Grapalat" w:eastAsia="GHEA Grapalat" w:hAnsi="GHEA Grapalat" w:cs="GHEA Grapalat"/>
        <w:b/>
        <w:color w:val="000000"/>
        <w:sz w:val="20"/>
        <w:szCs w:val="20"/>
      </w:rPr>
      <w:t>Ա</w:t>
    </w:r>
    <w:r>
      <w:rPr>
        <w:rFonts w:ascii="GHEA Grapalat" w:eastAsia="GHEA Grapalat" w:hAnsi="GHEA Grapalat" w:cs="GHEA Grapalat"/>
        <w:color w:val="000000"/>
        <w:sz w:val="20"/>
        <w:szCs w:val="20"/>
      </w:rPr>
      <w:t>րդարադատության</w:t>
    </w:r>
    <w:r>
      <w:rPr>
        <w:rFonts w:ascii="GHEA Grapalat" w:eastAsia="GHEA Grapalat" w:hAnsi="GHEA Grapalat" w:cs="GHEA Grapalat"/>
        <w:color w:val="000000"/>
        <w:sz w:val="20"/>
        <w:szCs w:val="20"/>
      </w:rPr>
      <w:t xml:space="preserve">                                                       </w:t>
    </w:r>
    <w:r>
      <w:rPr>
        <w:rFonts w:ascii="GHEA Grapalat" w:eastAsia="GHEA Grapalat" w:hAnsi="GHEA Grapalat" w:cs="GHEA Grapalat"/>
        <w:color w:val="000000"/>
        <w:sz w:val="20"/>
        <w:szCs w:val="20"/>
      </w:rPr>
      <w:tab/>
    </w:r>
    <w:r>
      <w:rPr>
        <w:rFonts w:ascii="GHEA Grapalat" w:eastAsia="GHEA Grapalat" w:hAnsi="GHEA Grapalat" w:cs="GHEA Grapalat"/>
        <w:color w:val="000000"/>
      </w:rPr>
      <w:t>ՆԱԽԱԳԻԾ</w:t>
    </w:r>
    <w:r>
      <w:rPr>
        <w:noProof/>
      </w:rPr>
      <w:drawing>
        <wp:anchor distT="0" distB="0" distL="0" distR="0" simplePos="0" relativeHeight="251659264" behindDoc="0" locked="0" layoutInCell="1" hidden="0" allowOverlap="1" wp14:anchorId="5348E235" wp14:editId="2E1AE6E5">
          <wp:simplePos x="0" y="0"/>
          <wp:positionH relativeFrom="column">
            <wp:posOffset>-685160</wp:posOffset>
          </wp:positionH>
          <wp:positionV relativeFrom="paragraph">
            <wp:posOffset>-8250</wp:posOffset>
          </wp:positionV>
          <wp:extent cx="457200" cy="444500"/>
          <wp:effectExtent l="0" t="0" r="0" b="0"/>
          <wp:wrapSquare wrapText="bothSides" distT="0" distB="0" distL="0" distR="0"/>
          <wp:docPr id="1"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
                  <a:srcRect/>
                  <a:stretch>
                    <a:fillRect/>
                  </a:stretch>
                </pic:blipFill>
                <pic:spPr>
                  <a:xfrm>
                    <a:off x="0" y="0"/>
                    <a:ext cx="457200" cy="444500"/>
                  </a:xfrm>
                  <a:prstGeom prst="rect">
                    <a:avLst/>
                  </a:prstGeom>
                  <a:ln/>
                </pic:spPr>
              </pic:pic>
            </a:graphicData>
          </a:graphic>
        </wp:anchor>
      </w:drawing>
    </w:r>
  </w:p>
  <w:p w:rsidR="00D47C23" w:rsidRDefault="008F77DD">
    <w:pPr>
      <w:pBdr>
        <w:top w:val="nil"/>
        <w:left w:val="single" w:sz="18" w:space="4" w:color="0000FF"/>
        <w:bottom w:val="nil"/>
        <w:right w:val="nil"/>
        <w:between w:val="nil"/>
      </w:pBdr>
      <w:tabs>
        <w:tab w:val="center" w:pos="4680"/>
        <w:tab w:val="right" w:pos="9360"/>
      </w:tabs>
      <w:spacing w:after="0"/>
      <w:ind w:hanging="2"/>
      <w:rPr>
        <w:rFonts w:ascii="GHEA Grapalat" w:eastAsia="GHEA Grapalat" w:hAnsi="GHEA Grapalat" w:cs="GHEA Grapalat"/>
        <w:color w:val="000000"/>
        <w:sz w:val="20"/>
        <w:szCs w:val="20"/>
      </w:rPr>
    </w:pPr>
    <w:r>
      <w:rPr>
        <w:rFonts w:ascii="GHEA Grapalat" w:eastAsia="GHEA Grapalat" w:hAnsi="GHEA Grapalat" w:cs="GHEA Grapalat"/>
        <w:b/>
        <w:color w:val="000000"/>
        <w:sz w:val="20"/>
        <w:szCs w:val="20"/>
      </w:rPr>
      <w:t>Ն</w:t>
    </w:r>
    <w:r>
      <w:rPr>
        <w:rFonts w:ascii="GHEA Grapalat" w:eastAsia="GHEA Grapalat" w:hAnsi="GHEA Grapalat" w:cs="GHEA Grapalat"/>
        <w:color w:val="000000"/>
        <w:sz w:val="20"/>
        <w:szCs w:val="20"/>
      </w:rPr>
      <w:t>ախարարություն</w:t>
    </w:r>
  </w:p>
  <w:p w:rsidR="00D47C23" w:rsidRDefault="008F77DD">
    <w:pPr>
      <w:pBdr>
        <w:top w:val="nil"/>
        <w:left w:val="single" w:sz="18" w:space="4" w:color="FF6600"/>
        <w:bottom w:val="nil"/>
        <w:right w:val="nil"/>
        <w:between w:val="nil"/>
      </w:pBdr>
      <w:tabs>
        <w:tab w:val="center" w:pos="4680"/>
        <w:tab w:val="right" w:pos="9360"/>
      </w:tabs>
      <w:ind w:hanging="2"/>
      <w:rPr>
        <w:rFonts w:ascii="Art" w:eastAsia="Art" w:hAnsi="Art" w:cs="Art"/>
        <w:color w:val="000000"/>
        <w:sz w:val="18"/>
        <w:szCs w:val="18"/>
      </w:rPr>
    </w:pPr>
  </w:p>
  <w:p w:rsidR="00D47C23" w:rsidRDefault="008F77DD">
    <w:pPr>
      <w:pBdr>
        <w:top w:val="nil"/>
        <w:left w:val="nil"/>
        <w:bottom w:val="nil"/>
        <w:right w:val="nil"/>
        <w:between w:val="nil"/>
      </w:pBdr>
      <w:tabs>
        <w:tab w:val="center" w:pos="4844"/>
        <w:tab w:val="right" w:pos="9689"/>
      </w:tabs>
      <w:spacing w:after="0" w:line="240" w:lineRule="auto"/>
      <w:rPr>
        <w:rFonts w:eastAsia="Calibri"/>
        <w:color w:val="000000"/>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C293FA3"/>
    <w:multiLevelType w:val="multilevel"/>
    <w:tmpl w:val="1F5C7C54"/>
    <w:lvl w:ilvl="0">
      <w:start w:val="1"/>
      <w:numFmt w:val="decimal"/>
      <w:lvlText w:val="%1."/>
      <w:lvlJc w:val="left"/>
      <w:pPr>
        <w:ind w:left="180" w:hanging="360"/>
      </w:pPr>
    </w:lvl>
    <w:lvl w:ilvl="1">
      <w:start w:val="6"/>
      <w:numFmt w:val="decimal"/>
      <w:lvlText w:val="%1.%2."/>
      <w:lvlJc w:val="left"/>
      <w:pPr>
        <w:ind w:left="960" w:hanging="1140"/>
      </w:pPr>
      <w:rPr>
        <w:color w:val="000000"/>
      </w:rPr>
    </w:lvl>
    <w:lvl w:ilvl="2">
      <w:start w:val="1"/>
      <w:numFmt w:val="decimal"/>
      <w:lvlText w:val="%1.%2.%3."/>
      <w:lvlJc w:val="left"/>
      <w:pPr>
        <w:ind w:left="960" w:hanging="1140"/>
      </w:pPr>
      <w:rPr>
        <w:color w:val="000000"/>
      </w:rPr>
    </w:lvl>
    <w:lvl w:ilvl="3">
      <w:start w:val="1"/>
      <w:numFmt w:val="decimal"/>
      <w:lvlText w:val="%1.%2.%3.%4."/>
      <w:lvlJc w:val="left"/>
      <w:pPr>
        <w:ind w:left="960" w:hanging="1140"/>
      </w:pPr>
      <w:rPr>
        <w:color w:val="000000"/>
      </w:rPr>
    </w:lvl>
    <w:lvl w:ilvl="4">
      <w:start w:val="1"/>
      <w:numFmt w:val="decimal"/>
      <w:lvlText w:val="%1.%2.%3.%4.%5."/>
      <w:lvlJc w:val="left"/>
      <w:pPr>
        <w:ind w:left="960" w:hanging="1140"/>
      </w:pPr>
      <w:rPr>
        <w:color w:val="000000"/>
      </w:rPr>
    </w:lvl>
    <w:lvl w:ilvl="5">
      <w:start w:val="1"/>
      <w:numFmt w:val="decimal"/>
      <w:lvlText w:val="%1.%2.%3.%4.%5.%6."/>
      <w:lvlJc w:val="left"/>
      <w:pPr>
        <w:ind w:left="1260" w:hanging="1440"/>
      </w:pPr>
      <w:rPr>
        <w:color w:val="000000"/>
      </w:rPr>
    </w:lvl>
    <w:lvl w:ilvl="6">
      <w:start w:val="1"/>
      <w:numFmt w:val="decimal"/>
      <w:lvlText w:val="%1.%2.%3.%4.%5.%6.%7."/>
      <w:lvlJc w:val="left"/>
      <w:pPr>
        <w:ind w:left="1620" w:hanging="1800"/>
      </w:pPr>
      <w:rPr>
        <w:color w:val="000000"/>
      </w:rPr>
    </w:lvl>
    <w:lvl w:ilvl="7">
      <w:start w:val="1"/>
      <w:numFmt w:val="decimal"/>
      <w:lvlText w:val="%1.%2.%3.%4.%5.%6.%7.%8."/>
      <w:lvlJc w:val="left"/>
      <w:pPr>
        <w:ind w:left="1620" w:hanging="1800"/>
      </w:pPr>
      <w:rPr>
        <w:color w:val="000000"/>
      </w:rPr>
    </w:lvl>
    <w:lvl w:ilvl="8">
      <w:start w:val="1"/>
      <w:numFmt w:val="decimal"/>
      <w:lvlText w:val="%1.%2.%3.%4.%5.%6.%7.%8.%9."/>
      <w:lvlJc w:val="left"/>
      <w:pPr>
        <w:ind w:left="1980" w:hanging="2160"/>
      </w:pPr>
      <w:rPr>
        <w:color w:val="000000"/>
      </w:rPr>
    </w:lvl>
  </w:abstractNum>
  <w:abstractNum w:abstractNumId="1" w15:restartNumberingAfterBreak="0">
    <w:nsid w:val="3E2F5BCA"/>
    <w:multiLevelType w:val="hybridMultilevel"/>
    <w:tmpl w:val="C46E4BC4"/>
    <w:lvl w:ilvl="0" w:tplc="8C6EE2F8">
      <w:start w:val="1"/>
      <w:numFmt w:val="decimal"/>
      <w:lvlText w:val="%1)"/>
      <w:lvlJc w:val="left"/>
      <w:pPr>
        <w:ind w:left="180" w:hanging="360"/>
      </w:pPr>
      <w:rPr>
        <w:rFonts w:hint="default"/>
      </w:rPr>
    </w:lvl>
    <w:lvl w:ilvl="1" w:tplc="04090019" w:tentative="1">
      <w:start w:val="1"/>
      <w:numFmt w:val="lowerLetter"/>
      <w:lvlText w:val="%2."/>
      <w:lvlJc w:val="left"/>
      <w:pPr>
        <w:ind w:left="900" w:hanging="360"/>
      </w:pPr>
    </w:lvl>
    <w:lvl w:ilvl="2" w:tplc="0409001B" w:tentative="1">
      <w:start w:val="1"/>
      <w:numFmt w:val="lowerRoman"/>
      <w:lvlText w:val="%3."/>
      <w:lvlJc w:val="right"/>
      <w:pPr>
        <w:ind w:left="1620" w:hanging="180"/>
      </w:pPr>
    </w:lvl>
    <w:lvl w:ilvl="3" w:tplc="0409000F" w:tentative="1">
      <w:start w:val="1"/>
      <w:numFmt w:val="decimal"/>
      <w:lvlText w:val="%4."/>
      <w:lvlJc w:val="left"/>
      <w:pPr>
        <w:ind w:left="2340" w:hanging="360"/>
      </w:pPr>
    </w:lvl>
    <w:lvl w:ilvl="4" w:tplc="04090019" w:tentative="1">
      <w:start w:val="1"/>
      <w:numFmt w:val="lowerLetter"/>
      <w:lvlText w:val="%5."/>
      <w:lvlJc w:val="left"/>
      <w:pPr>
        <w:ind w:left="3060" w:hanging="360"/>
      </w:pPr>
    </w:lvl>
    <w:lvl w:ilvl="5" w:tplc="0409001B" w:tentative="1">
      <w:start w:val="1"/>
      <w:numFmt w:val="lowerRoman"/>
      <w:lvlText w:val="%6."/>
      <w:lvlJc w:val="right"/>
      <w:pPr>
        <w:ind w:left="3780" w:hanging="180"/>
      </w:pPr>
    </w:lvl>
    <w:lvl w:ilvl="6" w:tplc="0409000F" w:tentative="1">
      <w:start w:val="1"/>
      <w:numFmt w:val="decimal"/>
      <w:lvlText w:val="%7."/>
      <w:lvlJc w:val="left"/>
      <w:pPr>
        <w:ind w:left="4500" w:hanging="360"/>
      </w:pPr>
    </w:lvl>
    <w:lvl w:ilvl="7" w:tplc="04090019" w:tentative="1">
      <w:start w:val="1"/>
      <w:numFmt w:val="lowerLetter"/>
      <w:lvlText w:val="%8."/>
      <w:lvlJc w:val="left"/>
      <w:pPr>
        <w:ind w:left="5220" w:hanging="360"/>
      </w:pPr>
    </w:lvl>
    <w:lvl w:ilvl="8" w:tplc="0409001B" w:tentative="1">
      <w:start w:val="1"/>
      <w:numFmt w:val="lowerRoman"/>
      <w:lvlText w:val="%9."/>
      <w:lvlJc w:val="right"/>
      <w:pPr>
        <w:ind w:left="5940" w:hanging="180"/>
      </w:pPr>
    </w:lvl>
  </w:abstractNum>
  <w:abstractNum w:abstractNumId="2" w15:restartNumberingAfterBreak="0">
    <w:nsid w:val="7D086DAB"/>
    <w:multiLevelType w:val="hybridMultilevel"/>
    <w:tmpl w:val="09100A0A"/>
    <w:lvl w:ilvl="0" w:tplc="2586DBA6">
      <w:start w:val="4"/>
      <w:numFmt w:val="decimal"/>
      <w:lvlText w:val="%1."/>
      <w:lvlJc w:val="left"/>
      <w:pPr>
        <w:ind w:left="180" w:hanging="360"/>
      </w:pPr>
      <w:rPr>
        <w:rFonts w:hint="default"/>
        <w:b/>
        <w:color w:val="000000"/>
      </w:rPr>
    </w:lvl>
    <w:lvl w:ilvl="1" w:tplc="04090019" w:tentative="1">
      <w:start w:val="1"/>
      <w:numFmt w:val="lowerLetter"/>
      <w:lvlText w:val="%2."/>
      <w:lvlJc w:val="left"/>
      <w:pPr>
        <w:ind w:left="900" w:hanging="360"/>
      </w:pPr>
    </w:lvl>
    <w:lvl w:ilvl="2" w:tplc="0409001B" w:tentative="1">
      <w:start w:val="1"/>
      <w:numFmt w:val="lowerRoman"/>
      <w:lvlText w:val="%3."/>
      <w:lvlJc w:val="right"/>
      <w:pPr>
        <w:ind w:left="1620" w:hanging="180"/>
      </w:pPr>
    </w:lvl>
    <w:lvl w:ilvl="3" w:tplc="0409000F" w:tentative="1">
      <w:start w:val="1"/>
      <w:numFmt w:val="decimal"/>
      <w:lvlText w:val="%4."/>
      <w:lvlJc w:val="left"/>
      <w:pPr>
        <w:ind w:left="2340" w:hanging="360"/>
      </w:pPr>
    </w:lvl>
    <w:lvl w:ilvl="4" w:tplc="04090019" w:tentative="1">
      <w:start w:val="1"/>
      <w:numFmt w:val="lowerLetter"/>
      <w:lvlText w:val="%5."/>
      <w:lvlJc w:val="left"/>
      <w:pPr>
        <w:ind w:left="3060" w:hanging="360"/>
      </w:pPr>
    </w:lvl>
    <w:lvl w:ilvl="5" w:tplc="0409001B" w:tentative="1">
      <w:start w:val="1"/>
      <w:numFmt w:val="lowerRoman"/>
      <w:lvlText w:val="%6."/>
      <w:lvlJc w:val="right"/>
      <w:pPr>
        <w:ind w:left="3780" w:hanging="180"/>
      </w:pPr>
    </w:lvl>
    <w:lvl w:ilvl="6" w:tplc="0409000F" w:tentative="1">
      <w:start w:val="1"/>
      <w:numFmt w:val="decimal"/>
      <w:lvlText w:val="%7."/>
      <w:lvlJc w:val="left"/>
      <w:pPr>
        <w:ind w:left="4500" w:hanging="360"/>
      </w:pPr>
    </w:lvl>
    <w:lvl w:ilvl="7" w:tplc="04090019" w:tentative="1">
      <w:start w:val="1"/>
      <w:numFmt w:val="lowerLetter"/>
      <w:lvlText w:val="%8."/>
      <w:lvlJc w:val="left"/>
      <w:pPr>
        <w:ind w:left="5220" w:hanging="360"/>
      </w:pPr>
    </w:lvl>
    <w:lvl w:ilvl="8" w:tplc="0409001B" w:tentative="1">
      <w:start w:val="1"/>
      <w:numFmt w:val="lowerRoman"/>
      <w:lvlText w:val="%9."/>
      <w:lvlJc w:val="right"/>
      <w:pPr>
        <w:ind w:left="5940" w:hanging="180"/>
      </w:pPr>
    </w:lvl>
  </w:abstractNum>
  <w:abstractNum w:abstractNumId="3" w15:restartNumberingAfterBreak="0">
    <w:nsid w:val="7F8D2293"/>
    <w:multiLevelType w:val="hybridMultilevel"/>
    <w:tmpl w:val="082022D0"/>
    <w:lvl w:ilvl="0" w:tplc="04090001">
      <w:start w:val="1"/>
      <w:numFmt w:val="bullet"/>
      <w:lvlText w:val=""/>
      <w:lvlJc w:val="left"/>
      <w:pPr>
        <w:ind w:left="540" w:hanging="360"/>
      </w:pPr>
      <w:rPr>
        <w:rFonts w:ascii="Symbol" w:hAnsi="Symbol" w:hint="default"/>
      </w:rPr>
    </w:lvl>
    <w:lvl w:ilvl="1" w:tplc="04090003" w:tentative="1">
      <w:start w:val="1"/>
      <w:numFmt w:val="bullet"/>
      <w:lvlText w:val="o"/>
      <w:lvlJc w:val="left"/>
      <w:pPr>
        <w:ind w:left="1260" w:hanging="360"/>
      </w:pPr>
      <w:rPr>
        <w:rFonts w:ascii="Courier New" w:hAnsi="Courier New" w:cs="Courier New" w:hint="default"/>
      </w:rPr>
    </w:lvl>
    <w:lvl w:ilvl="2" w:tplc="04090005" w:tentative="1">
      <w:start w:val="1"/>
      <w:numFmt w:val="bullet"/>
      <w:lvlText w:val=""/>
      <w:lvlJc w:val="left"/>
      <w:pPr>
        <w:ind w:left="1980" w:hanging="360"/>
      </w:pPr>
      <w:rPr>
        <w:rFonts w:ascii="Wingdings" w:hAnsi="Wingdings" w:hint="default"/>
      </w:rPr>
    </w:lvl>
    <w:lvl w:ilvl="3" w:tplc="04090001" w:tentative="1">
      <w:start w:val="1"/>
      <w:numFmt w:val="bullet"/>
      <w:lvlText w:val=""/>
      <w:lvlJc w:val="left"/>
      <w:pPr>
        <w:ind w:left="2700" w:hanging="360"/>
      </w:pPr>
      <w:rPr>
        <w:rFonts w:ascii="Symbol" w:hAnsi="Symbol" w:hint="default"/>
      </w:rPr>
    </w:lvl>
    <w:lvl w:ilvl="4" w:tplc="04090003" w:tentative="1">
      <w:start w:val="1"/>
      <w:numFmt w:val="bullet"/>
      <w:lvlText w:val="o"/>
      <w:lvlJc w:val="left"/>
      <w:pPr>
        <w:ind w:left="3420" w:hanging="360"/>
      </w:pPr>
      <w:rPr>
        <w:rFonts w:ascii="Courier New" w:hAnsi="Courier New" w:cs="Courier New" w:hint="default"/>
      </w:rPr>
    </w:lvl>
    <w:lvl w:ilvl="5" w:tplc="04090005" w:tentative="1">
      <w:start w:val="1"/>
      <w:numFmt w:val="bullet"/>
      <w:lvlText w:val=""/>
      <w:lvlJc w:val="left"/>
      <w:pPr>
        <w:ind w:left="4140" w:hanging="360"/>
      </w:pPr>
      <w:rPr>
        <w:rFonts w:ascii="Wingdings" w:hAnsi="Wingdings" w:hint="default"/>
      </w:rPr>
    </w:lvl>
    <w:lvl w:ilvl="6" w:tplc="04090001" w:tentative="1">
      <w:start w:val="1"/>
      <w:numFmt w:val="bullet"/>
      <w:lvlText w:val=""/>
      <w:lvlJc w:val="left"/>
      <w:pPr>
        <w:ind w:left="4860" w:hanging="360"/>
      </w:pPr>
      <w:rPr>
        <w:rFonts w:ascii="Symbol" w:hAnsi="Symbol" w:hint="default"/>
      </w:rPr>
    </w:lvl>
    <w:lvl w:ilvl="7" w:tplc="04090003" w:tentative="1">
      <w:start w:val="1"/>
      <w:numFmt w:val="bullet"/>
      <w:lvlText w:val="o"/>
      <w:lvlJc w:val="left"/>
      <w:pPr>
        <w:ind w:left="5580" w:hanging="360"/>
      </w:pPr>
      <w:rPr>
        <w:rFonts w:ascii="Courier New" w:hAnsi="Courier New" w:cs="Courier New" w:hint="default"/>
      </w:rPr>
    </w:lvl>
    <w:lvl w:ilvl="8" w:tplc="04090005" w:tentative="1">
      <w:start w:val="1"/>
      <w:numFmt w:val="bullet"/>
      <w:lvlText w:val=""/>
      <w:lvlJc w:val="left"/>
      <w:pPr>
        <w:ind w:left="6300" w:hanging="360"/>
      </w:pPr>
      <w:rPr>
        <w:rFonts w:ascii="Wingdings" w:hAnsi="Wingdings" w:hint="default"/>
      </w:rPr>
    </w:lvl>
  </w:abstractNum>
  <w:num w:numId="1">
    <w:abstractNumId w:val="0"/>
  </w:num>
  <w:num w:numId="2">
    <w:abstractNumId w:val="3"/>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834B2"/>
    <w:rsid w:val="00237886"/>
    <w:rsid w:val="002B10A6"/>
    <w:rsid w:val="005834B2"/>
    <w:rsid w:val="008F77DD"/>
    <w:rsid w:val="009B5DB8"/>
    <w:rsid w:val="00A658BB"/>
    <w:rsid w:val="00BC116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844B7D"/>
  <w15:chartTrackingRefBased/>
  <w15:docId w15:val="{EF8674D1-F63E-432E-9D4C-347A0BB0A1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aliases w:val="Footnote Text Char2,Footnote Text Char Char1,Fußnotentext Char Char2 Char1,Char Char1 Char2 Char1,Fußnotentext Char Char Char1 Char1,Char Char1 Char Char1 Char1,Fußnotentext Char Char Char Char Char1,Char Char1 Char Char Char Char1,Fußnot"/>
    <w:basedOn w:val="Normal"/>
    <w:link w:val="FootnoteTextChar"/>
    <w:uiPriority w:val="99"/>
    <w:unhideWhenUsed/>
    <w:rsid w:val="00A658BB"/>
    <w:pPr>
      <w:spacing w:after="0" w:line="240" w:lineRule="auto"/>
    </w:pPr>
    <w:rPr>
      <w:rFonts w:ascii="Calibri" w:eastAsia="Times New Roman" w:hAnsi="Calibri" w:cs="Calibri"/>
      <w:sz w:val="20"/>
      <w:szCs w:val="20"/>
      <w:lang w:val="hy-AM" w:eastAsia="ru-RU"/>
    </w:rPr>
  </w:style>
  <w:style w:type="character" w:customStyle="1" w:styleId="FootnoteTextChar">
    <w:name w:val="Footnote Text Char"/>
    <w:aliases w:val="Footnote Text Char2 Char,Footnote Text Char Char1 Char,Fußnotentext Char Char2 Char1 Char,Char Char1 Char2 Char1 Char,Fußnotentext Char Char Char1 Char1 Char,Char Char1 Char Char1 Char1 Char,Fußnotentext Char Char Char Char Char1 Char"/>
    <w:basedOn w:val="DefaultParagraphFont"/>
    <w:link w:val="FootnoteText"/>
    <w:uiPriority w:val="99"/>
    <w:qFormat/>
    <w:rsid w:val="00A658BB"/>
    <w:rPr>
      <w:rFonts w:ascii="Calibri" w:eastAsia="Times New Roman" w:hAnsi="Calibri" w:cs="Calibri"/>
      <w:sz w:val="20"/>
      <w:szCs w:val="20"/>
      <w:lang w:val="hy-AM" w:eastAsia="ru-RU"/>
    </w:rPr>
  </w:style>
  <w:style w:type="character" w:styleId="FootnoteReference">
    <w:name w:val="footnote reference"/>
    <w:basedOn w:val="DefaultParagraphFont"/>
    <w:uiPriority w:val="99"/>
    <w:unhideWhenUsed/>
    <w:rsid w:val="00A658BB"/>
    <w:rPr>
      <w:vertAlign w:val="superscript"/>
    </w:rPr>
  </w:style>
  <w:style w:type="character" w:customStyle="1" w:styleId="Hyperlink1">
    <w:name w:val="Hyperlink1"/>
    <w:basedOn w:val="DefaultParagraphFont"/>
    <w:uiPriority w:val="99"/>
    <w:unhideWhenUsed/>
    <w:rsid w:val="00A658BB"/>
    <w:rPr>
      <w:color w:val="0000FF"/>
      <w:u w:val="single"/>
    </w:rPr>
  </w:style>
  <w:style w:type="table" w:customStyle="1" w:styleId="TableGrid1">
    <w:name w:val="Table Grid1"/>
    <w:basedOn w:val="TableNormal"/>
    <w:next w:val="TableGrid"/>
    <w:uiPriority w:val="39"/>
    <w:rsid w:val="00A658B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semiHidden/>
    <w:unhideWhenUsed/>
    <w:rsid w:val="00A658BB"/>
    <w:rPr>
      <w:color w:val="0563C1" w:themeColor="hyperlink"/>
      <w:u w:val="single"/>
    </w:rPr>
  </w:style>
  <w:style w:type="table" w:styleId="TableGrid">
    <w:name w:val="Table Grid"/>
    <w:basedOn w:val="TableNormal"/>
    <w:uiPriority w:val="39"/>
    <w:rsid w:val="00A658B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notes.xml.rels><?xml version="1.0" encoding="UTF-8" standalone="yes"?>
<Relationships xmlns="http://schemas.openxmlformats.org/package/2006/relationships"><Relationship Id="rId8" Type="http://schemas.openxmlformats.org/officeDocument/2006/relationships/hyperlink" Target="https://vetting.md/wp-content/uploads/2023/10/Law-26-2022_amended-22.08.2023-.pdf" TargetMode="External"/><Relationship Id="rId13" Type="http://schemas.openxmlformats.org/officeDocument/2006/relationships/hyperlink" Target="https://grd.gov.ua/conclusions/" TargetMode="External"/><Relationship Id="rId3" Type="http://schemas.openxmlformats.org/officeDocument/2006/relationships/hyperlink" Target="https://prwb.am/2023/06/20/zekuyc-7/" TargetMode="External"/><Relationship Id="rId7" Type="http://schemas.openxmlformats.org/officeDocument/2006/relationships/hyperlink" Target="https://vetting.md/" TargetMode="External"/><Relationship Id="rId12" Type="http://schemas.openxmlformats.org/officeDocument/2006/relationships/hyperlink" Target="https://grd.gov.ua/" TargetMode="External"/><Relationship Id="rId17" Type="http://schemas.openxmlformats.org/officeDocument/2006/relationships/hyperlink" Target="https://www.venice.coe.int/webforms/documents/default.aspx?pdffile=CDL-AD(2021)053-e" TargetMode="External"/><Relationship Id="rId2" Type="http://schemas.openxmlformats.org/officeDocument/2006/relationships/hyperlink" Target="http://www.venice.coe.int/webforms/documents/?pdf=CDL-AD(2017)019-e" TargetMode="External"/><Relationship Id="rId16" Type="http://schemas.openxmlformats.org/officeDocument/2006/relationships/hyperlink" Target="https://rai-see.org/wp-content/uploads/2015/08/Albania_Declaration_of_Assets_Law_9049_2003_EN.pdf" TargetMode="External"/><Relationship Id="rId1" Type="http://schemas.openxmlformats.org/officeDocument/2006/relationships/hyperlink" Target="https://www.oecd-ilibrary.org/governance/baseline-report-of-the-fifth-round-of-monitoring-of-anti-corruption-reforms-in-armenia_fb158bf9-en" TargetMode="External"/><Relationship Id="rId6" Type="http://schemas.openxmlformats.org/officeDocument/2006/relationships/hyperlink" Target="https://vetting.md/wp-content/uploads/2023/10/Law-26-2022_amended-22.08.2023-.pdf" TargetMode="External"/><Relationship Id="rId11" Type="http://schemas.openxmlformats.org/officeDocument/2006/relationships/hyperlink" Target="https://vkksu.gov.ua/sites/default/files/poriadok_new.pdf" TargetMode="External"/><Relationship Id="rId5" Type="http://schemas.openxmlformats.org/officeDocument/2006/relationships/hyperlink" Target="https://www.osf.am/hy/2022/11/%D5%A2%D5%A1%D6%80%D5%B1%D6%80%D5%A1%D5%A3%D5%B8%D6%82%D5%B5%D5%B6-%D5%A4%D5%A1%D5%BF%D5%A1%D5%AF%D5%A1%D5%B6-%D5%AD%D5%B8%D6%80%D5%B0%D6%80%D5%A4%D5%AB-%D5%AF%D5%B8%D5%B2%D5%B4%D5%AB%D6%81-%D5%AF/" TargetMode="External"/><Relationship Id="rId15" Type="http://schemas.openxmlformats.org/officeDocument/2006/relationships/hyperlink" Target="https://vkksu.gov.ua/en/rubric/public-integrity-council" TargetMode="External"/><Relationship Id="rId10" Type="http://schemas.openxmlformats.org/officeDocument/2006/relationships/hyperlink" Target="https://doi.org/10.1787/9e03ebb6-en" TargetMode="External"/><Relationship Id="rId4" Type="http://schemas.openxmlformats.org/officeDocument/2006/relationships/hyperlink" Target="https://www.osf.am/hy/2020/04/statement-3-hy-2/" TargetMode="External"/><Relationship Id="rId9" Type="http://schemas.openxmlformats.org/officeDocument/2006/relationships/hyperlink" Target="https://vkksu.gov.ua/sites/default/files/field/file/lu_jst.pdf" TargetMode="External"/><Relationship Id="rId14" Type="http://schemas.openxmlformats.org/officeDocument/2006/relationships/hyperlink" Target="https://grd.gov.ua/conclusions/"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24</Pages>
  <Words>4170</Words>
  <Characters>23773</Characters>
  <Application>Microsoft Office Word</Application>
  <DocSecurity>0</DocSecurity>
  <Lines>198</Lines>
  <Paragraphs>55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27888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Eprem Karapetyan</dc:creator>
  <cp:keywords/>
  <dc:description/>
  <cp:lastModifiedBy>Eprem Karapetyan</cp:lastModifiedBy>
  <cp:revision>4</cp:revision>
  <dcterms:created xsi:type="dcterms:W3CDTF">2024-11-02T10:36:00Z</dcterms:created>
  <dcterms:modified xsi:type="dcterms:W3CDTF">2024-11-02T10:37:00Z</dcterms:modified>
</cp:coreProperties>
</file>