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9583C" w14:textId="77777777" w:rsidR="00FC33AD" w:rsidRPr="000F77A3" w:rsidRDefault="00FC33AD" w:rsidP="00EC2E6C">
      <w:pPr>
        <w:spacing w:after="0" w:line="276" w:lineRule="auto"/>
        <w:ind w:left="-567" w:right="-567" w:firstLine="567"/>
        <w:jc w:val="center"/>
        <w:rPr>
          <w:rFonts w:ascii="GHEA Grapalat" w:hAnsi="GHEA Grapalat" w:cs="Times New Roman"/>
          <w:b/>
          <w:bCs/>
          <w:kern w:val="2"/>
          <w:sz w:val="24"/>
          <w:szCs w:val="24"/>
          <w:lang w:val="en-US"/>
          <w14:ligatures w14:val="standardContextual"/>
        </w:rPr>
      </w:pPr>
      <w:r w:rsidRPr="000F77A3">
        <w:rPr>
          <w:rFonts w:ascii="GHEA Grapalat" w:hAnsi="GHEA Grapalat" w:cs="Sylfaen"/>
          <w:b/>
          <w:bCs/>
          <w:kern w:val="2"/>
          <w:sz w:val="24"/>
          <w:szCs w:val="24"/>
          <w:lang w:val="en-US"/>
          <w14:ligatures w14:val="standardContextual"/>
        </w:rPr>
        <w:t>ՀԻՄՆԱՎՈՐՈՒՄ</w:t>
      </w:r>
    </w:p>
    <w:p w14:paraId="262AB2F1" w14:textId="77777777" w:rsidR="00FC33AD" w:rsidRPr="000F77A3" w:rsidRDefault="00FC33AD" w:rsidP="00EC2E6C">
      <w:pPr>
        <w:spacing w:after="0" w:line="276" w:lineRule="auto"/>
        <w:ind w:left="-567" w:right="-567" w:firstLine="567"/>
        <w:jc w:val="center"/>
        <w:rPr>
          <w:rFonts w:ascii="GHEA Grapalat" w:hAnsi="GHEA Grapalat" w:cs="Times New Roman"/>
          <w:b/>
          <w:bCs/>
          <w:kern w:val="2"/>
          <w:sz w:val="24"/>
          <w:szCs w:val="24"/>
          <w:lang w:val="en-US"/>
          <w14:ligatures w14:val="standardContextual"/>
        </w:rPr>
      </w:pPr>
    </w:p>
    <w:p w14:paraId="07017EBC" w14:textId="5DA4111D" w:rsidR="00FC33AD" w:rsidRPr="000F77A3" w:rsidRDefault="00062A85" w:rsidP="00CD478A">
      <w:pPr>
        <w:widowControl w:val="0"/>
        <w:pBdr>
          <w:top w:val="nil"/>
          <w:left w:val="nil"/>
          <w:bottom w:val="nil"/>
          <w:right w:val="nil"/>
          <w:between w:val="nil"/>
        </w:pBdr>
        <w:spacing w:after="0" w:line="360" w:lineRule="auto"/>
        <w:ind w:right="124"/>
        <w:jc w:val="center"/>
        <w:rPr>
          <w:rFonts w:ascii="GHEA Grapalat" w:eastAsia="Times New Roman" w:hAnsi="GHEA Grapalat" w:cs="Times New Roman"/>
          <w:b/>
          <w:color w:val="000000"/>
          <w:kern w:val="2"/>
          <w:sz w:val="24"/>
          <w:szCs w:val="24"/>
          <w14:ligatures w14:val="standardContextual"/>
        </w:rPr>
      </w:pPr>
      <w:r w:rsidRPr="000F77A3">
        <w:rPr>
          <w:rFonts w:ascii="GHEA Grapalat" w:eastAsia="Times New Roman" w:hAnsi="GHEA Grapalat" w:cs="Times New Roman"/>
          <w:b/>
          <w:color w:val="000000"/>
          <w:kern w:val="2"/>
          <w:sz w:val="24"/>
          <w:szCs w:val="24"/>
          <w14:ligatures w14:val="standardContextual"/>
        </w:rPr>
        <w:t> ՔԱՂԱՔԱՑԻԱԿԱՆ ԾԱՌԱՅՈՒԹՅԱՆ ՄԱՍԻՆ» ՕՐԵՆՔՈՒՄ</w:t>
      </w:r>
      <w:r w:rsidR="00CD478A" w:rsidRPr="00CD478A">
        <w:t xml:space="preserve"> </w:t>
      </w:r>
      <w:r w:rsidR="00CD478A" w:rsidRPr="00CD478A">
        <w:rPr>
          <w:rFonts w:ascii="GHEA Grapalat" w:eastAsia="Times New Roman" w:hAnsi="GHEA Grapalat" w:cs="Times New Roman"/>
          <w:b/>
          <w:color w:val="000000"/>
          <w:kern w:val="2"/>
          <w:sz w:val="24"/>
          <w:szCs w:val="24"/>
          <w14:ligatures w14:val="standardContextual"/>
        </w:rPr>
        <w:t>ԵՎ ՀԱՐԱԿԻՑ ՕՐԵՆՔՆԵՐՈՒՄ</w:t>
      </w:r>
      <w:r w:rsidRPr="000F77A3">
        <w:rPr>
          <w:rFonts w:ascii="GHEA Grapalat" w:eastAsia="Times New Roman" w:hAnsi="GHEA Grapalat" w:cs="Times New Roman"/>
          <w:b/>
          <w:color w:val="000000"/>
          <w:kern w:val="2"/>
          <w:sz w:val="24"/>
          <w:szCs w:val="24"/>
          <w14:ligatures w14:val="standardContextual"/>
        </w:rPr>
        <w:t xml:space="preserve"> ԼՐԱՑՈՒՄՆԵՐ ԿԱՏԱՐԵԼՈՒ ՄԱՍԻՆ</w:t>
      </w:r>
      <w:r w:rsidR="007A1257">
        <w:rPr>
          <w:rFonts w:ascii="GHEA Grapalat" w:eastAsia="Times New Roman" w:hAnsi="GHEA Grapalat" w:cs="Times New Roman"/>
          <w:b/>
          <w:color w:val="000000"/>
          <w:kern w:val="2"/>
          <w:sz w:val="24"/>
          <w:szCs w:val="24"/>
          <w14:ligatures w14:val="standardContextual"/>
        </w:rPr>
        <w:t>»</w:t>
      </w:r>
      <w:r w:rsidR="00CD478A">
        <w:rPr>
          <w:rFonts w:ascii="GHEA Grapalat" w:eastAsia="Times New Roman" w:hAnsi="GHEA Grapalat" w:cs="Times New Roman"/>
          <w:b/>
          <w:color w:val="000000"/>
          <w:kern w:val="2"/>
          <w:sz w:val="24"/>
          <w:szCs w:val="24"/>
          <w14:ligatures w14:val="standardContextual"/>
        </w:rPr>
        <w:t xml:space="preserve"> </w:t>
      </w:r>
      <w:r w:rsidR="00FC33AD" w:rsidRPr="000F77A3">
        <w:rPr>
          <w:rFonts w:ascii="GHEA Grapalat" w:hAnsi="GHEA Grapalat" w:cs="Sylfaen"/>
          <w:b/>
          <w:bCs/>
          <w:kern w:val="2"/>
          <w:sz w:val="24"/>
          <w:szCs w:val="24"/>
          <w14:ligatures w14:val="standardContextual"/>
        </w:rPr>
        <w:t>ՕՐԵՆՔՆԵՐԻ</w:t>
      </w:r>
      <w:r w:rsidR="00FC33AD" w:rsidRPr="000F77A3">
        <w:rPr>
          <w:rFonts w:ascii="GHEA Grapalat" w:hAnsi="GHEA Grapalat" w:cs="Times New Roman"/>
          <w:b/>
          <w:bCs/>
          <w:kern w:val="2"/>
          <w:sz w:val="24"/>
          <w:szCs w:val="24"/>
          <w14:ligatures w14:val="standardContextual"/>
        </w:rPr>
        <w:t xml:space="preserve"> </w:t>
      </w:r>
      <w:r w:rsidR="00FC33AD" w:rsidRPr="000F77A3">
        <w:rPr>
          <w:rFonts w:ascii="GHEA Grapalat" w:hAnsi="GHEA Grapalat" w:cs="Sylfaen"/>
          <w:b/>
          <w:bCs/>
          <w:kern w:val="2"/>
          <w:sz w:val="24"/>
          <w:szCs w:val="24"/>
          <w14:ligatures w14:val="standardContextual"/>
        </w:rPr>
        <w:t>ՆԱԽԱԳԾԵՐԻ</w:t>
      </w:r>
      <w:r w:rsidR="00FC33AD" w:rsidRPr="000F77A3">
        <w:rPr>
          <w:rFonts w:ascii="GHEA Grapalat" w:hAnsi="GHEA Grapalat" w:cs="Times New Roman"/>
          <w:b/>
          <w:bCs/>
          <w:kern w:val="2"/>
          <w:sz w:val="24"/>
          <w:szCs w:val="24"/>
          <w14:ligatures w14:val="standardContextual"/>
        </w:rPr>
        <w:t xml:space="preserve"> </w:t>
      </w:r>
      <w:r w:rsidR="00FC33AD" w:rsidRPr="000F77A3">
        <w:rPr>
          <w:rFonts w:ascii="GHEA Grapalat" w:hAnsi="GHEA Grapalat" w:cs="Sylfaen"/>
          <w:b/>
          <w:bCs/>
          <w:kern w:val="2"/>
          <w:sz w:val="24"/>
          <w:szCs w:val="24"/>
          <w14:ligatures w14:val="standardContextual"/>
        </w:rPr>
        <w:t>ԸՆԴՈՒՆՄԱՆ</w:t>
      </w:r>
    </w:p>
    <w:p w14:paraId="1F4F4ADE" w14:textId="3FF7ECEE" w:rsidR="00127930" w:rsidRPr="000F77A3" w:rsidRDefault="00127930" w:rsidP="00EC2E6C">
      <w:pPr>
        <w:widowControl w:val="0"/>
        <w:pBdr>
          <w:top w:val="nil"/>
          <w:left w:val="nil"/>
          <w:bottom w:val="nil"/>
          <w:right w:val="nil"/>
          <w:between w:val="nil"/>
        </w:pBdr>
        <w:spacing w:after="0" w:line="276" w:lineRule="auto"/>
        <w:ind w:left="-567" w:right="124" w:firstLine="567"/>
        <w:jc w:val="center"/>
        <w:rPr>
          <w:rFonts w:ascii="GHEA Grapalat" w:eastAsia="Times New Roman" w:hAnsi="GHEA Grapalat" w:cs="Times New Roman"/>
          <w:b/>
          <w:color w:val="000000"/>
          <w:kern w:val="2"/>
          <w:sz w:val="24"/>
          <w:szCs w:val="24"/>
          <w14:ligatures w14:val="standardContextual"/>
        </w:rPr>
      </w:pPr>
    </w:p>
    <w:p w14:paraId="5CB121C4" w14:textId="01FCF0D7" w:rsidR="00446E55" w:rsidRDefault="00446E55" w:rsidP="007C39FE">
      <w:pPr>
        <w:spacing w:after="0" w:line="360" w:lineRule="auto"/>
        <w:rPr>
          <w:rFonts w:ascii="GHEA Grapalat" w:eastAsia="GHEA Grapalat" w:hAnsi="GHEA Grapalat" w:cs="GHEA Grapalat"/>
          <w:b/>
          <w:color w:val="000000"/>
          <w:sz w:val="24"/>
          <w:szCs w:val="24"/>
        </w:rPr>
      </w:pPr>
    </w:p>
    <w:p w14:paraId="6C618DCC" w14:textId="77777777" w:rsidR="0022497C" w:rsidRPr="0022497C" w:rsidRDefault="0022497C" w:rsidP="0022497C">
      <w:pPr>
        <w:numPr>
          <w:ilvl w:val="0"/>
          <w:numId w:val="12"/>
        </w:numPr>
        <w:spacing w:after="0" w:line="360" w:lineRule="auto"/>
        <w:rPr>
          <w:rFonts w:ascii="GHEA Grapalat" w:eastAsia="GHEA Grapalat" w:hAnsi="GHEA Grapalat" w:cs="GHEA Grapalat"/>
          <w:b/>
          <w:color w:val="000000"/>
          <w:sz w:val="24"/>
          <w:szCs w:val="24"/>
        </w:rPr>
      </w:pPr>
      <w:r w:rsidRPr="0022497C">
        <w:rPr>
          <w:rFonts w:ascii="GHEA Grapalat" w:eastAsia="GHEA Grapalat" w:hAnsi="GHEA Grapalat" w:cs="GHEA Grapalat"/>
          <w:b/>
          <w:color w:val="000000"/>
          <w:sz w:val="24"/>
          <w:szCs w:val="24"/>
        </w:rPr>
        <w:t>Իրավական ակտի ընդունման անհրաժեշտությունը</w:t>
      </w:r>
      <w:r w:rsidRPr="0022497C">
        <w:rPr>
          <w:rFonts w:ascii="Cambria Math" w:eastAsia="GHEA Grapalat" w:hAnsi="Cambria Math" w:cs="Cambria Math"/>
          <w:b/>
          <w:color w:val="000000"/>
          <w:sz w:val="24"/>
          <w:szCs w:val="24"/>
        </w:rPr>
        <w:t>․</w:t>
      </w:r>
    </w:p>
    <w:p w14:paraId="0F37C8FB" w14:textId="42B2D44E" w:rsidR="0022497C" w:rsidRDefault="00145367" w:rsidP="0015647D">
      <w:pPr>
        <w:shd w:val="clear" w:color="auto" w:fill="FFFFFF"/>
        <w:spacing w:after="0" w:line="360" w:lineRule="auto"/>
        <w:ind w:firstLine="720"/>
        <w:jc w:val="both"/>
        <w:rPr>
          <w:rFonts w:ascii="GHEA Grapalat" w:eastAsia="GHEA Grapalat" w:hAnsi="GHEA Grapalat" w:cs="GHEA Grapalat"/>
          <w:color w:val="000000"/>
          <w:sz w:val="24"/>
          <w:szCs w:val="24"/>
        </w:rPr>
      </w:pPr>
      <w:r w:rsidRPr="00145367">
        <w:rPr>
          <w:rFonts w:ascii="GHEA Grapalat" w:eastAsia="Times New Roman" w:hAnsi="GHEA Grapalat" w:cs="Times New Roman"/>
          <w:color w:val="000000"/>
          <w:kern w:val="2"/>
          <w:sz w:val="24"/>
          <w:szCs w:val="24"/>
          <w14:ligatures w14:val="standardContextual"/>
        </w:rPr>
        <w:t>Քաղաքացիական ծառայության մասին» օրենքում</w:t>
      </w:r>
      <w:r w:rsidRPr="00145367">
        <w:t xml:space="preserve"> </w:t>
      </w:r>
      <w:r w:rsidRPr="00145367">
        <w:rPr>
          <w:rFonts w:ascii="GHEA Grapalat" w:eastAsia="Times New Roman" w:hAnsi="GHEA Grapalat" w:cs="Times New Roman"/>
          <w:color w:val="000000"/>
          <w:kern w:val="2"/>
          <w:sz w:val="24"/>
          <w:szCs w:val="24"/>
          <w14:ligatures w14:val="standardContextual"/>
        </w:rPr>
        <w:t>և հարակից օրենքներում լրացումներ կատարելու մասին</w:t>
      </w:r>
      <w:r w:rsidR="007A1257">
        <w:rPr>
          <w:rFonts w:ascii="GHEA Grapalat" w:eastAsia="Times New Roman" w:hAnsi="GHEA Grapalat" w:cs="Times New Roman"/>
          <w:color w:val="000000"/>
          <w:kern w:val="2"/>
          <w:sz w:val="24"/>
          <w:szCs w:val="24"/>
          <w14:ligatures w14:val="standardContextual"/>
        </w:rPr>
        <w:t>»</w:t>
      </w:r>
      <w:r w:rsidRPr="00145367">
        <w:rPr>
          <w:rFonts w:ascii="GHEA Grapalat" w:eastAsia="Times New Roman" w:hAnsi="GHEA Grapalat" w:cs="Times New Roman"/>
          <w:color w:val="000000"/>
          <w:kern w:val="2"/>
          <w:sz w:val="24"/>
          <w:szCs w:val="24"/>
          <w14:ligatures w14:val="standardContextual"/>
        </w:rPr>
        <w:t xml:space="preserve"> </w:t>
      </w:r>
      <w:r w:rsidRPr="00145367">
        <w:rPr>
          <w:rFonts w:ascii="GHEA Grapalat" w:hAnsi="GHEA Grapalat" w:cs="Sylfaen"/>
          <w:bCs/>
          <w:kern w:val="2"/>
          <w:sz w:val="24"/>
          <w:szCs w:val="24"/>
          <w14:ligatures w14:val="standardContextual"/>
        </w:rPr>
        <w:t>օրենքների</w:t>
      </w:r>
      <w:r w:rsidRPr="00145367">
        <w:rPr>
          <w:rFonts w:ascii="GHEA Grapalat" w:hAnsi="GHEA Grapalat" w:cs="Times New Roman"/>
          <w:bCs/>
          <w:kern w:val="2"/>
          <w:sz w:val="24"/>
          <w:szCs w:val="24"/>
          <w14:ligatures w14:val="standardContextual"/>
        </w:rPr>
        <w:t xml:space="preserve"> </w:t>
      </w:r>
      <w:r w:rsidRPr="00145367">
        <w:rPr>
          <w:rFonts w:ascii="GHEA Grapalat" w:hAnsi="GHEA Grapalat" w:cs="Sylfaen"/>
          <w:bCs/>
          <w:kern w:val="2"/>
          <w:sz w:val="24"/>
          <w:szCs w:val="24"/>
          <w14:ligatures w14:val="standardContextual"/>
        </w:rPr>
        <w:t>նախագծերի</w:t>
      </w:r>
      <w:r w:rsidR="00996594">
        <w:rPr>
          <w:rFonts w:ascii="GHEA Grapalat" w:hAnsi="GHEA Grapalat" w:cs="Sylfaen"/>
          <w:bCs/>
          <w:kern w:val="2"/>
          <w:sz w:val="24"/>
          <w:szCs w:val="24"/>
          <w14:ligatures w14:val="standardContextual"/>
        </w:rPr>
        <w:t xml:space="preserve"> </w:t>
      </w:r>
      <w:r w:rsidR="00996594" w:rsidRPr="00996594">
        <w:rPr>
          <w:rFonts w:ascii="GHEA Grapalat" w:hAnsi="GHEA Grapalat" w:cs="Sylfaen"/>
          <w:bCs/>
          <w:kern w:val="2"/>
          <w:sz w:val="24"/>
          <w:szCs w:val="24"/>
          <w14:ligatures w14:val="standardContextual"/>
        </w:rPr>
        <w:t>(</w:t>
      </w:r>
      <w:r w:rsidR="00996594">
        <w:rPr>
          <w:rFonts w:ascii="GHEA Grapalat" w:hAnsi="GHEA Grapalat" w:cs="Sylfaen"/>
          <w:bCs/>
          <w:kern w:val="2"/>
          <w:sz w:val="24"/>
          <w:szCs w:val="24"/>
          <w14:ligatures w14:val="standardContextual"/>
        </w:rPr>
        <w:t>այսուհետ՝ Նախագծերի փաթեթ</w:t>
      </w:r>
      <w:r w:rsidR="00996594" w:rsidRPr="00996594">
        <w:rPr>
          <w:rFonts w:ascii="GHEA Grapalat" w:hAnsi="GHEA Grapalat" w:cs="Sylfaen"/>
          <w:bCs/>
          <w:kern w:val="2"/>
          <w:sz w:val="24"/>
          <w:szCs w:val="24"/>
          <w14:ligatures w14:val="standardContextual"/>
        </w:rPr>
        <w:t>)</w:t>
      </w:r>
      <w:r>
        <w:rPr>
          <w:rFonts w:ascii="GHEA Grapalat" w:eastAsia="GHEA Grapalat" w:hAnsi="GHEA Grapalat" w:cs="GHEA Grapalat"/>
          <w:sz w:val="24"/>
          <w:szCs w:val="24"/>
        </w:rPr>
        <w:t xml:space="preserve"> ընդունման</w:t>
      </w:r>
      <w:r w:rsidRPr="00145367">
        <w:rPr>
          <w:rFonts w:ascii="GHEA Grapalat" w:eastAsia="GHEA Grapalat" w:hAnsi="GHEA Grapalat" w:cs="GHEA Grapalat"/>
          <w:sz w:val="24"/>
          <w:szCs w:val="24"/>
        </w:rPr>
        <w:t xml:space="preserve"> </w:t>
      </w:r>
      <w:r w:rsidR="0022497C" w:rsidRPr="0022497C">
        <w:rPr>
          <w:rFonts w:ascii="GHEA Grapalat" w:eastAsia="GHEA Grapalat" w:hAnsi="GHEA Grapalat" w:cs="GHEA Grapalat"/>
          <w:sz w:val="24"/>
          <w:szCs w:val="24"/>
        </w:rPr>
        <w:t xml:space="preserve">անհրաժեշտությունը բխում է </w:t>
      </w:r>
      <w:r w:rsidR="00BC2909" w:rsidRPr="0015647D">
        <w:rPr>
          <w:rFonts w:ascii="GHEA Grapalat" w:eastAsia="GHEA Grapalat" w:hAnsi="GHEA Grapalat" w:cs="GHEA Grapalat"/>
          <w:color w:val="000000"/>
          <w:sz w:val="24"/>
          <w:szCs w:val="24"/>
        </w:rPr>
        <w:t xml:space="preserve">հանրային ծառայության </w:t>
      </w:r>
      <w:r w:rsidR="00F87B8F" w:rsidRPr="0015647D">
        <w:rPr>
          <w:rFonts w:ascii="GHEA Grapalat" w:eastAsia="GHEA Grapalat" w:hAnsi="GHEA Grapalat" w:cs="GHEA Grapalat"/>
          <w:color w:val="000000"/>
          <w:sz w:val="24"/>
          <w:szCs w:val="24"/>
        </w:rPr>
        <w:t xml:space="preserve">թափուր հաստիքների համալրման մրցութային և առաջխաղացման գործընթացներում թեկնածուների </w:t>
      </w:r>
      <w:r w:rsidR="00BC2909" w:rsidRPr="0015647D">
        <w:rPr>
          <w:rFonts w:ascii="GHEA Grapalat" w:eastAsia="GHEA Grapalat" w:hAnsi="GHEA Grapalat" w:cs="GHEA Grapalat"/>
          <w:color w:val="000000"/>
          <w:sz w:val="24"/>
          <w:szCs w:val="24"/>
        </w:rPr>
        <w:t>բարեվարքության ստուգման</w:t>
      </w:r>
      <w:r w:rsidR="007A1257">
        <w:rPr>
          <w:rFonts w:ascii="GHEA Grapalat" w:eastAsia="GHEA Grapalat" w:hAnsi="GHEA Grapalat" w:cs="GHEA Grapalat"/>
          <w:color w:val="000000"/>
          <w:sz w:val="24"/>
          <w:szCs w:val="24"/>
        </w:rPr>
        <w:t xml:space="preserve"> կառուցակարգերի</w:t>
      </w:r>
      <w:r w:rsidR="00BC2909" w:rsidRPr="0015647D">
        <w:rPr>
          <w:rFonts w:ascii="GHEA Grapalat" w:eastAsia="GHEA Grapalat" w:hAnsi="GHEA Grapalat" w:cs="GHEA Grapalat"/>
          <w:color w:val="000000"/>
          <w:sz w:val="24"/>
          <w:szCs w:val="24"/>
        </w:rPr>
        <w:t>, վերջիններիս</w:t>
      </w:r>
      <w:r w:rsidR="00F87B8F" w:rsidRPr="0015647D">
        <w:rPr>
          <w:rFonts w:ascii="GHEA Grapalat" w:eastAsia="GHEA Grapalat" w:hAnsi="GHEA Grapalat" w:cs="GHEA Grapalat"/>
          <w:color w:val="000000"/>
          <w:sz w:val="24"/>
          <w:szCs w:val="24"/>
        </w:rPr>
        <w:t xml:space="preserve"> ստուգելու համար կիրառվո</w:t>
      </w:r>
      <w:r w:rsidR="00BC2909" w:rsidRPr="0015647D">
        <w:rPr>
          <w:rFonts w:ascii="GHEA Grapalat" w:eastAsia="GHEA Grapalat" w:hAnsi="GHEA Grapalat" w:cs="GHEA Grapalat"/>
          <w:color w:val="000000"/>
          <w:sz w:val="24"/>
          <w:szCs w:val="24"/>
        </w:rPr>
        <w:t xml:space="preserve">ղ </w:t>
      </w:r>
      <w:r w:rsidR="00F87B8F" w:rsidRPr="0015647D">
        <w:rPr>
          <w:rFonts w:ascii="GHEA Grapalat" w:eastAsia="GHEA Grapalat" w:hAnsi="GHEA Grapalat" w:cs="GHEA Grapalat"/>
          <w:color w:val="000000"/>
          <w:sz w:val="24"/>
          <w:szCs w:val="24"/>
        </w:rPr>
        <w:t>գրավոր/բանավոր առաջադրանքներ</w:t>
      </w:r>
      <w:r w:rsidR="00BC2909" w:rsidRPr="0015647D">
        <w:rPr>
          <w:rFonts w:ascii="GHEA Grapalat" w:eastAsia="GHEA Grapalat" w:hAnsi="GHEA Grapalat" w:cs="GHEA Grapalat"/>
          <w:color w:val="000000"/>
          <w:sz w:val="24"/>
          <w:szCs w:val="24"/>
        </w:rPr>
        <w:t>ի</w:t>
      </w:r>
      <w:r w:rsidR="00F87B8F" w:rsidRPr="0015647D">
        <w:rPr>
          <w:rFonts w:ascii="GHEA Grapalat" w:eastAsia="GHEA Grapalat" w:hAnsi="GHEA Grapalat" w:cs="GHEA Grapalat"/>
          <w:color w:val="000000"/>
          <w:sz w:val="24"/>
          <w:szCs w:val="24"/>
        </w:rPr>
        <w:t xml:space="preserve">, </w:t>
      </w:r>
      <w:r w:rsidR="00BC2909" w:rsidRPr="0015647D">
        <w:rPr>
          <w:rFonts w:ascii="GHEA Grapalat" w:eastAsia="GHEA Grapalat" w:hAnsi="GHEA Grapalat" w:cs="GHEA Grapalat"/>
          <w:color w:val="000000"/>
          <w:sz w:val="24"/>
          <w:szCs w:val="24"/>
        </w:rPr>
        <w:t xml:space="preserve">ինչպես նաև </w:t>
      </w:r>
      <w:r w:rsidR="00F87B8F" w:rsidRPr="0015647D">
        <w:rPr>
          <w:rFonts w:ascii="GHEA Grapalat" w:eastAsia="GHEA Grapalat" w:hAnsi="GHEA Grapalat" w:cs="GHEA Grapalat"/>
          <w:color w:val="000000"/>
          <w:sz w:val="24"/>
          <w:szCs w:val="24"/>
        </w:rPr>
        <w:t xml:space="preserve">հանրային </w:t>
      </w:r>
      <w:r w:rsidR="00BC2909" w:rsidRPr="0015647D">
        <w:rPr>
          <w:rFonts w:ascii="GHEA Grapalat" w:eastAsia="GHEA Grapalat" w:hAnsi="GHEA Grapalat" w:cs="GHEA Grapalat"/>
          <w:color w:val="000000"/>
          <w:sz w:val="24"/>
          <w:szCs w:val="24"/>
        </w:rPr>
        <w:t>պաշտոն</w:t>
      </w:r>
      <w:r w:rsidR="00F87B8F" w:rsidRPr="0015647D">
        <w:rPr>
          <w:rFonts w:ascii="GHEA Grapalat" w:eastAsia="GHEA Grapalat" w:hAnsi="GHEA Grapalat" w:cs="GHEA Grapalat"/>
          <w:color w:val="000000"/>
          <w:sz w:val="24"/>
          <w:szCs w:val="24"/>
        </w:rPr>
        <w:t xml:space="preserve"> ստանձնելու կամ առաջխաղացման համար թեկնածուների բարեվարքության գնահատման չափորոշիչներ</w:t>
      </w:r>
      <w:r w:rsidR="00B1198B" w:rsidRPr="0015647D">
        <w:rPr>
          <w:rFonts w:ascii="GHEA Grapalat" w:eastAsia="GHEA Grapalat" w:hAnsi="GHEA Grapalat" w:cs="GHEA Grapalat"/>
          <w:color w:val="000000"/>
          <w:sz w:val="24"/>
          <w:szCs w:val="24"/>
        </w:rPr>
        <w:t xml:space="preserve">ի ներդրման </w:t>
      </w:r>
      <w:r w:rsidR="0015647D" w:rsidRPr="0015647D">
        <w:rPr>
          <w:rFonts w:ascii="GHEA Grapalat" w:eastAsia="GHEA Grapalat" w:hAnsi="GHEA Grapalat" w:cs="GHEA Grapalat"/>
          <w:color w:val="000000"/>
          <w:sz w:val="24"/>
          <w:szCs w:val="24"/>
        </w:rPr>
        <w:t>պահանջից:</w:t>
      </w:r>
    </w:p>
    <w:p w14:paraId="45B8689C" w14:textId="3F468A76" w:rsidR="00756F4B" w:rsidRPr="00756F4B" w:rsidRDefault="00756F4B" w:rsidP="00756F4B">
      <w:pPr>
        <w:pStyle w:val="ListParagraph"/>
        <w:numPr>
          <w:ilvl w:val="0"/>
          <w:numId w:val="12"/>
        </w:numPr>
        <w:tabs>
          <w:tab w:val="left" w:pos="540"/>
          <w:tab w:val="left" w:pos="990"/>
          <w:tab w:val="left" w:pos="1080"/>
          <w:tab w:val="left" w:pos="1170"/>
        </w:tabs>
        <w:spacing w:after="0" w:line="360" w:lineRule="auto"/>
        <w:jc w:val="both"/>
        <w:rPr>
          <w:rFonts w:ascii="GHEA Grapalat" w:eastAsia="GHEA Grapalat" w:hAnsi="GHEA Grapalat" w:cs="GHEA Grapalat"/>
          <w:b/>
          <w:color w:val="000000"/>
          <w:sz w:val="24"/>
          <w:szCs w:val="24"/>
        </w:rPr>
      </w:pPr>
      <w:r w:rsidRPr="00756F4B">
        <w:rPr>
          <w:rFonts w:ascii="GHEA Grapalat" w:eastAsia="GHEA Grapalat" w:hAnsi="GHEA Grapalat" w:cs="GHEA Grapalat"/>
          <w:b/>
          <w:color w:val="000000"/>
          <w:sz w:val="24"/>
          <w:szCs w:val="24"/>
        </w:rPr>
        <w:t>Կապը ռազմավարական փաստաթղթերի հետ.</w:t>
      </w:r>
      <w:r w:rsidR="00C73664">
        <w:rPr>
          <w:rFonts w:ascii="GHEA Grapalat" w:eastAsia="GHEA Grapalat" w:hAnsi="GHEA Grapalat" w:cs="GHEA Grapalat"/>
          <w:b/>
          <w:color w:val="000000"/>
          <w:sz w:val="24"/>
          <w:szCs w:val="24"/>
        </w:rPr>
        <w:t xml:space="preserve"> </w:t>
      </w:r>
    </w:p>
    <w:p w14:paraId="4E91F852" w14:textId="45BE1F85" w:rsidR="00756F4B" w:rsidRPr="00756F4B" w:rsidRDefault="00996594" w:rsidP="00756F4B">
      <w:pPr>
        <w:spacing w:after="0" w:line="360" w:lineRule="auto"/>
        <w:ind w:firstLine="720"/>
        <w:jc w:val="both"/>
        <w:rPr>
          <w:rFonts w:ascii="GHEA Grapalat" w:eastAsiaTheme="minorHAnsi" w:hAnsi="GHEA Grapalat" w:cstheme="minorBidi"/>
          <w:noProof/>
          <w:sz w:val="24"/>
          <w:szCs w:val="24"/>
        </w:rPr>
      </w:pPr>
      <w:r>
        <w:rPr>
          <w:rFonts w:ascii="GHEA Grapalat" w:hAnsi="GHEA Grapalat" w:cs="Sylfaen"/>
          <w:bCs/>
          <w:kern w:val="2"/>
          <w:sz w:val="24"/>
          <w:szCs w:val="24"/>
          <w14:ligatures w14:val="standardContextual"/>
        </w:rPr>
        <w:t>Նախագծերի փաթեթ</w:t>
      </w:r>
      <w:r>
        <w:rPr>
          <w:rFonts w:ascii="GHEA Grapalat" w:hAnsi="GHEA Grapalat" w:cs="Sylfaen"/>
          <w:bCs/>
          <w:kern w:val="2"/>
          <w:sz w:val="24"/>
          <w:szCs w:val="24"/>
          <w14:ligatures w14:val="standardContextual"/>
        </w:rPr>
        <w:t>ի</w:t>
      </w:r>
      <w:r w:rsidRPr="00756F4B">
        <w:rPr>
          <w:rFonts w:ascii="GHEA Grapalat" w:eastAsiaTheme="minorHAnsi" w:hAnsi="GHEA Grapalat" w:cstheme="minorBidi"/>
          <w:noProof/>
          <w:sz w:val="24"/>
          <w:szCs w:val="24"/>
        </w:rPr>
        <w:t xml:space="preserve"> </w:t>
      </w:r>
      <w:r>
        <w:rPr>
          <w:rFonts w:ascii="GHEA Grapalat" w:eastAsiaTheme="minorHAnsi" w:hAnsi="GHEA Grapalat" w:cstheme="minorBidi"/>
          <w:noProof/>
          <w:sz w:val="24"/>
          <w:szCs w:val="24"/>
        </w:rPr>
        <w:t>ը</w:t>
      </w:r>
      <w:r w:rsidR="00756F4B" w:rsidRPr="00756F4B">
        <w:rPr>
          <w:rFonts w:ascii="GHEA Grapalat" w:eastAsiaTheme="minorHAnsi" w:hAnsi="GHEA Grapalat" w:cstheme="minorBidi"/>
          <w:noProof/>
          <w:sz w:val="24"/>
          <w:szCs w:val="24"/>
        </w:rPr>
        <w:t xml:space="preserve">նդունումը բխում է «Հայաստանի Հանրապետության հակակոռուպցիոն </w:t>
      </w:r>
      <w:r>
        <w:rPr>
          <w:rFonts w:ascii="GHEA Grapalat" w:eastAsiaTheme="minorHAnsi" w:hAnsi="GHEA Grapalat" w:cstheme="minorBidi"/>
          <w:noProof/>
          <w:sz w:val="24"/>
          <w:szCs w:val="24"/>
        </w:rPr>
        <w:t>ռազմավարությունը և դրանից</w:t>
      </w:r>
      <w:r w:rsidR="00756F4B" w:rsidRPr="00756F4B">
        <w:rPr>
          <w:rFonts w:ascii="GHEA Grapalat" w:eastAsiaTheme="minorHAnsi" w:hAnsi="GHEA Grapalat" w:cstheme="minorBidi"/>
          <w:noProof/>
          <w:sz w:val="24"/>
          <w:szCs w:val="24"/>
        </w:rPr>
        <w:t xml:space="preserve"> բխող 2023-2026 թվականների գործողությունների ծրագիրը հաստատելու մասին»  ՀՀ կառավարության 2023 թվականի հոկտեմբերի 26-ի</w:t>
      </w:r>
      <w:r w:rsidR="00E4556C">
        <w:rPr>
          <w:rFonts w:ascii="GHEA Grapalat" w:eastAsiaTheme="minorHAnsi" w:hAnsi="GHEA Grapalat" w:cstheme="minorBidi"/>
          <w:noProof/>
          <w:sz w:val="24"/>
          <w:szCs w:val="24"/>
        </w:rPr>
        <w:t xml:space="preserve"> թիվ</w:t>
      </w:r>
      <w:r w:rsidR="00756F4B" w:rsidRPr="00756F4B">
        <w:rPr>
          <w:rFonts w:ascii="GHEA Grapalat" w:eastAsiaTheme="minorHAnsi" w:hAnsi="GHEA Grapalat" w:cstheme="minorBidi"/>
          <w:noProof/>
          <w:sz w:val="24"/>
          <w:szCs w:val="24"/>
        </w:rPr>
        <w:t xml:space="preserve"> 1871-Լ որոշման </w:t>
      </w:r>
      <w:r w:rsidR="00E4556C" w:rsidRPr="00E4556C">
        <w:rPr>
          <w:rFonts w:ascii="GHEA Grapalat" w:eastAsiaTheme="minorHAnsi" w:hAnsi="GHEA Grapalat" w:cstheme="minorBidi"/>
          <w:noProof/>
          <w:sz w:val="24"/>
          <w:szCs w:val="24"/>
        </w:rPr>
        <w:t>(</w:t>
      </w:r>
      <w:r w:rsidR="00E4556C">
        <w:rPr>
          <w:rFonts w:ascii="GHEA Grapalat" w:eastAsiaTheme="minorHAnsi" w:hAnsi="GHEA Grapalat" w:cstheme="minorBidi"/>
          <w:noProof/>
          <w:sz w:val="24"/>
          <w:szCs w:val="24"/>
        </w:rPr>
        <w:t>այսուհետ՝ Հակակոռուպցիոն ռազմավարություն</w:t>
      </w:r>
      <w:r w:rsidR="00E4556C" w:rsidRPr="00E4556C">
        <w:rPr>
          <w:rFonts w:ascii="GHEA Grapalat" w:eastAsiaTheme="minorHAnsi" w:hAnsi="GHEA Grapalat" w:cstheme="minorBidi"/>
          <w:noProof/>
          <w:sz w:val="24"/>
          <w:szCs w:val="24"/>
        </w:rPr>
        <w:t>)</w:t>
      </w:r>
      <w:r w:rsidR="00E4556C">
        <w:rPr>
          <w:rFonts w:ascii="GHEA Grapalat" w:eastAsiaTheme="minorHAnsi" w:hAnsi="GHEA Grapalat" w:cstheme="minorBidi"/>
          <w:noProof/>
          <w:sz w:val="24"/>
          <w:szCs w:val="24"/>
        </w:rPr>
        <w:t xml:space="preserve"> </w:t>
      </w:r>
      <w:r w:rsidR="00756F4B" w:rsidRPr="00756F4B">
        <w:rPr>
          <w:rFonts w:ascii="GHEA Grapalat" w:eastAsiaTheme="minorHAnsi" w:hAnsi="GHEA Grapalat" w:cstheme="minorBidi"/>
          <w:noProof/>
          <w:sz w:val="24"/>
          <w:szCs w:val="24"/>
        </w:rPr>
        <w:t>հավելված 2-ի 1</w:t>
      </w:r>
      <w:r w:rsidR="00756F4B" w:rsidRPr="00756F4B">
        <w:rPr>
          <w:rFonts w:ascii="Cambria Math" w:eastAsiaTheme="minorHAnsi" w:hAnsi="Cambria Math" w:cs="Cambria Math"/>
          <w:noProof/>
          <w:sz w:val="24"/>
          <w:szCs w:val="24"/>
        </w:rPr>
        <w:t>․</w:t>
      </w:r>
      <w:r w:rsidR="00756F4B" w:rsidRPr="00756F4B">
        <w:rPr>
          <w:rFonts w:ascii="GHEA Grapalat" w:eastAsiaTheme="minorHAnsi" w:hAnsi="GHEA Grapalat" w:cstheme="minorBidi"/>
          <w:noProof/>
          <w:sz w:val="24"/>
          <w:szCs w:val="24"/>
        </w:rPr>
        <w:t>14-րդ գործողությ</w:t>
      </w:r>
      <w:r w:rsidR="00C00456">
        <w:rPr>
          <w:rFonts w:ascii="GHEA Grapalat" w:eastAsiaTheme="minorHAnsi" w:hAnsi="GHEA Grapalat" w:cstheme="minorBidi"/>
          <w:noProof/>
          <w:sz w:val="24"/>
          <w:szCs w:val="24"/>
        </w:rPr>
        <w:t>ան</w:t>
      </w:r>
      <w:r w:rsidR="00152AF1">
        <w:rPr>
          <w:rFonts w:ascii="GHEA Grapalat" w:eastAsiaTheme="minorHAnsi" w:hAnsi="GHEA Grapalat" w:cstheme="minorBidi"/>
          <w:noProof/>
          <w:sz w:val="24"/>
          <w:szCs w:val="24"/>
        </w:rPr>
        <w:t>` 2024թ. երկրորդ կիսամյակի համար նախատեսված կատարողական</w:t>
      </w:r>
      <w:r w:rsidR="008C3A59">
        <w:rPr>
          <w:rFonts w:ascii="GHEA Grapalat" w:eastAsiaTheme="minorHAnsi" w:hAnsi="GHEA Grapalat" w:cstheme="minorBidi"/>
          <w:noProof/>
          <w:sz w:val="24"/>
          <w:szCs w:val="24"/>
        </w:rPr>
        <w:t>ի</w:t>
      </w:r>
      <w:r w:rsidR="00152AF1">
        <w:rPr>
          <w:rFonts w:ascii="GHEA Grapalat" w:eastAsiaTheme="minorHAnsi" w:hAnsi="GHEA Grapalat" w:cstheme="minorBidi"/>
          <w:noProof/>
          <w:sz w:val="24"/>
          <w:szCs w:val="24"/>
        </w:rPr>
        <w:t xml:space="preserve"> թիրախից</w:t>
      </w:r>
      <w:r w:rsidR="00756F4B" w:rsidRPr="00756F4B">
        <w:rPr>
          <w:rFonts w:ascii="GHEA Grapalat" w:eastAsiaTheme="minorHAnsi" w:hAnsi="GHEA Grapalat" w:cstheme="minorBidi"/>
          <w:noProof/>
          <w:sz w:val="24"/>
          <w:szCs w:val="24"/>
        </w:rPr>
        <w:t>:</w:t>
      </w:r>
    </w:p>
    <w:p w14:paraId="7D091EC6" w14:textId="51173AD7" w:rsidR="0076707C" w:rsidRPr="0076707C" w:rsidRDefault="00161FF6" w:rsidP="0076707C">
      <w:pPr>
        <w:pStyle w:val="ListParagraph"/>
        <w:numPr>
          <w:ilvl w:val="0"/>
          <w:numId w:val="12"/>
        </w:numPr>
        <w:shd w:val="clear" w:color="auto" w:fill="FFFFFF"/>
        <w:rPr>
          <w:rFonts w:ascii="Cambria Math" w:eastAsia="GHEA Grapalat" w:hAnsi="Cambria Math" w:cs="Cambria Math"/>
          <w:b/>
          <w:color w:val="000000"/>
          <w:sz w:val="24"/>
          <w:szCs w:val="24"/>
        </w:rPr>
      </w:pPr>
      <w:r w:rsidRPr="00161FF6">
        <w:rPr>
          <w:rFonts w:ascii="GHEA Grapalat" w:eastAsia="GHEA Grapalat" w:hAnsi="GHEA Grapalat" w:cs="GHEA Grapalat"/>
          <w:b/>
          <w:color w:val="000000"/>
          <w:sz w:val="24"/>
          <w:szCs w:val="24"/>
        </w:rPr>
        <w:t>Ընթացիկ իրավիճակը և խնդիրները</w:t>
      </w:r>
      <w:r w:rsidRPr="00161FF6">
        <w:rPr>
          <w:rFonts w:ascii="Cambria Math" w:eastAsia="GHEA Grapalat" w:hAnsi="Cambria Math" w:cs="Cambria Math"/>
          <w:b/>
          <w:color w:val="000000"/>
          <w:sz w:val="24"/>
          <w:szCs w:val="24"/>
        </w:rPr>
        <w:t>․</w:t>
      </w:r>
    </w:p>
    <w:p w14:paraId="167BE086" w14:textId="409F5A4C" w:rsidR="00CF6990" w:rsidRDefault="0076707C" w:rsidP="00CF6990">
      <w:pPr>
        <w:spacing w:after="0" w:line="360" w:lineRule="auto"/>
        <w:ind w:firstLine="720"/>
        <w:jc w:val="both"/>
        <w:rPr>
          <w:rFonts w:ascii="GHEA Grapalat" w:eastAsiaTheme="minorHAnsi" w:hAnsi="GHEA Grapalat" w:cstheme="minorBidi"/>
          <w:noProof/>
          <w:sz w:val="24"/>
          <w:szCs w:val="24"/>
        </w:rPr>
      </w:pPr>
      <w:r w:rsidRPr="007C39FE">
        <w:rPr>
          <w:rFonts w:ascii="GHEA Grapalat" w:eastAsiaTheme="minorHAnsi" w:hAnsi="GHEA Grapalat" w:cstheme="minorBidi"/>
          <w:noProof/>
          <w:sz w:val="24"/>
          <w:szCs w:val="24"/>
        </w:rPr>
        <w:t>Բարեվարքության ստուգման կառուցակարգեր ՀՀ-ում ներդրվել են դեռևս 2020 թվականի մարտի 25-ին իրականացված օրենսդրական փոփոխություններով</w:t>
      </w:r>
      <w:r w:rsidR="00CF6990">
        <w:rPr>
          <w:rFonts w:ascii="GHEA Grapalat" w:eastAsiaTheme="minorHAnsi" w:hAnsi="GHEA Grapalat" w:cstheme="minorBidi"/>
          <w:noProof/>
          <w:sz w:val="24"/>
          <w:szCs w:val="24"/>
        </w:rPr>
        <w:t>,</w:t>
      </w:r>
      <w:r w:rsidR="00CF6990" w:rsidRPr="00CF6990">
        <w:rPr>
          <w:rFonts w:ascii="GHEA Grapalat" w:eastAsiaTheme="minorHAnsi" w:hAnsi="GHEA Grapalat" w:cstheme="minorBidi"/>
          <w:noProof/>
          <w:sz w:val="24"/>
          <w:szCs w:val="24"/>
        </w:rPr>
        <w:t xml:space="preserve"> մասնավորապես</w:t>
      </w:r>
      <w:r w:rsidR="00CF6990">
        <w:rPr>
          <w:rFonts w:ascii="GHEA Grapalat" w:eastAsiaTheme="minorHAnsi" w:hAnsi="GHEA Grapalat" w:cstheme="minorBidi"/>
          <w:noProof/>
          <w:sz w:val="24"/>
          <w:szCs w:val="24"/>
        </w:rPr>
        <w:t>`</w:t>
      </w:r>
      <w:r w:rsidR="00CF6990" w:rsidRPr="00CF6990">
        <w:rPr>
          <w:rFonts w:ascii="GHEA Grapalat" w:eastAsiaTheme="minorHAnsi" w:hAnsi="GHEA Grapalat" w:cstheme="minorBidi"/>
          <w:noProof/>
          <w:sz w:val="24"/>
          <w:szCs w:val="24"/>
        </w:rPr>
        <w:t xml:space="preserve"> 2020 թվականի մարտի 25-</w:t>
      </w:r>
      <w:r w:rsidR="00187F03">
        <w:rPr>
          <w:rFonts w:ascii="GHEA Grapalat" w:eastAsiaTheme="minorHAnsi" w:hAnsi="GHEA Grapalat" w:cstheme="minorBidi"/>
          <w:noProof/>
          <w:sz w:val="24"/>
          <w:szCs w:val="24"/>
        </w:rPr>
        <w:t>ի</w:t>
      </w:r>
      <w:r w:rsidR="00CF6990" w:rsidRPr="00CF6990">
        <w:rPr>
          <w:rFonts w:ascii="GHEA Grapalat" w:eastAsiaTheme="minorHAnsi" w:hAnsi="GHEA Grapalat" w:cstheme="minorBidi"/>
          <w:noProof/>
          <w:sz w:val="24"/>
          <w:szCs w:val="24"/>
        </w:rPr>
        <w:t xml:space="preserve"> «Հայաստանի Հանրապետության դատական օրենսգիրք» սահմանադրական օրենքում և հարակից իրավական ակտերում իրականացված </w:t>
      </w:r>
      <w:r w:rsidR="00CF6990" w:rsidRPr="00CF6990">
        <w:rPr>
          <w:rFonts w:ascii="GHEA Grapalat" w:eastAsiaTheme="minorHAnsi" w:hAnsi="GHEA Grapalat" w:cstheme="minorBidi"/>
          <w:noProof/>
          <w:sz w:val="24"/>
          <w:szCs w:val="24"/>
        </w:rPr>
        <w:lastRenderedPageBreak/>
        <w:t>օրենսդրական փոփոխություններով: Օրենսդրական փոփոխությունների արդյունքում առաջին անգամ նախատեսվեցին բարեվարքության գնահատման կառուցակարգեր դատավորների թեկնածուների համար: Հետագա օրենսդրական փոփոխություններով բարեվարքության գնահատման կառուցակարգեր նախատեսվեցին դատախազների թեկնածուների, Հակակոռուպցիոն կոմիտեի ծառայողների թեկնածուների և այլ պաշտոնատար անձանց համար: Բարեվարքության ուսումնասիրություն են անցնում ինչպես որոշակի պաշտոնների հավակնող թեկնածուները, այնպես էլ այն դատավորները և դատախազները, որոնք ենթակա են առաջխաղացման:</w:t>
      </w:r>
    </w:p>
    <w:p w14:paraId="1782E116" w14:textId="09174973" w:rsidR="0076707C" w:rsidRDefault="0018524F" w:rsidP="00CD588D">
      <w:pPr>
        <w:spacing w:after="0" w:line="360" w:lineRule="auto"/>
        <w:ind w:firstLine="720"/>
        <w:jc w:val="both"/>
        <w:rPr>
          <w:rFonts w:ascii="GHEA Grapalat" w:hAnsi="GHEA Grapalat" w:cs="Arian AMU"/>
          <w:kern w:val="2"/>
          <w:sz w:val="24"/>
          <w:szCs w:val="24"/>
          <w14:ligatures w14:val="standardContextual"/>
        </w:rPr>
      </w:pPr>
      <w:r w:rsidRPr="007C39FE">
        <w:rPr>
          <w:rFonts w:ascii="GHEA Grapalat" w:hAnsi="GHEA Grapalat" w:cs="Arian AMU"/>
          <w:kern w:val="2"/>
          <w:sz w:val="24"/>
          <w:szCs w:val="24"/>
          <w14:ligatures w14:val="standardContextual"/>
        </w:rPr>
        <w:t xml:space="preserve">2024 թվականի ապրիլի 11-ին իրականացված օրենսդրական փոփոխություններով բարեվարքության ստուգման կառուցակարգեր նախատեսվել են Քննչական կոմիտեում ինքնավար պաշտոնի թեկնածուների համար, ինչպես նաև Քննչական կոմիտեում, Հակակոռուպցիոն կոմիտեում առաջխաղացման ենթակա ինքնավար պաշտոնների համար: Միաժամանակ, ներդրվել է ընթացիկ բարեվարքության ուսումնասիրության կառուցակարգեր դատավորների դատախազների և քննչական մարմիններում ինքնավար պաշտոններ զբաղեցնող անձանց համար: </w:t>
      </w:r>
    </w:p>
    <w:p w14:paraId="181F9F95" w14:textId="7A77826C" w:rsidR="00D80EFD" w:rsidRPr="007C39FE" w:rsidRDefault="00DA23C7" w:rsidP="00D80EFD">
      <w:pPr>
        <w:spacing w:after="0" w:line="360" w:lineRule="auto"/>
        <w:ind w:firstLine="567"/>
        <w:jc w:val="both"/>
        <w:rPr>
          <w:rFonts w:ascii="GHEA Grapalat" w:hAnsi="GHEA Grapalat"/>
          <w:sz w:val="24"/>
          <w:szCs w:val="24"/>
        </w:rPr>
      </w:pPr>
      <w:r>
        <w:rPr>
          <w:rFonts w:ascii="GHEA Grapalat" w:hAnsi="GHEA Grapalat" w:cs="Arian AMU"/>
          <w:kern w:val="2"/>
          <w:sz w:val="24"/>
          <w:szCs w:val="24"/>
          <w14:ligatures w14:val="standardContextual"/>
        </w:rPr>
        <w:t>Միաժամանակ, բացակայում էին հանրային ծառայության</w:t>
      </w:r>
      <w:r w:rsidR="002D0E03">
        <w:rPr>
          <w:rFonts w:ascii="GHEA Grapalat" w:hAnsi="GHEA Grapalat" w:cs="Arian AMU"/>
          <w:kern w:val="2"/>
          <w:sz w:val="24"/>
          <w:szCs w:val="24"/>
          <w14:ligatures w14:val="standardContextual"/>
        </w:rPr>
        <w:t xml:space="preserve"> մեջ ընդգրկված պետական ծառայության</w:t>
      </w:r>
      <w:r>
        <w:rPr>
          <w:rFonts w:ascii="GHEA Grapalat" w:hAnsi="GHEA Grapalat" w:cs="Arian AMU"/>
          <w:kern w:val="2"/>
          <w:sz w:val="24"/>
          <w:szCs w:val="24"/>
          <w14:ligatures w14:val="standardContextual"/>
        </w:rPr>
        <w:t xml:space="preserve"> տեսակներում</w:t>
      </w:r>
      <w:r w:rsidR="002D0E03">
        <w:rPr>
          <w:rFonts w:ascii="GHEA Grapalat" w:hAnsi="GHEA Grapalat" w:cs="Arian AMU"/>
          <w:kern w:val="2"/>
          <w:sz w:val="24"/>
          <w:szCs w:val="24"/>
          <w14:ligatures w14:val="standardContextual"/>
        </w:rPr>
        <w:t xml:space="preserve">, ինչպես նաև համայնքային ծառայության մեջ </w:t>
      </w:r>
      <w:r w:rsidR="003225B7" w:rsidRPr="0015647D">
        <w:rPr>
          <w:rFonts w:ascii="GHEA Grapalat" w:eastAsia="GHEA Grapalat" w:hAnsi="GHEA Grapalat" w:cs="GHEA Grapalat"/>
          <w:color w:val="000000"/>
          <w:sz w:val="24"/>
          <w:szCs w:val="24"/>
        </w:rPr>
        <w:t xml:space="preserve">թափուր հաստիքների համալրման մրցութային և առաջխաղացման գործընթացներում թեկնածուների </w:t>
      </w:r>
      <w:r w:rsidR="002D0E03">
        <w:rPr>
          <w:rFonts w:ascii="GHEA Grapalat" w:hAnsi="GHEA Grapalat" w:cs="Arian AMU"/>
          <w:kern w:val="2"/>
          <w:sz w:val="24"/>
          <w:szCs w:val="24"/>
          <w14:ligatures w14:val="standardContextual"/>
        </w:rPr>
        <w:t xml:space="preserve">բարեվարքության </w:t>
      </w:r>
      <w:r w:rsidR="003225B7" w:rsidRPr="0015647D">
        <w:rPr>
          <w:rFonts w:ascii="GHEA Grapalat" w:eastAsia="GHEA Grapalat" w:hAnsi="GHEA Grapalat" w:cs="GHEA Grapalat"/>
          <w:color w:val="000000"/>
          <w:sz w:val="24"/>
          <w:szCs w:val="24"/>
        </w:rPr>
        <w:t>ստուգման</w:t>
      </w:r>
      <w:r w:rsidR="003225B7">
        <w:rPr>
          <w:rFonts w:ascii="GHEA Grapalat" w:eastAsia="GHEA Grapalat" w:hAnsi="GHEA Grapalat" w:cs="GHEA Grapalat"/>
          <w:color w:val="000000"/>
          <w:sz w:val="24"/>
          <w:szCs w:val="24"/>
        </w:rPr>
        <w:t xml:space="preserve"> </w:t>
      </w:r>
      <w:r w:rsidR="003225B7">
        <w:rPr>
          <w:rFonts w:ascii="GHEA Grapalat" w:eastAsia="GHEA Grapalat" w:hAnsi="GHEA Grapalat" w:cs="GHEA Grapalat"/>
          <w:color w:val="000000"/>
          <w:sz w:val="24"/>
          <w:szCs w:val="24"/>
        </w:rPr>
        <w:t>կառուցակարգերը</w:t>
      </w:r>
      <w:r w:rsidR="00DE1E5E">
        <w:rPr>
          <w:rFonts w:ascii="GHEA Grapalat" w:eastAsia="GHEA Grapalat" w:hAnsi="GHEA Grapalat" w:cs="GHEA Grapalat"/>
          <w:color w:val="000000"/>
          <w:sz w:val="24"/>
          <w:szCs w:val="24"/>
        </w:rPr>
        <w:t xml:space="preserve">: </w:t>
      </w:r>
      <w:r w:rsidR="00D80EFD">
        <w:rPr>
          <w:rFonts w:ascii="GHEA Grapalat" w:eastAsia="GHEA Grapalat" w:hAnsi="GHEA Grapalat" w:cs="GHEA Grapalat"/>
          <w:color w:val="000000"/>
          <w:sz w:val="24"/>
          <w:szCs w:val="24"/>
        </w:rPr>
        <w:t xml:space="preserve">Մինչդեռ </w:t>
      </w:r>
      <w:r w:rsidR="00D80EFD">
        <w:rPr>
          <w:rFonts w:ascii="GHEA Grapalat" w:hAnsi="GHEA Grapalat"/>
          <w:sz w:val="24"/>
          <w:szCs w:val="24"/>
        </w:rPr>
        <w:t>հանրային</w:t>
      </w:r>
      <w:r w:rsidR="00D80EFD" w:rsidRPr="007C39FE">
        <w:rPr>
          <w:rFonts w:ascii="GHEA Grapalat" w:hAnsi="GHEA Grapalat"/>
          <w:sz w:val="24"/>
          <w:szCs w:val="24"/>
        </w:rPr>
        <w:t xml:space="preserve"> ծառայողների բարեվարքության </w:t>
      </w:r>
      <w:r w:rsidR="00D80EFD">
        <w:rPr>
          <w:rFonts w:ascii="GHEA Grapalat" w:hAnsi="GHEA Grapalat"/>
          <w:sz w:val="24"/>
          <w:szCs w:val="24"/>
        </w:rPr>
        <w:t>ստուգման կառո</w:t>
      </w:r>
      <w:r w:rsidR="00693CA3">
        <w:rPr>
          <w:rFonts w:ascii="GHEA Grapalat" w:hAnsi="GHEA Grapalat"/>
          <w:sz w:val="24"/>
          <w:szCs w:val="24"/>
        </w:rPr>
        <w:t>ւցակարգերն</w:t>
      </w:r>
      <w:r w:rsidR="00D80EFD">
        <w:rPr>
          <w:rFonts w:ascii="GHEA Grapalat" w:hAnsi="GHEA Grapalat"/>
          <w:sz w:val="24"/>
          <w:szCs w:val="24"/>
        </w:rPr>
        <w:t xml:space="preserve"> </w:t>
      </w:r>
      <w:r w:rsidR="00D80EFD" w:rsidRPr="007C39FE">
        <w:rPr>
          <w:rFonts w:ascii="GHEA Grapalat" w:hAnsi="GHEA Grapalat"/>
          <w:sz w:val="24"/>
          <w:szCs w:val="24"/>
        </w:rPr>
        <w:t xml:space="preserve">ուղղված </w:t>
      </w:r>
      <w:r w:rsidR="00D80EFD">
        <w:rPr>
          <w:rFonts w:ascii="GHEA Grapalat" w:hAnsi="GHEA Grapalat"/>
          <w:sz w:val="24"/>
          <w:szCs w:val="24"/>
        </w:rPr>
        <w:t>են</w:t>
      </w:r>
      <w:r w:rsidR="00D80EFD" w:rsidRPr="007C39FE">
        <w:rPr>
          <w:rFonts w:ascii="GHEA Grapalat" w:hAnsi="GHEA Grapalat"/>
          <w:sz w:val="24"/>
          <w:szCs w:val="24"/>
        </w:rPr>
        <w:t xml:space="preserve"> գնահատելու նրանց բարեվարքության, պարկեշտության</w:t>
      </w:r>
      <w:r w:rsidR="00A93CFA">
        <w:rPr>
          <w:rFonts w:ascii="GHEA Grapalat" w:hAnsi="GHEA Grapalat"/>
          <w:sz w:val="24"/>
          <w:szCs w:val="24"/>
        </w:rPr>
        <w:t xml:space="preserve"> </w:t>
      </w:r>
      <w:r w:rsidR="00D80EFD" w:rsidRPr="007C39FE">
        <w:rPr>
          <w:rFonts w:ascii="GHEA Grapalat" w:hAnsi="GHEA Grapalat"/>
          <w:sz w:val="24"/>
          <w:szCs w:val="24"/>
        </w:rPr>
        <w:t>և անաչառության մակարդակը</w:t>
      </w:r>
      <w:r w:rsidR="00693CA3">
        <w:rPr>
          <w:rFonts w:ascii="GHEA Grapalat" w:hAnsi="GHEA Grapalat"/>
          <w:sz w:val="24"/>
          <w:szCs w:val="24"/>
        </w:rPr>
        <w:t xml:space="preserve">՝ </w:t>
      </w:r>
      <w:r w:rsidR="00D80EFD" w:rsidRPr="007C39FE">
        <w:rPr>
          <w:rFonts w:ascii="GHEA Grapalat" w:hAnsi="GHEA Grapalat"/>
          <w:sz w:val="24"/>
          <w:szCs w:val="24"/>
        </w:rPr>
        <w:t>նպաստ</w:t>
      </w:r>
      <w:r w:rsidR="00693CA3">
        <w:rPr>
          <w:rFonts w:ascii="GHEA Grapalat" w:hAnsi="GHEA Grapalat"/>
          <w:sz w:val="24"/>
          <w:szCs w:val="24"/>
        </w:rPr>
        <w:t xml:space="preserve">ելով </w:t>
      </w:r>
      <w:r w:rsidR="00D80EFD" w:rsidRPr="007C39FE">
        <w:rPr>
          <w:rFonts w:ascii="GHEA Grapalat" w:hAnsi="GHEA Grapalat"/>
          <w:sz w:val="24"/>
          <w:szCs w:val="24"/>
        </w:rPr>
        <w:t xml:space="preserve">պետական </w:t>
      </w:r>
      <w:r w:rsidR="00693CA3">
        <w:rPr>
          <w:rFonts w:ascii="GHEA Grapalat" w:hAnsi="GHEA Grapalat"/>
          <w:sz w:val="24"/>
          <w:szCs w:val="24"/>
        </w:rPr>
        <w:t>համակարգի նկատմամբ հանրության վստահության ամրապնդմանը</w:t>
      </w:r>
      <w:r w:rsidR="00D80EFD" w:rsidRPr="007C39FE">
        <w:rPr>
          <w:rFonts w:ascii="GHEA Grapalat" w:hAnsi="GHEA Grapalat"/>
          <w:sz w:val="24"/>
          <w:szCs w:val="24"/>
        </w:rPr>
        <w:t xml:space="preserve"> և վստահելի կառավարման մշակույթի հաստատմանը:</w:t>
      </w:r>
    </w:p>
    <w:p w14:paraId="2F2001A1" w14:textId="3D0C4FAD" w:rsidR="00CD588D" w:rsidRDefault="00DE1E5E" w:rsidP="00DE1E5E">
      <w:pPr>
        <w:spacing w:after="0" w:line="360" w:lineRule="auto"/>
        <w:ind w:firstLine="720"/>
        <w:jc w:val="both"/>
        <w:rPr>
          <w:rFonts w:ascii="GHEA Grapalat" w:eastAsiaTheme="minorHAnsi" w:hAnsi="GHEA Grapalat" w:cstheme="minorBidi"/>
          <w:noProof/>
          <w:sz w:val="24"/>
          <w:szCs w:val="24"/>
        </w:rPr>
      </w:pPr>
      <w:r>
        <w:rPr>
          <w:rFonts w:ascii="GHEA Grapalat" w:eastAsia="GHEA Grapalat" w:hAnsi="GHEA Grapalat" w:cs="GHEA Grapalat"/>
          <w:color w:val="000000"/>
          <w:sz w:val="24"/>
          <w:szCs w:val="24"/>
        </w:rPr>
        <w:t xml:space="preserve">Նշյալի հաշվառմամբ՝ Հակակոռուպցիոն ռազմավարությամբ նախատեսվել է, ի թիվս հանրային պաշտոնների, </w:t>
      </w:r>
      <w:r>
        <w:rPr>
          <w:rFonts w:ascii="GHEA Grapalat" w:eastAsiaTheme="minorHAnsi" w:hAnsi="GHEA Grapalat" w:cstheme="minorBidi"/>
          <w:noProof/>
          <w:sz w:val="24"/>
          <w:szCs w:val="24"/>
        </w:rPr>
        <w:t>վերանայ</w:t>
      </w:r>
      <w:r w:rsidR="00CD588D" w:rsidRPr="00CD588D">
        <w:rPr>
          <w:rFonts w:ascii="GHEA Grapalat" w:eastAsiaTheme="minorHAnsi" w:hAnsi="GHEA Grapalat" w:cstheme="minorBidi"/>
          <w:noProof/>
          <w:sz w:val="24"/>
          <w:szCs w:val="24"/>
        </w:rPr>
        <w:t xml:space="preserve">ել հանրային </w:t>
      </w:r>
      <w:r w:rsidR="008F3DB3">
        <w:rPr>
          <w:rFonts w:ascii="GHEA Grapalat" w:eastAsiaTheme="minorHAnsi" w:hAnsi="GHEA Grapalat" w:cstheme="minorBidi"/>
          <w:noProof/>
          <w:sz w:val="24"/>
          <w:szCs w:val="24"/>
        </w:rPr>
        <w:t>ծառայության այն տեսակները</w:t>
      </w:r>
      <w:r w:rsidR="00CD588D" w:rsidRPr="00CD588D">
        <w:rPr>
          <w:rFonts w:ascii="GHEA Grapalat" w:eastAsiaTheme="minorHAnsi" w:hAnsi="GHEA Grapalat" w:cstheme="minorBidi"/>
          <w:noProof/>
          <w:sz w:val="24"/>
          <w:szCs w:val="24"/>
        </w:rPr>
        <w:t xml:space="preserve">, </w:t>
      </w:r>
      <w:r w:rsidR="008F3DB3">
        <w:rPr>
          <w:rFonts w:ascii="GHEA Grapalat" w:eastAsiaTheme="minorHAnsi" w:hAnsi="GHEA Grapalat" w:cstheme="minorBidi"/>
          <w:noProof/>
          <w:sz w:val="24"/>
          <w:szCs w:val="24"/>
        </w:rPr>
        <w:t>որոնց դեպքում</w:t>
      </w:r>
      <w:r w:rsidR="00CD588D" w:rsidRPr="00CD588D">
        <w:rPr>
          <w:rFonts w:ascii="GHEA Grapalat" w:eastAsiaTheme="minorHAnsi" w:hAnsi="GHEA Grapalat" w:cstheme="minorBidi"/>
          <w:noProof/>
          <w:sz w:val="24"/>
          <w:szCs w:val="24"/>
        </w:rPr>
        <w:t xml:space="preserve"> բարեվարքության ուսումնասիրությունը վերապահված չէ</w:t>
      </w:r>
      <w:r w:rsidR="00A93CFA">
        <w:rPr>
          <w:rFonts w:ascii="GHEA Grapalat" w:eastAsiaTheme="minorHAnsi" w:hAnsi="GHEA Grapalat" w:cstheme="minorBidi"/>
          <w:noProof/>
          <w:sz w:val="24"/>
          <w:szCs w:val="24"/>
        </w:rPr>
        <w:t xml:space="preserve"> </w:t>
      </w:r>
      <w:r w:rsidR="008F3DB3">
        <w:rPr>
          <w:rFonts w:ascii="GHEA Grapalat" w:eastAsiaTheme="minorHAnsi" w:hAnsi="GHEA Grapalat" w:cstheme="minorBidi"/>
          <w:noProof/>
          <w:sz w:val="24"/>
          <w:szCs w:val="24"/>
        </w:rPr>
        <w:t>Կոռուպցիայի կանխարգելման հանձնաժողովին</w:t>
      </w:r>
      <w:r w:rsidR="00CC247F">
        <w:rPr>
          <w:rFonts w:ascii="GHEA Grapalat" w:eastAsiaTheme="minorHAnsi" w:hAnsi="GHEA Grapalat" w:cstheme="minorBidi"/>
          <w:noProof/>
          <w:sz w:val="24"/>
          <w:szCs w:val="24"/>
        </w:rPr>
        <w:t xml:space="preserve"> և ներդնել </w:t>
      </w:r>
      <w:r w:rsidR="00CD588D" w:rsidRPr="00CD588D">
        <w:rPr>
          <w:rFonts w:ascii="GHEA Grapalat" w:eastAsiaTheme="minorHAnsi" w:hAnsi="GHEA Grapalat" w:cstheme="minorBidi"/>
          <w:noProof/>
          <w:sz w:val="24"/>
          <w:szCs w:val="24"/>
        </w:rPr>
        <w:t xml:space="preserve">համապատասխան մարմնում </w:t>
      </w:r>
      <w:r w:rsidR="00CC247F">
        <w:rPr>
          <w:rFonts w:ascii="GHEA Grapalat" w:eastAsiaTheme="minorHAnsi" w:hAnsi="GHEA Grapalat" w:cstheme="minorBidi"/>
          <w:noProof/>
          <w:sz w:val="24"/>
          <w:szCs w:val="24"/>
        </w:rPr>
        <w:t xml:space="preserve">բարեվարքության ստուգում </w:t>
      </w:r>
      <w:r w:rsidR="00CD588D" w:rsidRPr="00CD588D">
        <w:rPr>
          <w:rFonts w:ascii="GHEA Grapalat" w:eastAsiaTheme="minorHAnsi" w:hAnsi="GHEA Grapalat" w:cstheme="minorBidi"/>
          <w:noProof/>
          <w:sz w:val="24"/>
          <w:szCs w:val="24"/>
        </w:rPr>
        <w:t xml:space="preserve">իրականացնելու կառուցակարգը: </w:t>
      </w:r>
    </w:p>
    <w:p w14:paraId="7E8EF98D" w14:textId="77777777" w:rsidR="00D80EFD" w:rsidRPr="00CD588D" w:rsidRDefault="00D80EFD" w:rsidP="00DE1E5E">
      <w:pPr>
        <w:spacing w:after="0" w:line="360" w:lineRule="auto"/>
        <w:ind w:firstLine="720"/>
        <w:jc w:val="both"/>
        <w:rPr>
          <w:rFonts w:ascii="GHEA Grapalat" w:eastAsiaTheme="minorHAnsi" w:hAnsi="GHEA Grapalat" w:cstheme="minorBidi"/>
          <w:noProof/>
          <w:sz w:val="24"/>
          <w:szCs w:val="24"/>
        </w:rPr>
      </w:pPr>
    </w:p>
    <w:p w14:paraId="15B283D1" w14:textId="6502B8DD" w:rsidR="0076707C" w:rsidRPr="00A93CFA" w:rsidRDefault="002F43D6" w:rsidP="00A93CFA">
      <w:pPr>
        <w:spacing w:after="0" w:line="360" w:lineRule="auto"/>
        <w:ind w:firstLine="567"/>
        <w:jc w:val="both"/>
        <w:rPr>
          <w:rFonts w:ascii="GHEA Grapalat" w:eastAsiaTheme="minorHAnsi" w:hAnsi="GHEA Grapalat" w:cstheme="minorBidi"/>
          <w:noProof/>
          <w:sz w:val="24"/>
          <w:szCs w:val="24"/>
        </w:rPr>
      </w:pPr>
      <w:r>
        <w:rPr>
          <w:rFonts w:ascii="GHEA Grapalat" w:eastAsiaTheme="minorHAnsi" w:hAnsi="GHEA Grapalat" w:cstheme="minorBidi"/>
          <w:noProof/>
          <w:sz w:val="24"/>
          <w:szCs w:val="24"/>
        </w:rPr>
        <w:t xml:space="preserve">Հարկ է նշել, որ </w:t>
      </w:r>
      <w:r>
        <w:rPr>
          <w:rFonts w:ascii="GHEA Grapalat" w:hAnsi="GHEA Grapalat" w:cs="Arian AMU"/>
          <w:kern w:val="2"/>
          <w:sz w:val="24"/>
          <w:szCs w:val="24"/>
          <w14:ligatures w14:val="standardContextual"/>
        </w:rPr>
        <w:t>հ</w:t>
      </w:r>
      <w:r w:rsidR="0076707C" w:rsidRPr="007C39FE">
        <w:rPr>
          <w:rFonts w:ascii="GHEA Grapalat" w:hAnsi="GHEA Grapalat" w:cs="Arian AMU"/>
          <w:kern w:val="2"/>
          <w:sz w:val="24"/>
          <w:szCs w:val="24"/>
          <w14:ligatures w14:val="standardContextual"/>
        </w:rPr>
        <w:t>անրային ծառայության ոլորտում բարեվարքության ուսումնասիրության կառուցակարգեր արդեն իսկ</w:t>
      </w:r>
      <w:r>
        <w:rPr>
          <w:rFonts w:ascii="GHEA Grapalat" w:hAnsi="GHEA Grapalat" w:cs="Arian AMU"/>
          <w:kern w:val="2"/>
          <w:sz w:val="24"/>
          <w:szCs w:val="24"/>
          <w14:ligatures w14:val="standardContextual"/>
        </w:rPr>
        <w:t xml:space="preserve"> </w:t>
      </w:r>
      <w:r w:rsidR="0076707C" w:rsidRPr="007C39FE">
        <w:rPr>
          <w:rFonts w:ascii="GHEA Grapalat" w:hAnsi="GHEA Grapalat" w:cs="Arian AMU"/>
          <w:kern w:val="2"/>
          <w:sz w:val="24"/>
          <w:szCs w:val="24"/>
          <w14:ligatures w14:val="standardContextual"/>
        </w:rPr>
        <w:t>սահմանվել են Պետական եկամուտների կոմիտեում՝ հարկային ու մաքսային ծառայողների համար։</w:t>
      </w:r>
    </w:p>
    <w:p w14:paraId="35C30B45" w14:textId="2D731035" w:rsidR="004B1312" w:rsidRPr="00C22D53" w:rsidRDefault="0014326F" w:rsidP="00C22D53">
      <w:pPr>
        <w:spacing w:after="0" w:line="360" w:lineRule="auto"/>
        <w:ind w:firstLine="720"/>
        <w:jc w:val="both"/>
        <w:rPr>
          <w:rFonts w:ascii="GHEA Grapalat" w:eastAsia="Times New Roman" w:hAnsi="GHEA Grapalat" w:cs="Times New Roman"/>
          <w:sz w:val="24"/>
          <w:szCs w:val="24"/>
        </w:rPr>
      </w:pPr>
      <w:r>
        <w:rPr>
          <w:rFonts w:ascii="GHEA Grapalat" w:eastAsiaTheme="minorHAnsi" w:hAnsi="GHEA Grapalat" w:cs="Sylfaen"/>
          <w:sz w:val="24"/>
          <w:szCs w:val="24"/>
        </w:rPr>
        <w:t xml:space="preserve">Հանրային ծառայողների </w:t>
      </w:r>
      <w:r w:rsidRPr="0015647D">
        <w:rPr>
          <w:rFonts w:ascii="GHEA Grapalat" w:eastAsia="GHEA Grapalat" w:hAnsi="GHEA Grapalat" w:cs="GHEA Grapalat"/>
          <w:color w:val="000000"/>
          <w:sz w:val="24"/>
          <w:szCs w:val="24"/>
        </w:rPr>
        <w:t>թափուր հաստիքների համալրման մրցութային և առաջխաղացման գործընթացներում թեկնածուների բարեվարքության ստուգման</w:t>
      </w:r>
      <w:r>
        <w:rPr>
          <w:rFonts w:ascii="GHEA Grapalat" w:eastAsia="GHEA Grapalat" w:hAnsi="GHEA Grapalat" w:cs="GHEA Grapalat"/>
          <w:color w:val="000000"/>
          <w:sz w:val="24"/>
          <w:szCs w:val="24"/>
        </w:rPr>
        <w:t xml:space="preserve"> կառուցակարգերի</w:t>
      </w:r>
      <w:r>
        <w:rPr>
          <w:rFonts w:ascii="GHEA Grapalat" w:eastAsia="GHEA Grapalat" w:hAnsi="GHEA Grapalat" w:cs="GHEA Grapalat"/>
          <w:color w:val="000000"/>
          <w:sz w:val="24"/>
          <w:szCs w:val="24"/>
        </w:rPr>
        <w:t xml:space="preserve"> վերաբերյալ միջազգային փորձի ուսումնասիրության արդյունքում պարզ է դարձել, որ համապատասխան կարգավորումներ արդեն ներդրված են և արդյունավետ կիրառվում են մի շարք </w:t>
      </w:r>
      <w:r w:rsidR="00E961C7">
        <w:rPr>
          <w:rFonts w:ascii="GHEA Grapalat" w:eastAsia="GHEA Grapalat" w:hAnsi="GHEA Grapalat" w:cs="GHEA Grapalat"/>
          <w:color w:val="000000"/>
          <w:sz w:val="24"/>
          <w:szCs w:val="24"/>
        </w:rPr>
        <w:t>երկր</w:t>
      </w:r>
      <w:r>
        <w:rPr>
          <w:rFonts w:ascii="GHEA Grapalat" w:eastAsia="GHEA Grapalat" w:hAnsi="GHEA Grapalat" w:cs="GHEA Grapalat"/>
          <w:color w:val="000000"/>
          <w:sz w:val="24"/>
          <w:szCs w:val="24"/>
        </w:rPr>
        <w:t>ներում:</w:t>
      </w:r>
      <w:r w:rsidR="00E961C7">
        <w:rPr>
          <w:rFonts w:ascii="GHEA Grapalat" w:eastAsiaTheme="minorHAnsi" w:hAnsi="GHEA Grapalat" w:cs="Sylfaen"/>
          <w:sz w:val="24"/>
          <w:szCs w:val="24"/>
        </w:rPr>
        <w:t xml:space="preserve"> </w:t>
      </w:r>
      <w:r w:rsidR="004A738D">
        <w:rPr>
          <w:rFonts w:ascii="GHEA Grapalat" w:eastAsiaTheme="minorHAnsi" w:hAnsi="GHEA Grapalat" w:cs="Sylfaen"/>
          <w:sz w:val="24"/>
          <w:szCs w:val="24"/>
        </w:rPr>
        <w:t xml:space="preserve">Բարեվարքության ստուգման </w:t>
      </w:r>
      <w:r w:rsidR="004A738D">
        <w:rPr>
          <w:rFonts w:ascii="GHEA Grapalat" w:eastAsia="Times New Roman" w:hAnsi="GHEA Grapalat" w:cs="Times New Roman"/>
          <w:sz w:val="24"/>
          <w:szCs w:val="24"/>
        </w:rPr>
        <w:t>ն</w:t>
      </w:r>
      <w:r w:rsidR="004A738D" w:rsidRPr="0095177C">
        <w:rPr>
          <w:rFonts w:ascii="GHEA Grapalat" w:eastAsia="Times New Roman" w:hAnsi="GHEA Grapalat" w:cs="Times New Roman"/>
          <w:sz w:val="24"/>
          <w:szCs w:val="24"/>
        </w:rPr>
        <w:t>պատակն է՝ պահպանել կառավարության ամբողջականությունը, անվտանգությունը և հանրայի</w:t>
      </w:r>
      <w:r w:rsidR="00C22D53">
        <w:rPr>
          <w:rFonts w:ascii="GHEA Grapalat" w:eastAsia="Times New Roman" w:hAnsi="GHEA Grapalat" w:cs="Times New Roman"/>
          <w:sz w:val="24"/>
          <w:szCs w:val="24"/>
        </w:rPr>
        <w:t>ն վստահությունը՝ ապահովելով աշխատակիցների համապատասխանությունը</w:t>
      </w:r>
      <w:r w:rsidR="004A738D" w:rsidRPr="0095177C">
        <w:rPr>
          <w:rFonts w:ascii="GHEA Grapalat" w:eastAsia="Times New Roman" w:hAnsi="GHEA Grapalat" w:cs="Times New Roman"/>
          <w:sz w:val="24"/>
          <w:szCs w:val="24"/>
        </w:rPr>
        <w:t xml:space="preserve"> </w:t>
      </w:r>
      <w:r w:rsidR="00C22D53">
        <w:rPr>
          <w:rFonts w:ascii="GHEA Grapalat" w:eastAsia="Times New Roman" w:hAnsi="GHEA Grapalat" w:cs="Times New Roman"/>
          <w:sz w:val="24"/>
          <w:szCs w:val="24"/>
        </w:rPr>
        <w:t xml:space="preserve">բարեվարքության </w:t>
      </w:r>
      <w:r w:rsidR="004A738D" w:rsidRPr="0095177C">
        <w:rPr>
          <w:rFonts w:ascii="GHEA Grapalat" w:eastAsia="Times New Roman" w:hAnsi="GHEA Grapalat" w:cs="Times New Roman"/>
          <w:sz w:val="24"/>
          <w:szCs w:val="24"/>
        </w:rPr>
        <w:t xml:space="preserve">բարձր չափանիշներին </w:t>
      </w:r>
      <w:r w:rsidR="00C22D53">
        <w:rPr>
          <w:rFonts w:ascii="GHEA Grapalat" w:eastAsia="Times New Roman" w:hAnsi="GHEA Grapalat" w:cs="Times New Roman"/>
          <w:sz w:val="24"/>
          <w:szCs w:val="24"/>
        </w:rPr>
        <w:t>նախքան պաշտոնի ստանձնումը</w:t>
      </w:r>
      <w:r w:rsidR="004A738D" w:rsidRPr="0095177C">
        <w:rPr>
          <w:rFonts w:ascii="GHEA Grapalat" w:eastAsia="Times New Roman" w:hAnsi="GHEA Grapalat" w:cs="Times New Roman"/>
          <w:sz w:val="24"/>
          <w:szCs w:val="24"/>
        </w:rPr>
        <w:t>։</w:t>
      </w:r>
    </w:p>
    <w:p w14:paraId="49800D5E" w14:textId="7104C720" w:rsidR="00265083" w:rsidRDefault="00265083" w:rsidP="00D20F31">
      <w:pPr>
        <w:spacing w:after="0" w:line="360" w:lineRule="auto"/>
        <w:ind w:firstLine="720"/>
        <w:jc w:val="both"/>
        <w:rPr>
          <w:rFonts w:ascii="GHEA Grapalat" w:eastAsiaTheme="minorHAnsi" w:hAnsi="GHEA Grapalat" w:cs="Sylfaen"/>
          <w:sz w:val="24"/>
          <w:szCs w:val="24"/>
        </w:rPr>
      </w:pPr>
      <w:r w:rsidRPr="00265083">
        <w:rPr>
          <w:rFonts w:ascii="GHEA Grapalat" w:eastAsiaTheme="minorHAnsi" w:hAnsi="GHEA Grapalat" w:cs="Sylfaen"/>
          <w:b/>
          <w:bCs/>
          <w:sz w:val="24"/>
          <w:szCs w:val="24"/>
        </w:rPr>
        <w:t>Լիտվայում</w:t>
      </w:r>
      <w:r>
        <w:rPr>
          <w:rStyle w:val="FootnoteReference"/>
          <w:rFonts w:ascii="GHEA Grapalat" w:eastAsiaTheme="minorHAnsi" w:hAnsi="GHEA Grapalat" w:cs="Sylfaen"/>
          <w:b/>
          <w:bCs/>
          <w:sz w:val="24"/>
          <w:szCs w:val="24"/>
        </w:rPr>
        <w:footnoteReference w:id="1"/>
      </w:r>
      <w:r w:rsidRPr="00265083">
        <w:rPr>
          <w:rFonts w:ascii="GHEA Grapalat" w:eastAsiaTheme="minorHAnsi" w:hAnsi="GHEA Grapalat" w:cs="Sylfaen"/>
          <w:b/>
          <w:bCs/>
          <w:sz w:val="24"/>
          <w:szCs w:val="24"/>
        </w:rPr>
        <w:t xml:space="preserve"> </w:t>
      </w:r>
      <w:r>
        <w:rPr>
          <w:rFonts w:ascii="GHEA Grapalat" w:eastAsiaTheme="minorHAnsi" w:hAnsi="GHEA Grapalat" w:cs="Sylfaen"/>
          <w:sz w:val="24"/>
          <w:szCs w:val="24"/>
        </w:rPr>
        <w:t>պաշտոնատար անձանց բ</w:t>
      </w:r>
      <w:r w:rsidRPr="00265083">
        <w:rPr>
          <w:rFonts w:ascii="GHEA Grapalat" w:eastAsiaTheme="minorHAnsi" w:hAnsi="GHEA Grapalat" w:cs="Sylfaen"/>
          <w:sz w:val="24"/>
          <w:szCs w:val="24"/>
        </w:rPr>
        <w:t xml:space="preserve">արեվարքության </w:t>
      </w:r>
      <w:r w:rsidR="00F776E7">
        <w:rPr>
          <w:rFonts w:ascii="GHEA Grapalat" w:eastAsiaTheme="minorHAnsi" w:hAnsi="GHEA Grapalat" w:cs="Sylfaen"/>
          <w:sz w:val="24"/>
          <w:szCs w:val="24"/>
        </w:rPr>
        <w:t xml:space="preserve">ստուգումն </w:t>
      </w:r>
      <w:r w:rsidRPr="00265083">
        <w:rPr>
          <w:rFonts w:ascii="GHEA Grapalat" w:eastAsiaTheme="minorHAnsi" w:hAnsi="GHEA Grapalat" w:cs="Sylfaen"/>
          <w:sz w:val="24"/>
          <w:szCs w:val="24"/>
        </w:rPr>
        <w:t xml:space="preserve">իրականացվում է ինչպես նշանակվող, այնպես էլ նշանակված պաշտոնատար անձանց նկատմամբ օրենքով սահմանված դեպքերի համար (օրինակ՝ պարզելու անձի դատվածությունը, կոռուպցիոն բնույթի հանցավոր արարքների </w:t>
      </w:r>
      <w:r w:rsidR="00F776E7">
        <w:rPr>
          <w:rFonts w:ascii="GHEA Grapalat" w:eastAsiaTheme="minorHAnsi" w:hAnsi="GHEA Grapalat" w:cs="Sylfaen"/>
          <w:sz w:val="24"/>
          <w:szCs w:val="24"/>
        </w:rPr>
        <w:t>արդյունքում նախաձեռնված</w:t>
      </w:r>
      <w:r w:rsidRPr="00265083">
        <w:rPr>
          <w:rFonts w:ascii="GHEA Grapalat" w:eastAsiaTheme="minorHAnsi" w:hAnsi="GHEA Grapalat" w:cs="Sylfaen"/>
          <w:sz w:val="24"/>
          <w:szCs w:val="24"/>
        </w:rPr>
        <w:t xml:space="preserve"> վարույթում անձի վերաբերյալ կայացված դատական ակտերի առկայությունը, անձի կողմից կատարված պաշտոնեական իրավախախտման առկայության փաստը,  անձի կողմից քաղաքացիական ծառայության անցնելիս թաքցված կամ կեղծված տվյալների առկայությունը, «Քաղաքացիական ծառայության պետական և մասնավոր շահերի կարգավորման մասին» օրենքի, «Լոբբիստական գործունեության մասին» օրենքի, պաշտոնատար անձանց էթիկայի կանոնագրքի կամ կանոնները կարգավորող այլ իրավական ակտի դրույթների խախտման դեպքերը և այլն): Բարեվարքության ստուգումն իրականացնում է Լիտվայի </w:t>
      </w:r>
      <w:r w:rsidR="00D068FD">
        <w:rPr>
          <w:rFonts w:ascii="GHEA Grapalat" w:eastAsiaTheme="minorHAnsi" w:hAnsi="GHEA Grapalat" w:cs="Sylfaen"/>
          <w:sz w:val="24"/>
          <w:szCs w:val="24"/>
        </w:rPr>
        <w:t>հ</w:t>
      </w:r>
      <w:r w:rsidRPr="00265083">
        <w:rPr>
          <w:rFonts w:ascii="GHEA Grapalat" w:eastAsiaTheme="minorHAnsi" w:hAnsi="GHEA Grapalat" w:cs="Sylfaen"/>
          <w:sz w:val="24"/>
          <w:szCs w:val="24"/>
        </w:rPr>
        <w:t>ատուկ քննչական ծառայությունը, որն ինքնուրույն կամ այլ մարմինների</w:t>
      </w:r>
      <w:r w:rsidR="00EA705F">
        <w:rPr>
          <w:rFonts w:ascii="GHEA Grapalat" w:eastAsiaTheme="minorHAnsi" w:hAnsi="GHEA Grapalat" w:cs="Sylfaen"/>
          <w:sz w:val="24"/>
          <w:szCs w:val="24"/>
        </w:rPr>
        <w:t xml:space="preserve"> և</w:t>
      </w:r>
      <w:r w:rsidRPr="00265083">
        <w:rPr>
          <w:rFonts w:ascii="GHEA Grapalat" w:eastAsiaTheme="minorHAnsi" w:hAnsi="GHEA Grapalat" w:cs="Sylfaen"/>
          <w:sz w:val="24"/>
          <w:szCs w:val="24"/>
        </w:rPr>
        <w:t xml:space="preserve"> կազմակերպությունների միջոցով հավաք</w:t>
      </w:r>
      <w:r w:rsidR="00EA705F">
        <w:rPr>
          <w:rFonts w:ascii="GHEA Grapalat" w:eastAsiaTheme="minorHAnsi" w:hAnsi="GHEA Grapalat" w:cs="Sylfaen"/>
          <w:sz w:val="24"/>
          <w:szCs w:val="24"/>
        </w:rPr>
        <w:t>ագր</w:t>
      </w:r>
      <w:r w:rsidRPr="00265083">
        <w:rPr>
          <w:rFonts w:ascii="GHEA Grapalat" w:eastAsiaTheme="minorHAnsi" w:hAnsi="GHEA Grapalat" w:cs="Sylfaen"/>
          <w:sz w:val="24"/>
          <w:szCs w:val="24"/>
        </w:rPr>
        <w:t>ում է անհրաժեշտ տեղեկատվությունը:</w:t>
      </w:r>
    </w:p>
    <w:p w14:paraId="1D7B6EDB" w14:textId="6C5C4F22" w:rsidR="00265083" w:rsidRPr="007C39FE" w:rsidRDefault="00265083" w:rsidP="00265083">
      <w:pPr>
        <w:spacing w:after="0" w:line="360" w:lineRule="auto"/>
        <w:ind w:firstLine="567"/>
        <w:jc w:val="both"/>
        <w:rPr>
          <w:rFonts w:ascii="GHEA Grapalat" w:eastAsiaTheme="minorHAnsi" w:hAnsi="GHEA Grapalat" w:cs="Sylfaen"/>
          <w:noProof/>
          <w:sz w:val="24"/>
          <w:szCs w:val="24"/>
        </w:rPr>
      </w:pPr>
      <w:r w:rsidRPr="007C39FE">
        <w:rPr>
          <w:rFonts w:ascii="GHEA Grapalat" w:hAnsi="GHEA Grapalat" w:cs="Times New Roman"/>
          <w:sz w:val="24"/>
          <w:szCs w:val="24"/>
        </w:rPr>
        <w:lastRenderedPageBreak/>
        <w:t xml:space="preserve">Ազգային մակարդակում գաղտնի գործողությունների միջոցով բարեվարքության ստուգումների կարգավորումը երկար ավանդույթ ունի ընդհանուր իրավունքի </w:t>
      </w:r>
      <w:r w:rsidR="004A0540">
        <w:rPr>
          <w:rFonts w:ascii="GHEA Grapalat" w:hAnsi="GHEA Grapalat" w:cs="Times New Roman"/>
          <w:sz w:val="24"/>
          <w:szCs w:val="24"/>
        </w:rPr>
        <w:t xml:space="preserve">համակարգ ունեցող </w:t>
      </w:r>
      <w:r w:rsidRPr="007C39FE">
        <w:rPr>
          <w:rFonts w:ascii="GHEA Grapalat" w:hAnsi="GHEA Grapalat" w:cs="Times New Roman"/>
          <w:sz w:val="24"/>
          <w:szCs w:val="24"/>
        </w:rPr>
        <w:t xml:space="preserve">երկրներում, ինչպիսիք են՝ </w:t>
      </w:r>
      <w:r w:rsidRPr="007C39FE">
        <w:rPr>
          <w:rFonts w:ascii="GHEA Grapalat" w:hAnsi="GHEA Grapalat" w:cs="Times New Roman"/>
          <w:b/>
          <w:sz w:val="24"/>
          <w:szCs w:val="24"/>
        </w:rPr>
        <w:t xml:space="preserve">Միացյալ Թագավորությունը, </w:t>
      </w:r>
      <w:r w:rsidR="004A0540">
        <w:rPr>
          <w:rFonts w:ascii="GHEA Grapalat" w:hAnsi="GHEA Grapalat" w:cs="Times New Roman"/>
          <w:b/>
          <w:sz w:val="24"/>
          <w:szCs w:val="24"/>
        </w:rPr>
        <w:t xml:space="preserve">Ամերիկայի </w:t>
      </w:r>
      <w:r w:rsidRPr="007C39FE">
        <w:rPr>
          <w:rFonts w:ascii="GHEA Grapalat" w:hAnsi="GHEA Grapalat" w:cs="Times New Roman"/>
          <w:b/>
          <w:sz w:val="24"/>
          <w:szCs w:val="24"/>
        </w:rPr>
        <w:t>Միացյալ Նահանգները կամ Ավստրալիան</w:t>
      </w:r>
      <w:r w:rsidRPr="007C39FE">
        <w:rPr>
          <w:rFonts w:ascii="GHEA Grapalat" w:hAnsi="GHEA Grapalat" w:cs="Times New Roman"/>
          <w:sz w:val="24"/>
          <w:szCs w:val="24"/>
        </w:rPr>
        <w:t>, քրեական իրավունքի համատեքստում</w:t>
      </w:r>
      <w:r w:rsidRPr="007C39FE">
        <w:rPr>
          <w:rFonts w:ascii="GHEA Grapalat" w:hAnsi="GHEA Grapalat" w:cs="Times New Roman"/>
          <w:sz w:val="24"/>
          <w:szCs w:val="24"/>
          <w:vertAlign w:val="superscript"/>
          <w:lang w:val="ru-RU"/>
        </w:rPr>
        <w:footnoteReference w:id="2"/>
      </w:r>
      <w:r w:rsidRPr="007C39FE">
        <w:rPr>
          <w:rFonts w:ascii="GHEA Grapalat" w:hAnsi="GHEA Grapalat" w:cs="Times New Roman"/>
          <w:sz w:val="24"/>
          <w:szCs w:val="24"/>
        </w:rPr>
        <w:t>: Այդ երկրներում ընդհանուր իրավասության դատարանները և բարձր ատյանները մշակել են հարուստ նախադեպային պրակտիկա</w:t>
      </w:r>
      <w:r w:rsidRPr="007C39FE">
        <w:rPr>
          <w:rFonts w:ascii="GHEA Grapalat" w:hAnsi="GHEA Grapalat" w:cs="Times New Roman"/>
          <w:sz w:val="24"/>
          <w:szCs w:val="24"/>
          <w:vertAlign w:val="superscript"/>
          <w:lang w:val="ru-RU"/>
        </w:rPr>
        <w:footnoteReference w:id="3"/>
      </w:r>
      <w:r w:rsidRPr="007C39FE">
        <w:rPr>
          <w:rFonts w:ascii="GHEA Grapalat" w:hAnsi="GHEA Grapalat" w:cs="Times New Roman"/>
          <w:sz w:val="24"/>
          <w:szCs w:val="24"/>
        </w:rPr>
        <w:t xml:space="preserve">։ Այս մեթոդը սկսվել է օգտագործվել մայրցամաքային իրավական համակարգի երկրներում, ինչպիսիք են՝ </w:t>
      </w:r>
      <w:r w:rsidRPr="007C39FE">
        <w:rPr>
          <w:rFonts w:ascii="GHEA Grapalat" w:hAnsi="GHEA Grapalat" w:cs="Times New Roman"/>
          <w:b/>
          <w:sz w:val="24"/>
          <w:szCs w:val="24"/>
        </w:rPr>
        <w:t>Չեխիան, Հունգարիան կամ Ռումինիան</w:t>
      </w:r>
      <w:r w:rsidRPr="007C39FE">
        <w:rPr>
          <w:rFonts w:ascii="GHEA Grapalat" w:hAnsi="GHEA Grapalat" w:cs="Times New Roman"/>
          <w:sz w:val="24"/>
          <w:szCs w:val="24"/>
        </w:rPr>
        <w:t xml:space="preserve">: </w:t>
      </w:r>
      <w:r w:rsidR="004A0540">
        <w:rPr>
          <w:rFonts w:ascii="GHEA Grapalat" w:hAnsi="GHEA Grapalat" w:cs="Times New Roman"/>
          <w:sz w:val="24"/>
          <w:szCs w:val="24"/>
        </w:rPr>
        <w:t>Բարեվարքության ստուգման կառուցակարգերի</w:t>
      </w:r>
      <w:r w:rsidRPr="007C39FE">
        <w:rPr>
          <w:rFonts w:ascii="GHEA Grapalat" w:hAnsi="GHEA Grapalat" w:cs="Times New Roman"/>
          <w:sz w:val="24"/>
          <w:szCs w:val="24"/>
        </w:rPr>
        <w:t xml:space="preserve"> </w:t>
      </w:r>
      <w:r w:rsidR="004A0540">
        <w:rPr>
          <w:rFonts w:ascii="GHEA Grapalat" w:hAnsi="GHEA Grapalat" w:cs="Times New Roman"/>
          <w:sz w:val="24"/>
          <w:szCs w:val="24"/>
        </w:rPr>
        <w:t>ներդրումն</w:t>
      </w:r>
      <w:r w:rsidRPr="007C39FE">
        <w:rPr>
          <w:rFonts w:ascii="GHEA Grapalat" w:hAnsi="GHEA Grapalat" w:cs="Times New Roman"/>
          <w:sz w:val="24"/>
          <w:szCs w:val="24"/>
        </w:rPr>
        <w:t xml:space="preserve"> գիտական բանավեճ</w:t>
      </w:r>
      <w:r w:rsidR="004A0540">
        <w:rPr>
          <w:rFonts w:ascii="GHEA Grapalat" w:hAnsi="GHEA Grapalat" w:cs="Times New Roman"/>
          <w:sz w:val="24"/>
          <w:szCs w:val="24"/>
        </w:rPr>
        <w:t>երի առիթ է հանդիսացել</w:t>
      </w:r>
      <w:r w:rsidRPr="007C39FE">
        <w:rPr>
          <w:rFonts w:ascii="GHEA Grapalat" w:hAnsi="GHEA Grapalat" w:cs="Times New Roman"/>
          <w:sz w:val="24"/>
          <w:szCs w:val="24"/>
          <w:vertAlign w:val="superscript"/>
          <w:lang w:val="ru-RU"/>
        </w:rPr>
        <w:footnoteReference w:id="4"/>
      </w:r>
      <w:r w:rsidRPr="007C39FE">
        <w:rPr>
          <w:rFonts w:ascii="GHEA Grapalat" w:hAnsi="GHEA Grapalat" w:cs="Times New Roman"/>
          <w:sz w:val="24"/>
          <w:szCs w:val="24"/>
        </w:rPr>
        <w:t>, ինչպես նաև ժամանակ առ ժամանակ վիճարկվել է սովորական կամ սահմանադրական դատարաններում</w:t>
      </w:r>
      <w:r w:rsidRPr="007C39FE">
        <w:rPr>
          <w:rFonts w:ascii="GHEA Grapalat" w:hAnsi="GHEA Grapalat" w:cs="Times New Roman"/>
          <w:sz w:val="24"/>
          <w:szCs w:val="24"/>
          <w:vertAlign w:val="superscript"/>
          <w:lang w:val="ru-RU"/>
        </w:rPr>
        <w:footnoteReference w:id="5"/>
      </w:r>
      <w:r w:rsidRPr="007C39FE">
        <w:rPr>
          <w:rFonts w:ascii="GHEA Grapalat" w:hAnsi="GHEA Grapalat" w:cs="Times New Roman"/>
          <w:sz w:val="24"/>
          <w:szCs w:val="24"/>
        </w:rPr>
        <w:t xml:space="preserve">: Կրկին, ստուգումները հիմնականում ծառայում են քրեական իրավունքի նպատակներին: Ընդհանուր իրավունքի երկրներում </w:t>
      </w:r>
      <w:r w:rsidR="001408A0">
        <w:rPr>
          <w:rFonts w:ascii="GHEA Grapalat" w:hAnsi="GHEA Grapalat" w:cs="Times New Roman"/>
          <w:sz w:val="24"/>
          <w:szCs w:val="24"/>
        </w:rPr>
        <w:t xml:space="preserve">բարեվարքության </w:t>
      </w:r>
      <w:r w:rsidRPr="007C39FE">
        <w:rPr>
          <w:rFonts w:ascii="GHEA Grapalat" w:hAnsi="GHEA Grapalat" w:cs="Times New Roman"/>
          <w:sz w:val="24"/>
          <w:szCs w:val="24"/>
        </w:rPr>
        <w:t>ստուգումները</w:t>
      </w:r>
      <w:r w:rsidR="001408A0">
        <w:rPr>
          <w:rFonts w:ascii="GHEA Grapalat" w:hAnsi="GHEA Grapalat" w:cs="Times New Roman"/>
          <w:sz w:val="24"/>
          <w:szCs w:val="24"/>
        </w:rPr>
        <w:t>՝</w:t>
      </w:r>
      <w:r w:rsidRPr="007C39FE">
        <w:rPr>
          <w:rFonts w:ascii="GHEA Grapalat" w:hAnsi="GHEA Grapalat" w:cs="Times New Roman"/>
          <w:sz w:val="24"/>
          <w:szCs w:val="24"/>
        </w:rPr>
        <w:t xml:space="preserve"> ներառյալ ընտրովի ստուգումները, օգտագործվել են նաև ոստիկանությունում՝ աշխատակիցների բարոյական բարեվարքությունը ստուգելու համար:</w:t>
      </w:r>
    </w:p>
    <w:p w14:paraId="23587F15" w14:textId="597BEB7D" w:rsidR="00265083" w:rsidRPr="007C39FE" w:rsidRDefault="00265083" w:rsidP="00265083">
      <w:pPr>
        <w:spacing w:after="0" w:line="360" w:lineRule="auto"/>
        <w:ind w:firstLine="567"/>
        <w:jc w:val="both"/>
        <w:rPr>
          <w:rFonts w:ascii="GHEA Grapalat" w:hAnsi="GHEA Grapalat" w:cs="Times New Roman"/>
          <w:sz w:val="24"/>
          <w:szCs w:val="24"/>
        </w:rPr>
      </w:pPr>
      <w:r w:rsidRPr="007C39FE">
        <w:rPr>
          <w:rFonts w:ascii="GHEA Grapalat" w:hAnsi="GHEA Grapalat" w:cs="Times New Roman"/>
          <w:sz w:val="24"/>
          <w:szCs w:val="24"/>
        </w:rPr>
        <w:t xml:space="preserve">Հակակոռուպցիոն օրենսդրության շրջանակներում բարեվարքության ստուգումներ ներդրվել են </w:t>
      </w:r>
      <w:r w:rsidRPr="007C39FE">
        <w:rPr>
          <w:rFonts w:ascii="GHEA Grapalat" w:hAnsi="GHEA Grapalat" w:cs="Times New Roman"/>
          <w:b/>
          <w:sz w:val="24"/>
          <w:szCs w:val="24"/>
        </w:rPr>
        <w:t>Ռումինիայում</w:t>
      </w:r>
      <w:r w:rsidRPr="007C39FE">
        <w:rPr>
          <w:rFonts w:ascii="GHEA Grapalat" w:hAnsi="GHEA Grapalat" w:cs="Times New Roman"/>
          <w:sz w:val="24"/>
          <w:szCs w:val="24"/>
        </w:rPr>
        <w:t xml:space="preserve"> (օրինակ, </w:t>
      </w:r>
      <w:r w:rsidR="001408A0">
        <w:rPr>
          <w:rFonts w:ascii="GHEA Grapalat" w:hAnsi="GHEA Grapalat" w:cs="Times New Roman"/>
          <w:sz w:val="24"/>
          <w:szCs w:val="24"/>
        </w:rPr>
        <w:t>Ն</w:t>
      </w:r>
      <w:r w:rsidRPr="007C39FE">
        <w:rPr>
          <w:rFonts w:ascii="GHEA Grapalat" w:hAnsi="GHEA Grapalat" w:cs="Times New Roman"/>
          <w:sz w:val="24"/>
          <w:szCs w:val="24"/>
        </w:rPr>
        <w:t>երքին գործերի նախարարության աշխատակիցների համար)</w:t>
      </w:r>
      <w:r w:rsidRPr="007C39FE">
        <w:rPr>
          <w:rFonts w:ascii="GHEA Grapalat" w:hAnsi="GHEA Grapalat" w:cs="Times New Roman"/>
          <w:sz w:val="24"/>
          <w:szCs w:val="24"/>
          <w:vertAlign w:val="superscript"/>
          <w:lang w:val="en-US"/>
        </w:rPr>
        <w:footnoteReference w:id="6"/>
      </w:r>
      <w:r w:rsidRPr="007C39FE">
        <w:rPr>
          <w:rFonts w:ascii="GHEA Grapalat" w:hAnsi="GHEA Grapalat" w:cs="Times New Roman"/>
          <w:sz w:val="24"/>
          <w:szCs w:val="24"/>
        </w:rPr>
        <w:t xml:space="preserve"> և </w:t>
      </w:r>
      <w:r w:rsidRPr="007C39FE">
        <w:rPr>
          <w:rFonts w:ascii="GHEA Grapalat" w:hAnsi="GHEA Grapalat" w:cs="Times New Roman"/>
          <w:b/>
          <w:sz w:val="24"/>
          <w:szCs w:val="24"/>
        </w:rPr>
        <w:t>Մոլդովայի Հանրապետությունում</w:t>
      </w:r>
      <w:r w:rsidRPr="007C39FE">
        <w:rPr>
          <w:rFonts w:ascii="GHEA Grapalat" w:hAnsi="GHEA Grapalat" w:cs="Times New Roman"/>
          <w:sz w:val="24"/>
          <w:szCs w:val="24"/>
        </w:rPr>
        <w:t xml:space="preserve"> (ընդհանուր առմամբ քաղաքացիական ծառայողների համար)</w:t>
      </w:r>
      <w:r w:rsidRPr="007C39FE">
        <w:rPr>
          <w:rFonts w:ascii="GHEA Grapalat" w:hAnsi="GHEA Grapalat" w:cs="Times New Roman"/>
          <w:sz w:val="24"/>
          <w:szCs w:val="24"/>
          <w:vertAlign w:val="superscript"/>
          <w:lang w:val="en-US"/>
        </w:rPr>
        <w:footnoteReference w:id="7"/>
      </w:r>
      <w:r w:rsidRPr="007C39FE">
        <w:rPr>
          <w:rFonts w:ascii="GHEA Grapalat" w:hAnsi="GHEA Grapalat" w:cs="Times New Roman"/>
          <w:sz w:val="24"/>
          <w:szCs w:val="24"/>
        </w:rPr>
        <w:t>:</w:t>
      </w:r>
    </w:p>
    <w:p w14:paraId="24B4220A" w14:textId="574FBA22" w:rsidR="00265083" w:rsidRPr="00405980" w:rsidRDefault="00265083" w:rsidP="004A738D">
      <w:pPr>
        <w:spacing w:after="0" w:line="360" w:lineRule="auto"/>
        <w:ind w:firstLine="567"/>
        <w:jc w:val="both"/>
        <w:rPr>
          <w:rFonts w:ascii="GHEA Grapalat" w:eastAsia="Times New Roman" w:hAnsi="GHEA Grapalat" w:cs="Times New Roman"/>
          <w:b/>
          <w:sz w:val="24"/>
          <w:szCs w:val="24"/>
        </w:rPr>
      </w:pPr>
      <w:r w:rsidRPr="0095177C">
        <w:rPr>
          <w:rFonts w:ascii="GHEA Grapalat" w:eastAsia="Times New Roman" w:hAnsi="GHEA Grapalat" w:cs="Times New Roman"/>
          <w:b/>
          <w:bCs/>
          <w:sz w:val="24"/>
          <w:szCs w:val="24"/>
        </w:rPr>
        <w:lastRenderedPageBreak/>
        <w:t>Մեծ Բրիտանիայի</w:t>
      </w:r>
      <w:r w:rsidRPr="0095177C">
        <w:rPr>
          <w:rFonts w:ascii="GHEA Grapalat" w:eastAsia="Times New Roman" w:hAnsi="GHEA Grapalat" w:cs="Times New Roman"/>
          <w:sz w:val="24"/>
          <w:szCs w:val="24"/>
        </w:rPr>
        <w:t xml:space="preserve"> կառավարությունում </w:t>
      </w:r>
      <w:r w:rsidR="001408A0">
        <w:rPr>
          <w:rFonts w:ascii="GHEA Grapalat" w:eastAsia="Times New Roman" w:hAnsi="GHEA Grapalat" w:cs="Times New Roman"/>
          <w:sz w:val="24"/>
          <w:szCs w:val="24"/>
        </w:rPr>
        <w:t>բարեվարքության</w:t>
      </w:r>
      <w:r w:rsidRPr="0095177C">
        <w:rPr>
          <w:rFonts w:ascii="GHEA Grapalat" w:eastAsia="Times New Roman" w:hAnsi="GHEA Grapalat" w:cs="Times New Roman"/>
          <w:sz w:val="24"/>
          <w:szCs w:val="24"/>
        </w:rPr>
        <w:t xml:space="preserve"> ստուգումը</w:t>
      </w:r>
      <w:r w:rsidRPr="007C39FE">
        <w:rPr>
          <w:rStyle w:val="FootnoteReference"/>
          <w:rFonts w:ascii="GHEA Grapalat" w:eastAsia="Times New Roman" w:hAnsi="GHEA Grapalat" w:cs="Times New Roman"/>
          <w:sz w:val="24"/>
          <w:szCs w:val="24"/>
        </w:rPr>
        <w:footnoteReference w:id="8"/>
      </w:r>
      <w:r w:rsidRPr="0095177C">
        <w:rPr>
          <w:rFonts w:ascii="GHEA Grapalat" w:eastAsia="Times New Roman" w:hAnsi="GHEA Grapalat" w:cs="Times New Roman"/>
          <w:sz w:val="24"/>
          <w:szCs w:val="24"/>
        </w:rPr>
        <w:t xml:space="preserve"> կիրառվում է </w:t>
      </w:r>
      <w:r w:rsidRPr="0095177C">
        <w:rPr>
          <w:rFonts w:ascii="GHEA Grapalat" w:eastAsia="Times New Roman" w:hAnsi="GHEA Grapalat" w:cs="Times New Roman"/>
          <w:b/>
          <w:bCs/>
          <w:sz w:val="24"/>
          <w:szCs w:val="24"/>
        </w:rPr>
        <w:t>բոլոր անձանց</w:t>
      </w:r>
      <w:r w:rsidRPr="0095177C">
        <w:rPr>
          <w:rFonts w:ascii="GHEA Grapalat" w:eastAsia="Times New Roman" w:hAnsi="GHEA Grapalat" w:cs="Times New Roman"/>
          <w:sz w:val="24"/>
          <w:szCs w:val="24"/>
        </w:rPr>
        <w:t xml:space="preserve"> </w:t>
      </w:r>
      <w:r w:rsidR="00896DB0">
        <w:rPr>
          <w:rFonts w:ascii="GHEA Grapalat" w:eastAsia="Times New Roman" w:hAnsi="GHEA Grapalat" w:cs="Times New Roman"/>
          <w:sz w:val="24"/>
          <w:szCs w:val="24"/>
        </w:rPr>
        <w:t>նկատմամբ</w:t>
      </w:r>
      <w:r w:rsidRPr="0095177C">
        <w:rPr>
          <w:rFonts w:ascii="GHEA Grapalat" w:eastAsia="Times New Roman" w:hAnsi="GHEA Grapalat" w:cs="Times New Roman"/>
          <w:sz w:val="24"/>
          <w:szCs w:val="24"/>
        </w:rPr>
        <w:t>, ո</w:t>
      </w:r>
      <w:r w:rsidR="00896DB0">
        <w:rPr>
          <w:rFonts w:ascii="GHEA Grapalat" w:eastAsia="Times New Roman" w:hAnsi="GHEA Grapalat" w:cs="Times New Roman"/>
          <w:sz w:val="24"/>
          <w:szCs w:val="24"/>
        </w:rPr>
        <w:t>վքեր</w:t>
      </w:r>
      <w:r w:rsidRPr="0095177C">
        <w:rPr>
          <w:rFonts w:ascii="GHEA Grapalat" w:eastAsia="Times New Roman" w:hAnsi="GHEA Grapalat" w:cs="Times New Roman"/>
          <w:sz w:val="24"/>
          <w:szCs w:val="24"/>
        </w:rPr>
        <w:t xml:space="preserve"> ունեն կառավարական ռեսուրսներին</w:t>
      </w:r>
      <w:r w:rsidR="00896DB0">
        <w:rPr>
          <w:rFonts w:ascii="GHEA Grapalat" w:eastAsia="Times New Roman" w:hAnsi="GHEA Grapalat" w:cs="Times New Roman"/>
          <w:sz w:val="24"/>
          <w:szCs w:val="24"/>
        </w:rPr>
        <w:t>, տեղեկատվությանը կամ շենքերին հասանելիության</w:t>
      </w:r>
      <w:r w:rsidRPr="0095177C">
        <w:rPr>
          <w:rFonts w:ascii="GHEA Grapalat" w:eastAsia="Times New Roman" w:hAnsi="GHEA Grapalat" w:cs="Times New Roman"/>
          <w:sz w:val="24"/>
          <w:szCs w:val="24"/>
        </w:rPr>
        <w:t xml:space="preserve"> իրավունք: </w:t>
      </w:r>
      <w:r w:rsidR="00896DB0">
        <w:rPr>
          <w:rFonts w:ascii="GHEA Grapalat" w:eastAsia="Times New Roman" w:hAnsi="GHEA Grapalat" w:cs="Times New Roman"/>
          <w:sz w:val="24"/>
          <w:szCs w:val="24"/>
        </w:rPr>
        <w:t xml:space="preserve">Այն ներառում է </w:t>
      </w:r>
      <w:r w:rsidR="00896DB0">
        <w:rPr>
          <w:rFonts w:ascii="GHEA Grapalat" w:eastAsia="Times New Roman" w:hAnsi="GHEA Grapalat" w:cs="Times New Roman"/>
          <w:b/>
          <w:bCs/>
          <w:sz w:val="24"/>
          <w:szCs w:val="24"/>
        </w:rPr>
        <w:t>պ</w:t>
      </w:r>
      <w:r w:rsidRPr="0095177C">
        <w:rPr>
          <w:rFonts w:ascii="GHEA Grapalat" w:eastAsia="Times New Roman" w:hAnsi="GHEA Grapalat" w:cs="Times New Roman"/>
          <w:b/>
          <w:bCs/>
          <w:sz w:val="24"/>
          <w:szCs w:val="24"/>
        </w:rPr>
        <w:t>ետական ծառայողներ</w:t>
      </w:r>
      <w:r w:rsidR="00896DB0">
        <w:rPr>
          <w:rFonts w:ascii="GHEA Grapalat" w:eastAsia="Times New Roman" w:hAnsi="GHEA Grapalat" w:cs="Times New Roman"/>
          <w:b/>
          <w:bCs/>
          <w:sz w:val="24"/>
          <w:szCs w:val="24"/>
        </w:rPr>
        <w:t xml:space="preserve">ին </w:t>
      </w:r>
      <w:r w:rsidR="00896DB0" w:rsidRPr="00440A67">
        <w:rPr>
          <w:rFonts w:ascii="GHEA Grapalat" w:eastAsia="Times New Roman" w:hAnsi="GHEA Grapalat" w:cs="Times New Roman"/>
          <w:bCs/>
          <w:sz w:val="24"/>
          <w:szCs w:val="24"/>
        </w:rPr>
        <w:t>(</w:t>
      </w:r>
      <w:r w:rsidRPr="0095177C">
        <w:rPr>
          <w:rFonts w:ascii="GHEA Grapalat" w:eastAsia="Times New Roman" w:hAnsi="GHEA Grapalat" w:cs="Times New Roman"/>
          <w:sz w:val="24"/>
          <w:szCs w:val="24"/>
        </w:rPr>
        <w:t>մշտական աշխատ</w:t>
      </w:r>
      <w:r w:rsidRPr="007C39FE">
        <w:rPr>
          <w:rFonts w:ascii="GHEA Grapalat" w:eastAsia="Times New Roman" w:hAnsi="GHEA Grapalat" w:cs="Times New Roman"/>
          <w:sz w:val="24"/>
          <w:szCs w:val="24"/>
        </w:rPr>
        <w:t>ակիցներ</w:t>
      </w:r>
      <w:r w:rsidR="00896DB0" w:rsidRPr="00896DB0">
        <w:rPr>
          <w:rFonts w:ascii="GHEA Grapalat" w:eastAsia="Times New Roman" w:hAnsi="GHEA Grapalat" w:cs="Times New Roman"/>
          <w:sz w:val="24"/>
          <w:szCs w:val="24"/>
        </w:rPr>
        <w:t>)</w:t>
      </w:r>
      <w:r w:rsidR="00896DB0">
        <w:rPr>
          <w:rFonts w:ascii="GHEA Grapalat" w:eastAsia="Times New Roman" w:hAnsi="GHEA Grapalat" w:cs="Times New Roman"/>
          <w:sz w:val="24"/>
          <w:szCs w:val="24"/>
        </w:rPr>
        <w:t xml:space="preserve">, </w:t>
      </w:r>
      <w:r w:rsidR="00896DB0">
        <w:rPr>
          <w:rFonts w:ascii="GHEA Grapalat" w:eastAsia="Times New Roman" w:hAnsi="GHEA Grapalat" w:cs="Times New Roman"/>
          <w:b/>
          <w:bCs/>
          <w:sz w:val="24"/>
          <w:szCs w:val="24"/>
        </w:rPr>
        <w:t>պ</w:t>
      </w:r>
      <w:r w:rsidR="00896DB0" w:rsidRPr="0095177C">
        <w:rPr>
          <w:rFonts w:ascii="GHEA Grapalat" w:eastAsia="Times New Roman" w:hAnsi="GHEA Grapalat" w:cs="Times New Roman"/>
          <w:b/>
          <w:bCs/>
          <w:sz w:val="24"/>
          <w:szCs w:val="24"/>
        </w:rPr>
        <w:t>այմանագրային աշխատողներ</w:t>
      </w:r>
      <w:r w:rsidR="00896DB0">
        <w:rPr>
          <w:rFonts w:ascii="GHEA Grapalat" w:eastAsia="Times New Roman" w:hAnsi="GHEA Grapalat" w:cs="Times New Roman"/>
          <w:b/>
          <w:bCs/>
          <w:sz w:val="24"/>
          <w:szCs w:val="24"/>
        </w:rPr>
        <w:t>ին</w:t>
      </w:r>
      <w:r w:rsidR="00896DB0" w:rsidRPr="0095177C">
        <w:rPr>
          <w:rFonts w:ascii="GHEA Grapalat" w:eastAsia="Times New Roman" w:hAnsi="GHEA Grapalat" w:cs="Times New Roman"/>
          <w:b/>
          <w:bCs/>
          <w:sz w:val="24"/>
          <w:szCs w:val="24"/>
        </w:rPr>
        <w:t xml:space="preserve"> և գործակալությունների աշխատակիցներ</w:t>
      </w:r>
      <w:r w:rsidR="00896DB0" w:rsidRPr="00440A67">
        <w:rPr>
          <w:rFonts w:ascii="GHEA Grapalat" w:eastAsia="Times New Roman" w:hAnsi="GHEA Grapalat" w:cs="Times New Roman"/>
          <w:b/>
          <w:sz w:val="24"/>
          <w:szCs w:val="24"/>
        </w:rPr>
        <w:t>ին</w:t>
      </w:r>
      <w:r w:rsidR="00896DB0" w:rsidRPr="0095177C">
        <w:rPr>
          <w:rFonts w:ascii="GHEA Grapalat" w:eastAsia="Times New Roman" w:hAnsi="GHEA Grapalat" w:cs="Times New Roman"/>
          <w:sz w:val="24"/>
          <w:szCs w:val="24"/>
        </w:rPr>
        <w:t xml:space="preserve"> </w:t>
      </w:r>
      <w:r w:rsidR="00896DB0" w:rsidRPr="00896DB0">
        <w:rPr>
          <w:rFonts w:ascii="GHEA Grapalat" w:eastAsia="Times New Roman" w:hAnsi="GHEA Grapalat" w:cs="Times New Roman"/>
          <w:sz w:val="24"/>
          <w:szCs w:val="24"/>
        </w:rPr>
        <w:t>(</w:t>
      </w:r>
      <w:r w:rsidR="00896DB0" w:rsidRPr="0095177C">
        <w:rPr>
          <w:rFonts w:ascii="GHEA Grapalat" w:eastAsia="Times New Roman" w:hAnsi="GHEA Grapalat" w:cs="Times New Roman"/>
          <w:sz w:val="24"/>
          <w:szCs w:val="24"/>
        </w:rPr>
        <w:t>անձինք, ովքեր ժամանակավոր կամ հա</w:t>
      </w:r>
      <w:r w:rsidR="00896DB0">
        <w:rPr>
          <w:rFonts w:ascii="GHEA Grapalat" w:eastAsia="Times New Roman" w:hAnsi="GHEA Grapalat" w:cs="Times New Roman"/>
          <w:sz w:val="24"/>
          <w:szCs w:val="24"/>
        </w:rPr>
        <w:t>տուկ նախագծերի համար են վարձված</w:t>
      </w:r>
      <w:r w:rsidR="00896DB0" w:rsidRPr="00896DB0">
        <w:rPr>
          <w:rFonts w:ascii="GHEA Grapalat" w:eastAsia="Times New Roman" w:hAnsi="GHEA Grapalat" w:cs="Times New Roman"/>
          <w:sz w:val="24"/>
          <w:szCs w:val="24"/>
        </w:rPr>
        <w:t xml:space="preserve">), </w:t>
      </w:r>
      <w:r w:rsidR="00896DB0">
        <w:rPr>
          <w:rFonts w:ascii="GHEA Grapalat" w:eastAsia="Times New Roman" w:hAnsi="GHEA Grapalat" w:cs="Times New Roman"/>
          <w:b/>
          <w:bCs/>
          <w:sz w:val="24"/>
          <w:szCs w:val="24"/>
        </w:rPr>
        <w:t>ժ</w:t>
      </w:r>
      <w:r w:rsidR="00896DB0" w:rsidRPr="0095177C">
        <w:rPr>
          <w:rFonts w:ascii="GHEA Grapalat" w:eastAsia="Times New Roman" w:hAnsi="GHEA Grapalat" w:cs="Times New Roman"/>
          <w:b/>
          <w:bCs/>
          <w:sz w:val="24"/>
          <w:szCs w:val="24"/>
        </w:rPr>
        <w:t>ամանակավոր և կարճաժամկետ աշխատակիցներ</w:t>
      </w:r>
      <w:r w:rsidR="00896DB0">
        <w:rPr>
          <w:rFonts w:ascii="GHEA Grapalat" w:eastAsia="Times New Roman" w:hAnsi="GHEA Grapalat" w:cs="Times New Roman"/>
          <w:sz w:val="24"/>
          <w:szCs w:val="24"/>
        </w:rPr>
        <w:t>ին</w:t>
      </w:r>
      <w:r w:rsidR="00440A67">
        <w:rPr>
          <w:rFonts w:ascii="GHEA Grapalat" w:eastAsia="Times New Roman" w:hAnsi="GHEA Grapalat" w:cs="Times New Roman"/>
          <w:sz w:val="24"/>
          <w:szCs w:val="24"/>
        </w:rPr>
        <w:t xml:space="preserve">, </w:t>
      </w:r>
      <w:r w:rsidR="00440A67" w:rsidRPr="00440A67">
        <w:rPr>
          <w:rFonts w:ascii="GHEA Grapalat" w:eastAsia="Times New Roman" w:hAnsi="GHEA Grapalat" w:cs="Times New Roman"/>
          <w:b/>
          <w:bCs/>
          <w:sz w:val="24"/>
          <w:szCs w:val="24"/>
        </w:rPr>
        <w:t>կ</w:t>
      </w:r>
      <w:r w:rsidR="00440A67" w:rsidRPr="00440A67">
        <w:rPr>
          <w:rFonts w:ascii="GHEA Grapalat" w:eastAsia="Times New Roman" w:hAnsi="GHEA Grapalat" w:cs="Times New Roman"/>
          <w:b/>
          <w:bCs/>
          <w:sz w:val="24"/>
          <w:szCs w:val="24"/>
        </w:rPr>
        <w:t>ամավորներ</w:t>
      </w:r>
      <w:r w:rsidR="00440A67" w:rsidRPr="00440A67">
        <w:rPr>
          <w:rFonts w:ascii="GHEA Grapalat" w:eastAsia="Times New Roman" w:hAnsi="GHEA Grapalat" w:cs="Times New Roman"/>
          <w:b/>
          <w:bCs/>
          <w:sz w:val="24"/>
          <w:szCs w:val="24"/>
        </w:rPr>
        <w:t>ին</w:t>
      </w:r>
      <w:r w:rsidR="00440A67" w:rsidRPr="00440A67">
        <w:rPr>
          <w:rFonts w:ascii="GHEA Grapalat" w:eastAsia="Times New Roman" w:hAnsi="GHEA Grapalat" w:cs="Times New Roman"/>
          <w:b/>
          <w:bCs/>
          <w:sz w:val="24"/>
          <w:szCs w:val="24"/>
        </w:rPr>
        <w:t xml:space="preserve"> և պրակտիկանտներ</w:t>
      </w:r>
      <w:r w:rsidR="00440A67" w:rsidRPr="00440A67">
        <w:rPr>
          <w:rFonts w:ascii="GHEA Grapalat" w:eastAsia="Times New Roman" w:hAnsi="GHEA Grapalat" w:cs="Times New Roman"/>
          <w:b/>
          <w:sz w:val="24"/>
          <w:szCs w:val="24"/>
        </w:rPr>
        <w:t>ին</w:t>
      </w:r>
      <w:r w:rsidR="00405980" w:rsidRPr="00405980">
        <w:rPr>
          <w:rFonts w:ascii="GHEA Grapalat" w:eastAsia="Times New Roman" w:hAnsi="GHEA Grapalat" w:cs="Times New Roman"/>
          <w:b/>
          <w:sz w:val="24"/>
          <w:szCs w:val="24"/>
        </w:rPr>
        <w:t>:</w:t>
      </w:r>
    </w:p>
    <w:p w14:paraId="117BE478" w14:textId="30D1A20E" w:rsidR="00265083" w:rsidRPr="007C39FE" w:rsidRDefault="00460D39" w:rsidP="00265083">
      <w:pPr>
        <w:spacing w:after="0" w:line="360" w:lineRule="auto"/>
        <w:ind w:firstLine="720"/>
        <w:jc w:val="both"/>
        <w:rPr>
          <w:rFonts w:ascii="GHEA Grapalat" w:eastAsia="Times New Roman" w:hAnsi="GHEA Grapalat" w:cs="Times New Roman"/>
          <w:sz w:val="24"/>
          <w:szCs w:val="24"/>
        </w:rPr>
      </w:pPr>
      <w:r>
        <w:rPr>
          <w:rFonts w:ascii="GHEA Grapalat" w:eastAsia="Times New Roman" w:hAnsi="GHEA Grapalat" w:cs="Times New Roman"/>
          <w:sz w:val="24"/>
          <w:szCs w:val="24"/>
        </w:rPr>
        <w:t>Միաժամանակ, բարեվարքության ս</w:t>
      </w:r>
      <w:r w:rsidR="00265083" w:rsidRPr="0095177C">
        <w:rPr>
          <w:rFonts w:ascii="GHEA Grapalat" w:eastAsia="Times New Roman" w:hAnsi="GHEA Grapalat" w:cs="Times New Roman"/>
          <w:sz w:val="24"/>
          <w:szCs w:val="24"/>
        </w:rPr>
        <w:t xml:space="preserve">տուգման պահանջները տարբեր են՝ կախված </w:t>
      </w:r>
      <w:r w:rsidR="00265083" w:rsidRPr="007C39FE">
        <w:rPr>
          <w:rFonts w:ascii="GHEA Grapalat" w:eastAsia="Times New Roman" w:hAnsi="GHEA Grapalat" w:cs="Times New Roman"/>
          <w:sz w:val="24"/>
          <w:szCs w:val="24"/>
        </w:rPr>
        <w:t>պաշտոնի</w:t>
      </w:r>
      <w:r>
        <w:rPr>
          <w:rFonts w:ascii="GHEA Grapalat" w:eastAsia="Times New Roman" w:hAnsi="GHEA Grapalat" w:cs="Times New Roman"/>
          <w:sz w:val="24"/>
          <w:szCs w:val="24"/>
        </w:rPr>
        <w:t xml:space="preserve"> անվտանգության մակարդակից.</w:t>
      </w:r>
      <w:r w:rsidR="00265083" w:rsidRPr="0095177C">
        <w:rPr>
          <w:rFonts w:ascii="GHEA Grapalat" w:eastAsia="Times New Roman" w:hAnsi="GHEA Grapalat" w:cs="Times New Roman"/>
          <w:sz w:val="24"/>
          <w:szCs w:val="24"/>
        </w:rPr>
        <w:t xml:space="preserve"> ավելի </w:t>
      </w:r>
      <w:r>
        <w:rPr>
          <w:rFonts w:ascii="GHEA Grapalat" w:eastAsia="Times New Roman" w:hAnsi="GHEA Grapalat" w:cs="Times New Roman"/>
          <w:sz w:val="24"/>
          <w:szCs w:val="24"/>
        </w:rPr>
        <w:t xml:space="preserve">ընդարձակ </w:t>
      </w:r>
      <w:r w:rsidR="00265083" w:rsidRPr="0095177C">
        <w:rPr>
          <w:rFonts w:ascii="GHEA Grapalat" w:eastAsia="Times New Roman" w:hAnsi="GHEA Grapalat" w:cs="Times New Roman"/>
          <w:sz w:val="24"/>
          <w:szCs w:val="24"/>
        </w:rPr>
        <w:t>անվտանգության ստուգումներ (ինչպիսիք են Անվտանգության ստուգումը կամ Զարգացած ստուգումը) պահանջվում են այն պաշտոնների համար, որոնք ունեն գաղտնի կամ զգայուն տեղեկատվության հասանելիություն:</w:t>
      </w:r>
      <w:r w:rsidR="00265083" w:rsidRPr="007C39FE">
        <w:rPr>
          <w:rStyle w:val="FootnoteReference"/>
          <w:rFonts w:ascii="GHEA Grapalat" w:eastAsia="Times New Roman" w:hAnsi="GHEA Grapalat" w:cs="Times New Roman"/>
          <w:sz w:val="24"/>
          <w:szCs w:val="24"/>
        </w:rPr>
        <w:footnoteReference w:id="9"/>
      </w:r>
    </w:p>
    <w:p w14:paraId="58F885FE" w14:textId="482BCAF0" w:rsidR="00265083" w:rsidRPr="00DC2634" w:rsidRDefault="00265083" w:rsidP="00265083">
      <w:pPr>
        <w:spacing w:after="0" w:line="360" w:lineRule="auto"/>
        <w:ind w:firstLine="720"/>
        <w:jc w:val="both"/>
        <w:rPr>
          <w:rFonts w:ascii="GHEA Grapalat" w:eastAsia="Times New Roman" w:hAnsi="GHEA Grapalat" w:cs="Times New Roman"/>
          <w:sz w:val="24"/>
          <w:szCs w:val="24"/>
        </w:rPr>
      </w:pPr>
      <w:r w:rsidRPr="0095177C">
        <w:rPr>
          <w:rFonts w:ascii="GHEA Grapalat" w:eastAsia="Times New Roman" w:hAnsi="GHEA Grapalat" w:cs="Times New Roman"/>
          <w:b/>
          <w:bCs/>
          <w:sz w:val="24"/>
          <w:szCs w:val="24"/>
        </w:rPr>
        <w:t xml:space="preserve">Մեծ Բրիտանիայի </w:t>
      </w:r>
      <w:r w:rsidRPr="00DC2634">
        <w:rPr>
          <w:rFonts w:ascii="GHEA Grapalat" w:eastAsia="Times New Roman" w:hAnsi="GHEA Grapalat" w:cs="Times New Roman"/>
          <w:sz w:val="24"/>
          <w:szCs w:val="24"/>
        </w:rPr>
        <w:t>կառավարությունում</w:t>
      </w:r>
      <w:r w:rsidRPr="0095177C">
        <w:rPr>
          <w:rFonts w:ascii="GHEA Grapalat" w:eastAsia="Times New Roman" w:hAnsi="GHEA Grapalat" w:cs="Times New Roman"/>
          <w:sz w:val="24"/>
          <w:szCs w:val="24"/>
        </w:rPr>
        <w:t xml:space="preserve"> նախնական ստուգումը</w:t>
      </w:r>
      <w:r w:rsidR="00DC2634" w:rsidRPr="00DC2634">
        <w:t xml:space="preserve"> (</w:t>
      </w:r>
      <w:r w:rsidR="00DC2634" w:rsidRPr="00DC2634">
        <w:rPr>
          <w:rFonts w:ascii="GHEA Grapalat" w:eastAsia="Times New Roman" w:hAnsi="GHEA Grapalat" w:cs="Times New Roman"/>
          <w:sz w:val="24"/>
          <w:szCs w:val="24"/>
        </w:rPr>
        <w:t>Pre-Employment Screening)</w:t>
      </w:r>
      <w:r w:rsidRPr="007C39FE">
        <w:rPr>
          <w:rStyle w:val="FootnoteReference"/>
          <w:rFonts w:ascii="GHEA Grapalat" w:eastAsia="Times New Roman" w:hAnsi="GHEA Grapalat" w:cs="Times New Roman"/>
          <w:sz w:val="24"/>
          <w:szCs w:val="24"/>
        </w:rPr>
        <w:footnoteReference w:id="10"/>
      </w:r>
      <w:r w:rsidRPr="0095177C">
        <w:rPr>
          <w:rFonts w:ascii="GHEA Grapalat" w:eastAsia="Times New Roman" w:hAnsi="GHEA Grapalat" w:cs="Times New Roman"/>
          <w:sz w:val="24"/>
          <w:szCs w:val="24"/>
        </w:rPr>
        <w:t xml:space="preserve"> պարտադիր գործընթաց է՝ ապահովելու համար, որ թեկնածուները համապատասխանում են պետական ծառայության </w:t>
      </w:r>
      <w:r w:rsidRPr="007C39FE">
        <w:rPr>
          <w:rFonts w:ascii="GHEA Grapalat" w:eastAsia="Times New Roman" w:hAnsi="GHEA Grapalat" w:cs="Times New Roman"/>
          <w:sz w:val="24"/>
          <w:szCs w:val="24"/>
        </w:rPr>
        <w:t>պաշտոնների</w:t>
      </w:r>
      <w:r w:rsidRPr="0095177C">
        <w:rPr>
          <w:rFonts w:ascii="GHEA Grapalat" w:eastAsia="Times New Roman" w:hAnsi="GHEA Grapalat" w:cs="Times New Roman"/>
          <w:sz w:val="24"/>
          <w:szCs w:val="24"/>
        </w:rPr>
        <w:t>ն և վստահելի են: Այս ստուգումը սովորաբար ներառում է մի քանի հիմնական կետեր.</w:t>
      </w:r>
    </w:p>
    <w:p w14:paraId="5139362B" w14:textId="7751EB98" w:rsidR="00265083" w:rsidRPr="0095177C" w:rsidRDefault="00D7705E" w:rsidP="00265083">
      <w:pPr>
        <w:numPr>
          <w:ilvl w:val="0"/>
          <w:numId w:val="8"/>
        </w:numPr>
        <w:spacing w:after="0" w:line="360" w:lineRule="auto"/>
        <w:jc w:val="both"/>
        <w:rPr>
          <w:rFonts w:ascii="GHEA Grapalat" w:eastAsia="Times New Roman" w:hAnsi="GHEA Grapalat" w:cs="Times New Roman"/>
          <w:sz w:val="24"/>
          <w:szCs w:val="24"/>
        </w:rPr>
      </w:pPr>
      <w:r>
        <w:rPr>
          <w:rFonts w:ascii="GHEA Grapalat" w:eastAsia="Times New Roman" w:hAnsi="GHEA Grapalat" w:cs="Times New Roman"/>
          <w:b/>
          <w:bCs/>
          <w:sz w:val="24"/>
          <w:szCs w:val="24"/>
        </w:rPr>
        <w:t>ա</w:t>
      </w:r>
      <w:r w:rsidR="00265083" w:rsidRPr="0095177C">
        <w:rPr>
          <w:rFonts w:ascii="GHEA Grapalat" w:eastAsia="Times New Roman" w:hAnsi="GHEA Grapalat" w:cs="Times New Roman"/>
          <w:b/>
          <w:bCs/>
          <w:sz w:val="24"/>
          <w:szCs w:val="24"/>
        </w:rPr>
        <w:t>նձի նույնականացման հաստատում</w:t>
      </w:r>
      <w:r w:rsidR="00265083" w:rsidRPr="0095177C">
        <w:rPr>
          <w:rFonts w:ascii="GHEA Grapalat" w:eastAsia="Times New Roman" w:hAnsi="GHEA Grapalat" w:cs="Times New Roman"/>
          <w:sz w:val="24"/>
          <w:szCs w:val="24"/>
        </w:rPr>
        <w:t>՝ հաստատում է թեկնածուի ինքնությունը և Մեծ Բ</w:t>
      </w:r>
      <w:r>
        <w:rPr>
          <w:rFonts w:ascii="GHEA Grapalat" w:eastAsia="Times New Roman" w:hAnsi="GHEA Grapalat" w:cs="Times New Roman"/>
          <w:sz w:val="24"/>
          <w:szCs w:val="24"/>
        </w:rPr>
        <w:t>րիտանիայում աշխատելու իրավունքը.</w:t>
      </w:r>
    </w:p>
    <w:p w14:paraId="1ADFE1BF" w14:textId="24847174" w:rsidR="00265083" w:rsidRPr="0095177C" w:rsidRDefault="00D7705E" w:rsidP="00265083">
      <w:pPr>
        <w:numPr>
          <w:ilvl w:val="0"/>
          <w:numId w:val="8"/>
        </w:numPr>
        <w:spacing w:after="0" w:line="360" w:lineRule="auto"/>
        <w:jc w:val="both"/>
        <w:rPr>
          <w:rFonts w:ascii="GHEA Grapalat" w:eastAsia="Times New Roman" w:hAnsi="GHEA Grapalat" w:cs="Times New Roman"/>
          <w:sz w:val="24"/>
          <w:szCs w:val="24"/>
        </w:rPr>
      </w:pPr>
      <w:r>
        <w:rPr>
          <w:rFonts w:ascii="GHEA Grapalat" w:eastAsia="Times New Roman" w:hAnsi="GHEA Grapalat" w:cs="Times New Roman"/>
          <w:b/>
          <w:bCs/>
          <w:sz w:val="24"/>
          <w:szCs w:val="24"/>
        </w:rPr>
        <w:t>ա</w:t>
      </w:r>
      <w:r w:rsidR="00265083" w:rsidRPr="0095177C">
        <w:rPr>
          <w:rFonts w:ascii="GHEA Grapalat" w:eastAsia="Times New Roman" w:hAnsi="GHEA Grapalat" w:cs="Times New Roman"/>
          <w:b/>
          <w:bCs/>
          <w:sz w:val="24"/>
          <w:szCs w:val="24"/>
        </w:rPr>
        <w:t>շխատանքային փորձ և երաշխավորություններ</w:t>
      </w:r>
      <w:r>
        <w:rPr>
          <w:rFonts w:ascii="GHEA Grapalat" w:eastAsia="Times New Roman" w:hAnsi="GHEA Grapalat" w:cs="Times New Roman"/>
          <w:sz w:val="24"/>
          <w:szCs w:val="24"/>
        </w:rPr>
        <w:t>.</w:t>
      </w:r>
      <w:r w:rsidR="00265083" w:rsidRPr="0095177C">
        <w:rPr>
          <w:rFonts w:ascii="GHEA Grapalat" w:eastAsia="Times New Roman" w:hAnsi="GHEA Grapalat" w:cs="Times New Roman"/>
          <w:sz w:val="24"/>
          <w:szCs w:val="24"/>
        </w:rPr>
        <w:t xml:space="preserve"> վերանայ</w:t>
      </w:r>
      <w:r w:rsidR="00265083" w:rsidRPr="007C39FE">
        <w:rPr>
          <w:rFonts w:ascii="GHEA Grapalat" w:eastAsia="Times New Roman" w:hAnsi="GHEA Grapalat" w:cs="Times New Roman"/>
          <w:sz w:val="24"/>
          <w:szCs w:val="24"/>
        </w:rPr>
        <w:t>վ</w:t>
      </w:r>
      <w:r w:rsidR="00265083" w:rsidRPr="0095177C">
        <w:rPr>
          <w:rFonts w:ascii="GHEA Grapalat" w:eastAsia="Times New Roman" w:hAnsi="GHEA Grapalat" w:cs="Times New Roman"/>
          <w:sz w:val="24"/>
          <w:szCs w:val="24"/>
        </w:rPr>
        <w:t>ում է նախորդ աշխատանքը և ստանում երաշխավորություններ</w:t>
      </w:r>
      <w:r>
        <w:rPr>
          <w:rFonts w:ascii="GHEA Grapalat" w:eastAsia="Times New Roman" w:hAnsi="GHEA Grapalat" w:cs="Times New Roman"/>
          <w:sz w:val="24"/>
          <w:szCs w:val="24"/>
        </w:rPr>
        <w:t>՝ հաստատելու աշխատանքային փորձը.</w:t>
      </w:r>
    </w:p>
    <w:p w14:paraId="19E412DD" w14:textId="65B38168" w:rsidR="00265083" w:rsidRPr="007C39FE" w:rsidRDefault="00D7705E" w:rsidP="00265083">
      <w:pPr>
        <w:numPr>
          <w:ilvl w:val="0"/>
          <w:numId w:val="8"/>
        </w:numPr>
        <w:spacing w:after="0" w:line="360" w:lineRule="auto"/>
        <w:jc w:val="both"/>
        <w:rPr>
          <w:rFonts w:ascii="GHEA Grapalat" w:eastAsia="Times New Roman" w:hAnsi="GHEA Grapalat" w:cs="Times New Roman"/>
          <w:sz w:val="24"/>
          <w:szCs w:val="24"/>
        </w:rPr>
      </w:pPr>
      <w:r>
        <w:rPr>
          <w:rFonts w:ascii="GHEA Grapalat" w:hAnsi="GHEA Grapalat"/>
          <w:b/>
          <w:bCs/>
          <w:sz w:val="24"/>
          <w:szCs w:val="24"/>
        </w:rPr>
        <w:t>ք</w:t>
      </w:r>
      <w:r w:rsidR="00265083" w:rsidRPr="007C39FE">
        <w:rPr>
          <w:rFonts w:ascii="GHEA Grapalat" w:hAnsi="GHEA Grapalat"/>
          <w:b/>
          <w:bCs/>
          <w:sz w:val="24"/>
          <w:szCs w:val="24"/>
        </w:rPr>
        <w:t>րեական գրառումների ստուգում (DBS checking)</w:t>
      </w:r>
      <w:r>
        <w:rPr>
          <w:rFonts w:ascii="GHEA Grapalat" w:hAnsi="GHEA Grapalat"/>
          <w:b/>
          <w:bCs/>
          <w:sz w:val="24"/>
          <w:szCs w:val="24"/>
        </w:rPr>
        <w:t>.</w:t>
      </w:r>
      <w:r w:rsidR="00265083" w:rsidRPr="007C39FE">
        <w:rPr>
          <w:rFonts w:ascii="GHEA Grapalat" w:hAnsi="GHEA Grapalat"/>
          <w:sz w:val="24"/>
          <w:szCs w:val="24"/>
        </w:rPr>
        <w:t xml:space="preserve"> իրականացվում են ֆոնային ստուգումներ՝ ցանկացած համապատասխան քրեական պատմություն հայտնաբերելու համար</w:t>
      </w:r>
      <w:r>
        <w:rPr>
          <w:rFonts w:ascii="GHEA Grapalat" w:hAnsi="GHEA Grapalat"/>
          <w:sz w:val="24"/>
          <w:szCs w:val="24"/>
        </w:rPr>
        <w:t>.</w:t>
      </w:r>
    </w:p>
    <w:p w14:paraId="5DB45DC8" w14:textId="1C2C41D9" w:rsidR="00265083" w:rsidRPr="0095177C" w:rsidRDefault="00D7705E" w:rsidP="00265083">
      <w:pPr>
        <w:numPr>
          <w:ilvl w:val="0"/>
          <w:numId w:val="8"/>
        </w:numPr>
        <w:spacing w:after="0" w:line="360" w:lineRule="auto"/>
        <w:jc w:val="both"/>
        <w:rPr>
          <w:rFonts w:ascii="GHEA Grapalat" w:eastAsia="Times New Roman" w:hAnsi="GHEA Grapalat" w:cs="Times New Roman"/>
          <w:sz w:val="24"/>
          <w:szCs w:val="24"/>
        </w:rPr>
      </w:pPr>
      <w:r>
        <w:rPr>
          <w:rFonts w:ascii="GHEA Grapalat" w:eastAsia="Times New Roman" w:hAnsi="GHEA Grapalat" w:cs="Times New Roman"/>
          <w:b/>
          <w:bCs/>
          <w:sz w:val="24"/>
          <w:szCs w:val="24"/>
        </w:rPr>
        <w:lastRenderedPageBreak/>
        <w:t>ա</w:t>
      </w:r>
      <w:r w:rsidR="00265083" w:rsidRPr="0095177C">
        <w:rPr>
          <w:rFonts w:ascii="GHEA Grapalat" w:eastAsia="Times New Roman" w:hAnsi="GHEA Grapalat" w:cs="Times New Roman"/>
          <w:b/>
          <w:bCs/>
          <w:sz w:val="24"/>
          <w:szCs w:val="24"/>
        </w:rPr>
        <w:t>նվտանգության ստուգում</w:t>
      </w:r>
      <w:r>
        <w:rPr>
          <w:rFonts w:ascii="GHEA Grapalat" w:eastAsia="Times New Roman" w:hAnsi="GHEA Grapalat" w:cs="Times New Roman"/>
          <w:sz w:val="24"/>
          <w:szCs w:val="24"/>
        </w:rPr>
        <w:t xml:space="preserve">՝ կախված պաշտոնից. </w:t>
      </w:r>
      <w:r w:rsidR="00265083" w:rsidRPr="0095177C">
        <w:rPr>
          <w:rFonts w:ascii="GHEA Grapalat" w:eastAsia="Times New Roman" w:hAnsi="GHEA Grapalat" w:cs="Times New Roman"/>
          <w:sz w:val="24"/>
          <w:szCs w:val="24"/>
        </w:rPr>
        <w:t xml:space="preserve">պահանջվում են անվտանգության տարբեր մակարդակի ստուգումներ (օրինակ՝ հակաահաբեկչական ստուգում, անվտանգության ստուգում կամ </w:t>
      </w:r>
      <w:r w:rsidR="00265083" w:rsidRPr="007C39FE">
        <w:rPr>
          <w:rFonts w:ascii="GHEA Grapalat" w:eastAsia="Times New Roman" w:hAnsi="GHEA Grapalat" w:cs="Times New Roman"/>
          <w:sz w:val="24"/>
          <w:szCs w:val="24"/>
        </w:rPr>
        <w:t>Զարգացած ստուգման համակարգ (Developed Vetting)</w:t>
      </w:r>
      <w:r w:rsidR="00F30170">
        <w:rPr>
          <w:rFonts w:ascii="GHEA Grapalat" w:eastAsia="Times New Roman" w:hAnsi="GHEA Grapalat" w:cs="Times New Roman"/>
          <w:sz w:val="24"/>
          <w:szCs w:val="24"/>
        </w:rPr>
        <w:t>).</w:t>
      </w:r>
    </w:p>
    <w:p w14:paraId="0AF905D3" w14:textId="60C8F20C" w:rsidR="004A738D" w:rsidRPr="00CA3509" w:rsidRDefault="00F30170" w:rsidP="00CA3509">
      <w:pPr>
        <w:numPr>
          <w:ilvl w:val="0"/>
          <w:numId w:val="8"/>
        </w:numPr>
        <w:spacing w:after="0" w:line="360" w:lineRule="auto"/>
        <w:jc w:val="both"/>
        <w:rPr>
          <w:rFonts w:ascii="GHEA Grapalat" w:eastAsia="Times New Roman" w:hAnsi="GHEA Grapalat" w:cs="Times New Roman"/>
          <w:sz w:val="24"/>
          <w:szCs w:val="24"/>
        </w:rPr>
      </w:pPr>
      <w:r>
        <w:rPr>
          <w:rFonts w:ascii="GHEA Grapalat" w:eastAsia="Times New Roman" w:hAnsi="GHEA Grapalat" w:cs="Times New Roman"/>
          <w:b/>
          <w:bCs/>
          <w:sz w:val="24"/>
          <w:szCs w:val="24"/>
        </w:rPr>
        <w:t>ֆ</w:t>
      </w:r>
      <w:r w:rsidR="00265083" w:rsidRPr="0095177C">
        <w:rPr>
          <w:rFonts w:ascii="GHEA Grapalat" w:eastAsia="Times New Roman" w:hAnsi="GHEA Grapalat" w:cs="Times New Roman"/>
          <w:b/>
          <w:bCs/>
          <w:sz w:val="24"/>
          <w:szCs w:val="24"/>
        </w:rPr>
        <w:t>ինանսական և վարկային ստուգում</w:t>
      </w:r>
      <w:r>
        <w:rPr>
          <w:rFonts w:ascii="GHEA Grapalat" w:eastAsia="Times New Roman" w:hAnsi="GHEA Grapalat" w:cs="Times New Roman"/>
          <w:sz w:val="24"/>
          <w:szCs w:val="24"/>
        </w:rPr>
        <w:t>.</w:t>
      </w:r>
      <w:r w:rsidR="00265083" w:rsidRPr="0095177C">
        <w:rPr>
          <w:rFonts w:ascii="GHEA Grapalat" w:eastAsia="Times New Roman" w:hAnsi="GHEA Grapalat" w:cs="Times New Roman"/>
          <w:sz w:val="24"/>
          <w:szCs w:val="24"/>
        </w:rPr>
        <w:t xml:space="preserve"> գնահատ</w:t>
      </w:r>
      <w:r w:rsidR="00265083" w:rsidRPr="007C39FE">
        <w:rPr>
          <w:rFonts w:ascii="GHEA Grapalat" w:eastAsia="Times New Roman" w:hAnsi="GHEA Grapalat" w:cs="Times New Roman"/>
          <w:sz w:val="24"/>
          <w:szCs w:val="24"/>
        </w:rPr>
        <w:t>վ</w:t>
      </w:r>
      <w:r w:rsidR="00265083" w:rsidRPr="0095177C">
        <w:rPr>
          <w:rFonts w:ascii="GHEA Grapalat" w:eastAsia="Times New Roman" w:hAnsi="GHEA Grapalat" w:cs="Times New Roman"/>
          <w:sz w:val="24"/>
          <w:szCs w:val="24"/>
        </w:rPr>
        <w:t>ում է թեկնածուի ֆինանսական կայունությունը՝ հնարավոր շահերի բախումը կանխելու նպատակով:</w:t>
      </w:r>
    </w:p>
    <w:p w14:paraId="279AC71C" w14:textId="783CECEC" w:rsidR="00F426FB" w:rsidRPr="00B31B1B" w:rsidRDefault="00AC66D0" w:rsidP="00B31B1B">
      <w:pPr>
        <w:spacing w:line="360" w:lineRule="auto"/>
        <w:jc w:val="both"/>
        <w:rPr>
          <w:rFonts w:ascii="GHEA Grapalat" w:hAnsi="GHEA Grapalat"/>
          <w:sz w:val="24"/>
          <w:szCs w:val="24"/>
        </w:rPr>
      </w:pPr>
      <w:r w:rsidRPr="00D0017A">
        <w:rPr>
          <w:rFonts w:ascii="GHEA Grapalat" w:hAnsi="GHEA Grapalat"/>
          <w:sz w:val="24"/>
          <w:szCs w:val="24"/>
        </w:rPr>
        <w:t xml:space="preserve"> </w:t>
      </w:r>
      <w:r w:rsidR="004F6DB1">
        <w:rPr>
          <w:rFonts w:ascii="GHEA Grapalat" w:hAnsi="GHEA Grapalat"/>
          <w:sz w:val="24"/>
          <w:szCs w:val="24"/>
        </w:rPr>
        <w:tab/>
      </w:r>
      <w:r w:rsidRPr="00B31B1B">
        <w:rPr>
          <w:rFonts w:ascii="GHEA Grapalat" w:hAnsi="GHEA Grapalat"/>
          <w:sz w:val="24"/>
          <w:szCs w:val="24"/>
        </w:rPr>
        <w:t>Բարեվարքության ստուգ</w:t>
      </w:r>
      <w:r w:rsidR="00D0017A" w:rsidRPr="00B31B1B">
        <w:rPr>
          <w:rFonts w:ascii="GHEA Grapalat" w:hAnsi="GHEA Grapalat"/>
          <w:sz w:val="24"/>
          <w:szCs w:val="24"/>
        </w:rPr>
        <w:t>ման</w:t>
      </w:r>
      <w:r w:rsidR="00F426FB" w:rsidRPr="00B31B1B">
        <w:rPr>
          <w:rFonts w:ascii="GHEA Grapalat" w:hAnsi="GHEA Grapalat"/>
          <w:sz w:val="24"/>
          <w:szCs w:val="24"/>
        </w:rPr>
        <w:t xml:space="preserve"> վերաբերյալ</w:t>
      </w:r>
      <w:r w:rsidR="00D0017A" w:rsidRPr="00B31B1B">
        <w:rPr>
          <w:rFonts w:ascii="GHEA Grapalat" w:hAnsi="GHEA Grapalat"/>
          <w:sz w:val="24"/>
          <w:szCs w:val="24"/>
        </w:rPr>
        <w:t>՝</w:t>
      </w:r>
      <w:r w:rsidRPr="00B31B1B">
        <w:rPr>
          <w:rFonts w:ascii="GHEA Grapalat" w:hAnsi="GHEA Grapalat"/>
          <w:sz w:val="24"/>
          <w:szCs w:val="24"/>
        </w:rPr>
        <w:t xml:space="preserve"> որպես</w:t>
      </w:r>
      <w:r w:rsidR="00E526FB" w:rsidRPr="00B31B1B">
        <w:rPr>
          <w:rFonts w:ascii="GHEA Grapalat" w:hAnsi="GHEA Grapalat"/>
          <w:sz w:val="24"/>
          <w:szCs w:val="24"/>
        </w:rPr>
        <w:t xml:space="preserve"> կոռուպցիայի կանխարգելման գոր</w:t>
      </w:r>
      <w:r w:rsidR="00F426FB" w:rsidRPr="00B31B1B">
        <w:rPr>
          <w:rFonts w:ascii="GHEA Grapalat" w:hAnsi="GHEA Grapalat"/>
          <w:sz w:val="24"/>
          <w:szCs w:val="24"/>
        </w:rPr>
        <w:t>ծիք, նշված է նաև մի շարք միջազգային փաստաթղթերում: Այսպես,</w:t>
      </w:r>
      <w:r w:rsidRPr="00B31B1B">
        <w:rPr>
          <w:rFonts w:ascii="GHEA Grapalat" w:hAnsi="GHEA Grapalat"/>
          <w:sz w:val="24"/>
          <w:szCs w:val="24"/>
        </w:rPr>
        <w:t xml:space="preserve"> </w:t>
      </w:r>
    </w:p>
    <w:p w14:paraId="70E45F90" w14:textId="38101A7F" w:rsidR="007E637A" w:rsidRPr="008E7CB6" w:rsidRDefault="00AC66D0" w:rsidP="008E7CB6">
      <w:pPr>
        <w:pStyle w:val="ListParagraph"/>
        <w:numPr>
          <w:ilvl w:val="0"/>
          <w:numId w:val="13"/>
        </w:numPr>
        <w:tabs>
          <w:tab w:val="left" w:pos="993"/>
        </w:tabs>
        <w:spacing w:line="360" w:lineRule="auto"/>
        <w:ind w:left="0" w:firstLine="709"/>
        <w:jc w:val="both"/>
        <w:rPr>
          <w:rFonts w:ascii="GHEA Grapalat" w:eastAsia="GHEA Grapalat" w:hAnsi="GHEA Grapalat" w:cs="GHEA Grapalat"/>
          <w:noProof/>
          <w:color w:val="000000"/>
          <w:sz w:val="24"/>
          <w:szCs w:val="24"/>
        </w:rPr>
      </w:pPr>
      <w:r w:rsidRPr="008E7CB6">
        <w:rPr>
          <w:rFonts w:ascii="GHEA Grapalat" w:eastAsia="GHEA Grapalat" w:hAnsi="GHEA Grapalat" w:cs="GHEA Grapalat"/>
          <w:b/>
          <w:noProof/>
          <w:color w:val="000000"/>
          <w:sz w:val="24"/>
          <w:szCs w:val="24"/>
        </w:rPr>
        <w:t xml:space="preserve">Միավորված ազգերի կազմակերպության </w:t>
      </w:r>
      <w:r w:rsidR="008A359F" w:rsidRPr="008E7CB6">
        <w:rPr>
          <w:rFonts w:ascii="GHEA Grapalat" w:eastAsia="GHEA Grapalat" w:hAnsi="GHEA Grapalat" w:cs="GHEA Grapalat"/>
          <w:b/>
          <w:noProof/>
          <w:color w:val="000000"/>
          <w:sz w:val="24"/>
          <w:szCs w:val="24"/>
        </w:rPr>
        <w:t>«</w:t>
      </w:r>
      <w:r w:rsidRPr="008E7CB6">
        <w:rPr>
          <w:rFonts w:ascii="GHEA Grapalat" w:eastAsia="GHEA Grapalat" w:hAnsi="GHEA Grapalat" w:cs="GHEA Grapalat"/>
          <w:b/>
          <w:noProof/>
          <w:color w:val="000000"/>
          <w:sz w:val="24"/>
          <w:szCs w:val="24"/>
        </w:rPr>
        <w:t>Կոռուպցիայի դեմ</w:t>
      </w:r>
      <w:r w:rsidR="008A359F" w:rsidRPr="008E7CB6">
        <w:rPr>
          <w:rFonts w:ascii="GHEA Grapalat" w:eastAsia="GHEA Grapalat" w:hAnsi="GHEA Grapalat" w:cs="GHEA Grapalat"/>
          <w:b/>
          <w:noProof/>
          <w:color w:val="000000"/>
          <w:sz w:val="24"/>
          <w:szCs w:val="24"/>
        </w:rPr>
        <w:t>»</w:t>
      </w:r>
      <w:r w:rsidRPr="008E7CB6">
        <w:rPr>
          <w:rFonts w:ascii="GHEA Grapalat" w:eastAsia="GHEA Grapalat" w:hAnsi="GHEA Grapalat" w:cs="GHEA Grapalat"/>
          <w:b/>
          <w:noProof/>
          <w:color w:val="000000"/>
          <w:sz w:val="24"/>
          <w:szCs w:val="24"/>
        </w:rPr>
        <w:t xml:space="preserve"> կոնվենցիայի տեխնիկական ուղեցույցը</w:t>
      </w:r>
      <w:r w:rsidRPr="008E7CB6">
        <w:rPr>
          <w:rFonts w:ascii="GHEA Grapalat" w:eastAsia="GHEA Grapalat" w:hAnsi="GHEA Grapalat" w:cs="GHEA Grapalat"/>
          <w:noProof/>
          <w:color w:val="000000"/>
          <w:sz w:val="24"/>
          <w:szCs w:val="24"/>
        </w:rPr>
        <w:t xml:space="preserve">, որը պատրաստվել է </w:t>
      </w:r>
      <w:r w:rsidR="00524816" w:rsidRPr="008E7CB6">
        <w:rPr>
          <w:rFonts w:ascii="GHEA Grapalat" w:eastAsia="GHEA Grapalat" w:hAnsi="GHEA Grapalat" w:cs="GHEA Grapalat"/>
          <w:noProof/>
          <w:color w:val="000000"/>
          <w:sz w:val="24"/>
          <w:szCs w:val="24"/>
        </w:rPr>
        <w:t>ՄԱԿ-ի</w:t>
      </w:r>
      <w:r w:rsidRPr="008E7CB6">
        <w:rPr>
          <w:rFonts w:ascii="GHEA Grapalat" w:eastAsia="GHEA Grapalat" w:hAnsi="GHEA Grapalat" w:cs="GHEA Grapalat"/>
          <w:noProof/>
          <w:color w:val="000000"/>
          <w:sz w:val="24"/>
          <w:szCs w:val="24"/>
        </w:rPr>
        <w:t xml:space="preserve"> թմրամիջոցների և հանցավորության դեմ պայքարի գրասենյակի (UNODC) կողմից Միավորված ազգերի կազմակերպության հանցավորության և արդարադատության միջտարածաշրջանային հետազոտական ինստիտուտի (UNICRI) հետ համատեղ, 50-րդ գլխում</w:t>
      </w:r>
      <w:r w:rsidR="00827201" w:rsidRPr="008E7CB6">
        <w:rPr>
          <w:rFonts w:ascii="GHEA Grapalat" w:eastAsia="GHEA Grapalat" w:hAnsi="GHEA Grapalat" w:cs="GHEA Grapalat"/>
          <w:noProof/>
          <w:color w:val="000000"/>
          <w:sz w:val="24"/>
          <w:szCs w:val="24"/>
        </w:rPr>
        <w:t xml:space="preserve"> </w:t>
      </w:r>
      <w:r w:rsidR="00827201" w:rsidRPr="008E7CB6">
        <w:rPr>
          <w:rFonts w:ascii="GHEA Grapalat" w:eastAsia="GHEA Grapalat" w:hAnsi="GHEA Grapalat" w:cs="GHEA Grapalat"/>
          <w:noProof/>
          <w:color w:val="000000"/>
          <w:sz w:val="24"/>
          <w:szCs w:val="24"/>
        </w:rPr>
        <w:t>բարեվարքության ստուգումը</w:t>
      </w:r>
      <w:r w:rsidRPr="008E7CB6">
        <w:rPr>
          <w:rFonts w:ascii="GHEA Grapalat" w:eastAsia="GHEA Grapalat" w:hAnsi="GHEA Grapalat" w:cs="GHEA Grapalat"/>
          <w:noProof/>
          <w:color w:val="000000"/>
          <w:sz w:val="24"/>
          <w:szCs w:val="24"/>
        </w:rPr>
        <w:t xml:space="preserve"> </w:t>
      </w:r>
      <w:r w:rsidR="00827201" w:rsidRPr="008E7CB6">
        <w:rPr>
          <w:rFonts w:ascii="GHEA Grapalat" w:eastAsia="GHEA Grapalat" w:hAnsi="GHEA Grapalat" w:cs="GHEA Grapalat"/>
          <w:noProof/>
          <w:color w:val="000000"/>
          <w:sz w:val="24"/>
          <w:szCs w:val="24"/>
        </w:rPr>
        <w:t xml:space="preserve">սահմանում </w:t>
      </w:r>
      <w:r w:rsidRPr="008E7CB6">
        <w:rPr>
          <w:rFonts w:ascii="GHEA Grapalat" w:eastAsia="GHEA Grapalat" w:hAnsi="GHEA Grapalat" w:cs="GHEA Grapalat"/>
          <w:noProof/>
          <w:color w:val="000000"/>
          <w:sz w:val="24"/>
          <w:szCs w:val="24"/>
        </w:rPr>
        <w:t xml:space="preserve">է որպես կոռուպցիայի դեմ պայքարի առկա գործիքներից մեկը և նկարագրում է </w:t>
      </w:r>
      <w:r w:rsidR="00827201" w:rsidRPr="008E7CB6">
        <w:rPr>
          <w:rFonts w:ascii="GHEA Grapalat" w:eastAsia="GHEA Grapalat" w:hAnsi="GHEA Grapalat" w:cs="GHEA Grapalat"/>
          <w:noProof/>
          <w:color w:val="000000"/>
          <w:sz w:val="24"/>
          <w:szCs w:val="24"/>
        </w:rPr>
        <w:t xml:space="preserve">որպես </w:t>
      </w:r>
      <w:r w:rsidRPr="008E7CB6">
        <w:rPr>
          <w:rFonts w:ascii="GHEA Grapalat" w:eastAsia="GHEA Grapalat" w:hAnsi="GHEA Grapalat" w:cs="GHEA Grapalat"/>
          <w:noProof/>
          <w:color w:val="000000"/>
          <w:sz w:val="24"/>
          <w:szCs w:val="24"/>
        </w:rPr>
        <w:t xml:space="preserve">մեթոդ, որը նպաստում է ինչպես կոռուպցիայի կանխարգելմանը, այնպես էլ դրա համար դատական հետապնդմանը և իրեն </w:t>
      </w:r>
      <w:r w:rsidR="00650DCD" w:rsidRPr="008E7CB6">
        <w:rPr>
          <w:rFonts w:ascii="GHEA Grapalat" w:eastAsia="GHEA Grapalat" w:hAnsi="GHEA Grapalat" w:cs="GHEA Grapalat"/>
          <w:noProof/>
          <w:color w:val="000000"/>
          <w:sz w:val="24"/>
          <w:szCs w:val="24"/>
        </w:rPr>
        <w:t xml:space="preserve">արդարացրել </w:t>
      </w:r>
      <w:r w:rsidRPr="008E7CB6">
        <w:rPr>
          <w:rFonts w:ascii="GHEA Grapalat" w:eastAsia="GHEA Grapalat" w:hAnsi="GHEA Grapalat" w:cs="GHEA Grapalat"/>
          <w:noProof/>
          <w:color w:val="000000"/>
          <w:sz w:val="24"/>
          <w:szCs w:val="24"/>
        </w:rPr>
        <w:t>է որպես կոռուպցիայի զսպման չափազանց արդյունավետ միջոց»</w:t>
      </w:r>
      <w:r w:rsidRPr="00B31B1B">
        <w:rPr>
          <w:noProof/>
          <w:vertAlign w:val="superscript"/>
        </w:rPr>
        <w:footnoteReference w:id="11"/>
      </w:r>
      <w:r w:rsidRPr="008E7CB6">
        <w:rPr>
          <w:rFonts w:ascii="GHEA Grapalat" w:eastAsia="GHEA Grapalat" w:hAnsi="GHEA Grapalat" w:cs="GHEA Grapalat"/>
          <w:noProof/>
          <w:color w:val="000000"/>
          <w:sz w:val="24"/>
          <w:szCs w:val="24"/>
        </w:rPr>
        <w:t>:</w:t>
      </w:r>
    </w:p>
    <w:p w14:paraId="2C40BE5A" w14:textId="77777777" w:rsidR="00F01E66" w:rsidRDefault="008E7CB6" w:rsidP="00F01E66">
      <w:pPr>
        <w:pStyle w:val="ListParagraph"/>
        <w:numPr>
          <w:ilvl w:val="0"/>
          <w:numId w:val="13"/>
        </w:numPr>
        <w:pBdr>
          <w:top w:val="nil"/>
          <w:left w:val="nil"/>
          <w:bottom w:val="nil"/>
          <w:right w:val="nil"/>
          <w:between w:val="nil"/>
        </w:pBdr>
        <w:tabs>
          <w:tab w:val="left" w:pos="540"/>
          <w:tab w:val="left" w:pos="900"/>
        </w:tabs>
        <w:spacing w:after="0" w:line="360" w:lineRule="auto"/>
        <w:ind w:left="0" w:firstLine="709"/>
        <w:jc w:val="both"/>
        <w:rPr>
          <w:rFonts w:ascii="GHEA Grapalat" w:eastAsia="GHEA Grapalat" w:hAnsi="GHEA Grapalat" w:cs="GHEA Grapalat"/>
          <w:noProof/>
          <w:color w:val="000000"/>
          <w:sz w:val="24"/>
          <w:szCs w:val="24"/>
        </w:rPr>
      </w:pPr>
      <w:r>
        <w:rPr>
          <w:rFonts w:ascii="GHEA Grapalat" w:eastAsia="GHEA Grapalat" w:hAnsi="GHEA Grapalat" w:cs="GHEA Grapalat"/>
          <w:b/>
          <w:noProof/>
          <w:color w:val="000000"/>
          <w:sz w:val="24"/>
          <w:szCs w:val="24"/>
        </w:rPr>
        <w:t xml:space="preserve"> </w:t>
      </w:r>
      <w:r w:rsidR="00AC66D0" w:rsidRPr="008E7CB6">
        <w:rPr>
          <w:rFonts w:ascii="GHEA Grapalat" w:eastAsia="GHEA Grapalat" w:hAnsi="GHEA Grapalat" w:cs="GHEA Grapalat"/>
          <w:b/>
          <w:noProof/>
          <w:color w:val="000000"/>
          <w:sz w:val="24"/>
          <w:szCs w:val="24"/>
        </w:rPr>
        <w:t>ՏՀԶԿ-ի «Հանրային հատվածում շահերի բախման կառավարում» ուղեցույցում</w:t>
      </w:r>
      <w:r w:rsidR="00AC66D0" w:rsidRPr="008E7CB6">
        <w:rPr>
          <w:rFonts w:ascii="GHEA Grapalat" w:eastAsia="GHEA Grapalat" w:hAnsi="GHEA Grapalat" w:cs="GHEA Grapalat"/>
          <w:noProof/>
          <w:color w:val="000000"/>
          <w:sz w:val="24"/>
          <w:szCs w:val="24"/>
        </w:rPr>
        <w:t xml:space="preserve"> նշվում է, որ «բարեվարքության ստուգումը կարող է հզոր մասնագիտացված գործիք լինել կոռուպցիայի բացահայտման համար»</w:t>
      </w:r>
      <w:r w:rsidR="00AC66D0" w:rsidRPr="00BF76A2">
        <w:rPr>
          <w:noProof/>
          <w:vertAlign w:val="superscript"/>
        </w:rPr>
        <w:footnoteReference w:id="12"/>
      </w:r>
      <w:r w:rsidR="00AC66D0" w:rsidRPr="008E7CB6">
        <w:rPr>
          <w:rFonts w:ascii="GHEA Grapalat" w:eastAsia="GHEA Grapalat" w:hAnsi="GHEA Grapalat" w:cs="GHEA Grapalat"/>
          <w:noProof/>
          <w:color w:val="000000"/>
          <w:sz w:val="24"/>
          <w:szCs w:val="24"/>
        </w:rPr>
        <w:t xml:space="preserve">: </w:t>
      </w:r>
    </w:p>
    <w:p w14:paraId="1859F872" w14:textId="0D8E6EE3" w:rsidR="00AC66D0" w:rsidRPr="00F01E66" w:rsidRDefault="00AC66D0" w:rsidP="00F01E66">
      <w:pPr>
        <w:pStyle w:val="ListParagraph"/>
        <w:numPr>
          <w:ilvl w:val="0"/>
          <w:numId w:val="13"/>
        </w:numPr>
        <w:pBdr>
          <w:top w:val="nil"/>
          <w:left w:val="nil"/>
          <w:bottom w:val="nil"/>
          <w:right w:val="nil"/>
          <w:between w:val="nil"/>
        </w:pBdr>
        <w:tabs>
          <w:tab w:val="left" w:pos="540"/>
          <w:tab w:val="left" w:pos="900"/>
        </w:tabs>
        <w:spacing w:after="0" w:line="360" w:lineRule="auto"/>
        <w:ind w:left="0" w:firstLine="709"/>
        <w:jc w:val="both"/>
        <w:rPr>
          <w:rFonts w:ascii="GHEA Grapalat" w:eastAsia="GHEA Grapalat" w:hAnsi="GHEA Grapalat" w:cs="GHEA Grapalat"/>
          <w:noProof/>
          <w:color w:val="000000"/>
          <w:sz w:val="24"/>
          <w:szCs w:val="24"/>
        </w:rPr>
      </w:pPr>
      <w:r w:rsidRPr="00F01E66">
        <w:rPr>
          <w:rFonts w:ascii="GHEA Grapalat" w:eastAsia="GHEA Grapalat" w:hAnsi="GHEA Grapalat" w:cs="GHEA Grapalat"/>
          <w:noProof/>
          <w:color w:val="000000"/>
          <w:sz w:val="24"/>
          <w:szCs w:val="24"/>
        </w:rPr>
        <w:t xml:space="preserve">2000 թվականին </w:t>
      </w:r>
      <w:r w:rsidRPr="00F01E66">
        <w:rPr>
          <w:rFonts w:ascii="GHEA Grapalat" w:eastAsia="GHEA Grapalat" w:hAnsi="GHEA Grapalat" w:cs="GHEA Grapalat"/>
          <w:b/>
          <w:i/>
          <w:noProof/>
          <w:color w:val="000000"/>
          <w:sz w:val="24"/>
          <w:szCs w:val="24"/>
        </w:rPr>
        <w:t xml:space="preserve">Եվրոպայի խորհրդի նախարարների կոմիտեն </w:t>
      </w:r>
      <w:r w:rsidR="00BF76A2" w:rsidRPr="00F01E66">
        <w:rPr>
          <w:rFonts w:ascii="GHEA Grapalat" w:eastAsia="GHEA Grapalat" w:hAnsi="GHEA Grapalat" w:cs="GHEA Grapalat"/>
          <w:b/>
          <w:i/>
          <w:noProof/>
          <w:color w:val="000000"/>
          <w:sz w:val="24"/>
          <w:szCs w:val="24"/>
        </w:rPr>
        <w:t>ընդունել է</w:t>
      </w:r>
      <w:r w:rsidRPr="00F01E66">
        <w:rPr>
          <w:rFonts w:ascii="GHEA Grapalat" w:eastAsia="GHEA Grapalat" w:hAnsi="GHEA Grapalat" w:cs="GHEA Grapalat"/>
          <w:b/>
          <w:i/>
          <w:noProof/>
          <w:color w:val="000000"/>
          <w:sz w:val="24"/>
          <w:szCs w:val="24"/>
        </w:rPr>
        <w:t xml:space="preserve"> «Պետական պաշտոնատար անձանց վարքագծի կանոնների վերաբերյալ» № R (2000) 10 հանձնարարականը</w:t>
      </w:r>
      <w:r w:rsidRPr="00F01E66">
        <w:rPr>
          <w:rFonts w:ascii="GHEA Grapalat" w:eastAsia="GHEA Grapalat" w:hAnsi="GHEA Grapalat" w:cs="GHEA Grapalat"/>
          <w:noProof/>
          <w:color w:val="000000"/>
          <w:sz w:val="24"/>
          <w:szCs w:val="24"/>
        </w:rPr>
        <w:t xml:space="preserve">: Հանձնարարականին կից Պետական պաշտոնատար անձանց վարքագծի օրինակելի կանոնագիրքը նպատակ ուներ «սահմանել բարեվարքության և </w:t>
      </w:r>
      <w:r w:rsidRPr="00F01E66">
        <w:rPr>
          <w:rFonts w:ascii="GHEA Grapalat" w:eastAsia="GHEA Grapalat" w:hAnsi="GHEA Grapalat" w:cs="GHEA Grapalat"/>
          <w:noProof/>
          <w:color w:val="000000"/>
          <w:sz w:val="24"/>
          <w:szCs w:val="24"/>
        </w:rPr>
        <w:lastRenderedPageBreak/>
        <w:t>վարքագծի չափանիշներ, որոնք պետք է պահպանվեն պետական պաշտոնյաների կողմից, որպեսզի օգնեն նրանց համապատասխանել այդ չափանիշներին և հասարակությանը տեղեկացնել այն վարքագծի մասին, որը նա իրավունք ունի ակնկալել պետական պաշտոնյաներից» (հոդված 3): Կանոնագրքի 9-րդ հոդվածի համաձայն՝ «պետական ծառայողը պարտավոր է իրեն մշտապես պահել այնպես, որ պահպանվի և ամրապնդվի հանրային վստահությունը հանրային ծառայության բարեվարքության, անկողմնակալության և արդյունավետության նկատմամբ»:</w:t>
      </w:r>
    </w:p>
    <w:p w14:paraId="4E9CEEFA" w14:textId="2C8EFEF6" w:rsidR="00AC66D0" w:rsidRPr="007C39FE" w:rsidRDefault="00AC66D0" w:rsidP="007C39FE">
      <w:pPr>
        <w:spacing w:after="0" w:line="360" w:lineRule="auto"/>
        <w:ind w:firstLine="567"/>
        <w:jc w:val="both"/>
        <w:rPr>
          <w:rFonts w:ascii="GHEA Grapalat" w:eastAsia="GHEA Grapalat" w:hAnsi="GHEA Grapalat" w:cs="GHEA Grapalat"/>
          <w:noProof/>
          <w:sz w:val="24"/>
          <w:szCs w:val="24"/>
        </w:rPr>
      </w:pPr>
      <w:r w:rsidRPr="007C39FE">
        <w:rPr>
          <w:rFonts w:ascii="GHEA Grapalat" w:eastAsia="GHEA Grapalat" w:hAnsi="GHEA Grapalat" w:cs="GHEA Grapalat"/>
          <w:noProof/>
          <w:sz w:val="24"/>
          <w:szCs w:val="24"/>
        </w:rPr>
        <w:t xml:space="preserve">Հանձնարարականի 24-րդ </w:t>
      </w:r>
      <w:r w:rsidR="007B6D39">
        <w:rPr>
          <w:rFonts w:ascii="GHEA Grapalat" w:eastAsia="GHEA Grapalat" w:hAnsi="GHEA Grapalat" w:cs="GHEA Grapalat"/>
          <w:noProof/>
          <w:sz w:val="24"/>
          <w:szCs w:val="24"/>
        </w:rPr>
        <w:t xml:space="preserve">հոդվածը </w:t>
      </w:r>
      <w:r w:rsidRPr="007C39FE">
        <w:rPr>
          <w:rFonts w:ascii="GHEA Grapalat" w:eastAsia="GHEA Grapalat" w:hAnsi="GHEA Grapalat" w:cs="GHEA Grapalat"/>
          <w:noProof/>
          <w:sz w:val="24"/>
          <w:szCs w:val="24"/>
        </w:rPr>
        <w:t>սահմանում է, որ «</w:t>
      </w:r>
      <w:r w:rsidRPr="007C39FE">
        <w:rPr>
          <w:rFonts w:ascii="GHEA Grapalat" w:eastAsia="GHEA Grapalat" w:hAnsi="GHEA Grapalat" w:cs="GHEA Grapalat"/>
          <w:b/>
          <w:noProof/>
          <w:sz w:val="24"/>
          <w:szCs w:val="24"/>
          <w:u w:val="single"/>
        </w:rPr>
        <w:t>պետական պաշտոնյան, որը պատասխանատու է նշանակման, առաջխաղացման կամ պաշտոնավարման համար, պետք է ապահովի, որ թեկնածուի բարեվարքության համապատասխան ստուգումներն իրականացվեն օրենքի պահանջներին համապատասխան</w:t>
      </w:r>
      <w:r w:rsidR="007B6D39">
        <w:rPr>
          <w:rFonts w:ascii="GHEA Grapalat" w:eastAsia="GHEA Grapalat" w:hAnsi="GHEA Grapalat" w:cs="GHEA Grapalat"/>
          <w:noProof/>
          <w:sz w:val="24"/>
          <w:szCs w:val="24"/>
        </w:rPr>
        <w:t>»:</w:t>
      </w:r>
      <w:r w:rsidRPr="007C39FE">
        <w:rPr>
          <w:rFonts w:ascii="GHEA Grapalat" w:eastAsia="GHEA Grapalat" w:hAnsi="GHEA Grapalat" w:cs="GHEA Grapalat"/>
          <w:noProof/>
          <w:sz w:val="24"/>
          <w:szCs w:val="24"/>
        </w:rPr>
        <w:t xml:space="preserve"> </w:t>
      </w:r>
    </w:p>
    <w:p w14:paraId="7588C42F" w14:textId="21AFCA17" w:rsidR="00AC66D0" w:rsidRPr="008A2F0A" w:rsidRDefault="00AC66D0" w:rsidP="007C39FE">
      <w:pPr>
        <w:spacing w:after="0" w:line="360" w:lineRule="auto"/>
        <w:ind w:firstLine="567"/>
        <w:jc w:val="both"/>
        <w:rPr>
          <w:rFonts w:ascii="GHEA Grapalat" w:eastAsia="GHEA Grapalat" w:hAnsi="GHEA Grapalat" w:cs="GHEA Grapalat"/>
          <w:noProof/>
          <w:sz w:val="24"/>
          <w:szCs w:val="24"/>
        </w:rPr>
      </w:pPr>
      <w:r w:rsidRPr="004B7BD9">
        <w:rPr>
          <w:rFonts w:ascii="GHEA Grapalat" w:eastAsia="GHEA Grapalat" w:hAnsi="GHEA Grapalat" w:cs="GHEA Grapalat"/>
          <w:b/>
          <w:noProof/>
          <w:sz w:val="24"/>
          <w:szCs w:val="24"/>
        </w:rPr>
        <w:t>Հանձնարարականի բացատրական գրության</w:t>
      </w:r>
      <w:r w:rsidRPr="007C39FE">
        <w:rPr>
          <w:rFonts w:ascii="GHEA Grapalat" w:eastAsia="GHEA Grapalat" w:hAnsi="GHEA Grapalat" w:cs="GHEA Grapalat"/>
          <w:noProof/>
          <w:sz w:val="24"/>
          <w:szCs w:val="24"/>
          <w:vertAlign w:val="superscript"/>
        </w:rPr>
        <w:footnoteReference w:id="13"/>
      </w:r>
      <w:r w:rsidRPr="007C39FE">
        <w:rPr>
          <w:rFonts w:ascii="GHEA Grapalat" w:eastAsia="GHEA Grapalat" w:hAnsi="GHEA Grapalat" w:cs="GHEA Grapalat"/>
          <w:noProof/>
          <w:sz w:val="24"/>
          <w:szCs w:val="24"/>
        </w:rPr>
        <w:t xml:space="preserve"> մեջ ընդգծվում է, որ</w:t>
      </w:r>
      <w:r w:rsidR="008A2F0A">
        <w:rPr>
          <w:rFonts w:ascii="GHEA Grapalat" w:eastAsia="GHEA Grapalat" w:hAnsi="GHEA Grapalat" w:cs="GHEA Grapalat"/>
          <w:noProof/>
          <w:sz w:val="24"/>
          <w:szCs w:val="24"/>
        </w:rPr>
        <w:t xml:space="preserve"> </w:t>
      </w:r>
      <w:r w:rsidRPr="008A2F0A">
        <w:rPr>
          <w:rFonts w:ascii="GHEA Grapalat" w:eastAsia="GHEA Grapalat" w:hAnsi="GHEA Grapalat" w:cs="GHEA Grapalat"/>
          <w:noProof/>
          <w:sz w:val="24"/>
          <w:szCs w:val="24"/>
        </w:rPr>
        <w:t>հանրային ծառայությունը պետական պաշտոնյաներից պահանջում է բարեվարքություն</w:t>
      </w:r>
      <w:r w:rsidR="008A2F0A" w:rsidRPr="008A2F0A">
        <w:rPr>
          <w:rFonts w:ascii="GHEA Grapalat" w:eastAsia="GHEA Grapalat" w:hAnsi="GHEA Grapalat" w:cs="GHEA Grapalat"/>
          <w:noProof/>
          <w:sz w:val="24"/>
          <w:szCs w:val="24"/>
        </w:rPr>
        <w:t xml:space="preserve"> և նշվում է</w:t>
      </w:r>
      <w:r w:rsidRPr="008A2F0A">
        <w:rPr>
          <w:rFonts w:ascii="GHEA Grapalat" w:eastAsia="GHEA Grapalat" w:hAnsi="GHEA Grapalat" w:cs="GHEA Grapalat"/>
          <w:noProof/>
          <w:sz w:val="24"/>
          <w:szCs w:val="24"/>
        </w:rPr>
        <w:t xml:space="preserve"> բարեվարքության ստուգումներ անցկացնելու կամ դրանց համապատասխան գործողություններ ձեռնարկելու կարևորությունը՝ պետական ծառայության բարեվարքության երկարատև խնդիրներից խուսափելու համար:</w:t>
      </w:r>
    </w:p>
    <w:p w14:paraId="14EA8A73" w14:textId="37B57512" w:rsidR="0083613E" w:rsidRPr="002A41B8" w:rsidRDefault="00AC66D0" w:rsidP="002A41B8">
      <w:pPr>
        <w:pStyle w:val="ListParagraph"/>
        <w:numPr>
          <w:ilvl w:val="0"/>
          <w:numId w:val="13"/>
        </w:numPr>
        <w:tabs>
          <w:tab w:val="left" w:pos="851"/>
        </w:tabs>
        <w:spacing w:after="0" w:line="360" w:lineRule="auto"/>
        <w:ind w:left="0" w:firstLine="567"/>
        <w:jc w:val="both"/>
        <w:rPr>
          <w:rFonts w:ascii="GHEA Grapalat" w:eastAsiaTheme="minorHAnsi" w:hAnsi="GHEA Grapalat" w:cstheme="minorBidi"/>
          <w:noProof/>
          <w:sz w:val="24"/>
          <w:szCs w:val="24"/>
        </w:rPr>
      </w:pPr>
      <w:r w:rsidRPr="00F01E66">
        <w:rPr>
          <w:rFonts w:ascii="GHEA Grapalat" w:eastAsiaTheme="minorHAnsi" w:hAnsi="GHEA Grapalat" w:cs="Sylfaen"/>
          <w:b/>
          <w:noProof/>
          <w:sz w:val="24"/>
          <w:szCs w:val="24"/>
        </w:rPr>
        <w:t>Վենետիկի</w:t>
      </w:r>
      <w:r w:rsidRPr="00F01E66">
        <w:rPr>
          <w:rFonts w:ascii="GHEA Grapalat" w:eastAsiaTheme="minorHAnsi" w:hAnsi="GHEA Grapalat" w:cstheme="minorBidi"/>
          <w:b/>
          <w:noProof/>
          <w:sz w:val="24"/>
          <w:szCs w:val="24"/>
        </w:rPr>
        <w:t xml:space="preserve"> </w:t>
      </w:r>
      <w:r w:rsidR="008A2F0A" w:rsidRPr="00F01E66">
        <w:rPr>
          <w:rFonts w:ascii="GHEA Grapalat" w:eastAsiaTheme="minorHAnsi" w:hAnsi="GHEA Grapalat" w:cs="Sylfaen"/>
          <w:b/>
          <w:noProof/>
          <w:sz w:val="24"/>
          <w:szCs w:val="24"/>
        </w:rPr>
        <w:t xml:space="preserve">հանձնաժողովը </w:t>
      </w:r>
      <w:r w:rsidR="008A2F0A" w:rsidRPr="00F01E66">
        <w:rPr>
          <w:rFonts w:ascii="GHEA Grapalat" w:eastAsiaTheme="minorHAnsi" w:hAnsi="GHEA Grapalat" w:cs="Sylfaen"/>
          <w:noProof/>
          <w:sz w:val="24"/>
          <w:szCs w:val="24"/>
        </w:rPr>
        <w:t>նույնպես</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դիտարկել</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է</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ազգային</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միջոցառումների</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երեք</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ենթակատեգորիա</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w:t>
      </w:r>
      <w:r w:rsidRPr="00F01E66">
        <w:rPr>
          <w:rFonts w:ascii="GHEA Grapalat" w:eastAsiaTheme="minorHAnsi" w:hAnsi="GHEA Grapalat" w:cstheme="minorBidi"/>
          <w:noProof/>
          <w:sz w:val="24"/>
          <w:szCs w:val="24"/>
        </w:rPr>
        <w:t xml:space="preserve"> (i) </w:t>
      </w:r>
      <w:r w:rsidRPr="00F01E66">
        <w:rPr>
          <w:rFonts w:ascii="GHEA Grapalat" w:eastAsiaTheme="minorHAnsi" w:hAnsi="GHEA Grapalat" w:cs="Sylfaen"/>
          <w:noProof/>
          <w:sz w:val="24"/>
          <w:szCs w:val="24"/>
        </w:rPr>
        <w:t>որոշակի</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պաշտոնի</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համար</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թեկնածուների</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նախնական</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ստուգում</w:t>
      </w:r>
      <w:r w:rsidRPr="00F01E66">
        <w:rPr>
          <w:rFonts w:ascii="GHEA Grapalat" w:eastAsiaTheme="minorHAnsi" w:hAnsi="GHEA Grapalat" w:cstheme="minorBidi"/>
          <w:noProof/>
          <w:sz w:val="24"/>
          <w:szCs w:val="24"/>
        </w:rPr>
        <w:t xml:space="preserve">», (ii) </w:t>
      </w:r>
      <w:r w:rsidRPr="00F01E66">
        <w:rPr>
          <w:rFonts w:ascii="GHEA Grapalat" w:eastAsiaTheme="minorHAnsi" w:hAnsi="GHEA Grapalat" w:cs="Sylfaen"/>
          <w:noProof/>
          <w:sz w:val="24"/>
          <w:szCs w:val="24"/>
        </w:rPr>
        <w:t>բարեվարքության</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ստուգումներ</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որոնք</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իրականացվում</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են</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ավելի</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կանոնավոր</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կերպով</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օրինակ՝</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գույքի</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հայտարարագիր</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տարեկան</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ներկայացնելու</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պարտավորություն</w:t>
      </w:r>
      <w:r w:rsidRPr="00F01E66">
        <w:rPr>
          <w:rFonts w:ascii="GHEA Grapalat" w:eastAsiaTheme="minorHAnsi" w:hAnsi="GHEA Grapalat" w:cstheme="minorBidi"/>
          <w:noProof/>
          <w:sz w:val="24"/>
          <w:szCs w:val="24"/>
        </w:rPr>
        <w:t>)</w:t>
      </w:r>
      <w:r w:rsidRPr="00F01E66">
        <w:rPr>
          <w:rFonts w:ascii="GHEA Grapalat" w:eastAsiaTheme="minorHAnsi" w:hAnsi="GHEA Grapalat" w:cs="Tahoma"/>
          <w:noProof/>
          <w:sz w:val="24"/>
          <w:szCs w:val="24"/>
        </w:rPr>
        <w:t xml:space="preserve">, </w:t>
      </w:r>
      <w:r w:rsidRPr="00F01E66">
        <w:rPr>
          <w:rFonts w:ascii="GHEA Grapalat" w:eastAsiaTheme="minorHAnsi" w:hAnsi="GHEA Grapalat" w:cstheme="minorBidi"/>
          <w:noProof/>
          <w:sz w:val="24"/>
          <w:szCs w:val="24"/>
        </w:rPr>
        <w:t xml:space="preserve">iii) </w:t>
      </w:r>
      <w:r w:rsidRPr="00F01E66">
        <w:rPr>
          <w:rFonts w:ascii="GHEA Grapalat" w:eastAsiaTheme="minorHAnsi" w:hAnsi="GHEA Grapalat" w:cs="Sylfaen"/>
          <w:noProof/>
          <w:sz w:val="24"/>
          <w:szCs w:val="24"/>
        </w:rPr>
        <w:t>ստուգման</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լիարժեք</w:t>
      </w:r>
      <w:r w:rsidRPr="00F01E66">
        <w:rPr>
          <w:rFonts w:ascii="GHEA Grapalat" w:eastAsiaTheme="minorHAnsi" w:hAnsi="GHEA Grapalat" w:cstheme="minorBidi"/>
          <w:noProof/>
          <w:sz w:val="24"/>
          <w:szCs w:val="24"/>
        </w:rPr>
        <w:t xml:space="preserve"> </w:t>
      </w:r>
      <w:r w:rsidRPr="00F01E66">
        <w:rPr>
          <w:rFonts w:ascii="GHEA Grapalat" w:eastAsiaTheme="minorHAnsi" w:hAnsi="GHEA Grapalat" w:cs="Sylfaen"/>
          <w:noProof/>
          <w:sz w:val="24"/>
          <w:szCs w:val="24"/>
        </w:rPr>
        <w:t>ընթացակարգեր</w:t>
      </w:r>
      <w:r w:rsidRPr="00F01E66">
        <w:rPr>
          <w:rFonts w:ascii="GHEA Grapalat" w:eastAsiaTheme="minorHAnsi" w:hAnsi="GHEA Grapalat" w:cstheme="minorBidi"/>
          <w:noProof/>
          <w:sz w:val="24"/>
          <w:szCs w:val="24"/>
        </w:rPr>
        <w:t xml:space="preserve">: </w:t>
      </w:r>
    </w:p>
    <w:p w14:paraId="4F35D753" w14:textId="15F5A502" w:rsidR="0083613E" w:rsidRPr="00CA3509" w:rsidRDefault="00B16DF1" w:rsidP="00CA3509">
      <w:pPr>
        <w:pStyle w:val="ListParagraph"/>
        <w:numPr>
          <w:ilvl w:val="0"/>
          <w:numId w:val="12"/>
        </w:numPr>
        <w:spacing w:after="0" w:line="360" w:lineRule="auto"/>
        <w:jc w:val="both"/>
        <w:rPr>
          <w:rFonts w:ascii="GHEA Grapalat" w:eastAsia="GHEA Grapalat" w:hAnsi="GHEA Grapalat" w:cs="GHEA Grapalat"/>
          <w:b/>
          <w:color w:val="000000"/>
          <w:sz w:val="24"/>
          <w:szCs w:val="24"/>
        </w:rPr>
      </w:pPr>
      <w:r w:rsidRPr="00CA3509">
        <w:rPr>
          <w:rFonts w:ascii="GHEA Grapalat" w:eastAsia="GHEA Grapalat" w:hAnsi="GHEA Grapalat" w:cs="GHEA Grapalat"/>
          <w:b/>
          <w:color w:val="000000"/>
          <w:sz w:val="24"/>
          <w:szCs w:val="24"/>
        </w:rPr>
        <w:t>Առաջարկվող կարգավորման բնույթը</w:t>
      </w:r>
    </w:p>
    <w:p w14:paraId="5A22098C" w14:textId="6FD77BD1" w:rsidR="0083613E" w:rsidRPr="007C39FE" w:rsidRDefault="0055262D" w:rsidP="007C39FE">
      <w:pPr>
        <w:spacing w:after="0" w:line="360" w:lineRule="auto"/>
        <w:ind w:firstLine="360"/>
        <w:jc w:val="both"/>
        <w:rPr>
          <w:rFonts w:ascii="GHEA Grapalat" w:eastAsia="GHEA Grapalat" w:hAnsi="GHEA Grapalat" w:cs="GHEA Grapalat"/>
          <w:b/>
          <w:color w:val="000000"/>
          <w:sz w:val="24"/>
          <w:szCs w:val="24"/>
        </w:rPr>
      </w:pPr>
      <w:r w:rsidRPr="007C39FE">
        <w:rPr>
          <w:rFonts w:ascii="GHEA Grapalat" w:hAnsi="GHEA Grapalat" w:cs="Sylfaen"/>
          <w:kern w:val="2"/>
          <w:sz w:val="24"/>
          <w:szCs w:val="24"/>
          <w14:ligatures w14:val="standardContextual"/>
        </w:rPr>
        <w:t>Ն</w:t>
      </w:r>
      <w:r w:rsidR="00801330">
        <w:rPr>
          <w:rFonts w:ascii="GHEA Grapalat" w:hAnsi="GHEA Grapalat" w:cs="Sylfaen"/>
          <w:kern w:val="2"/>
          <w:sz w:val="24"/>
          <w:szCs w:val="24"/>
          <w14:ligatures w14:val="standardContextual"/>
        </w:rPr>
        <w:t>ախագծերի փաթեթով</w:t>
      </w:r>
      <w:r w:rsidRPr="007C39FE">
        <w:rPr>
          <w:rFonts w:ascii="GHEA Grapalat" w:hAnsi="GHEA Grapalat" w:cs="Times New Roman"/>
          <w:kern w:val="2"/>
          <w:sz w:val="24"/>
          <w:szCs w:val="24"/>
          <w14:ligatures w14:val="standardContextual"/>
        </w:rPr>
        <w:t xml:space="preserve"> </w:t>
      </w:r>
      <w:r w:rsidRPr="007C39FE">
        <w:rPr>
          <w:rFonts w:ascii="GHEA Grapalat" w:hAnsi="GHEA Grapalat" w:cs="Sylfaen"/>
          <w:kern w:val="2"/>
          <w:sz w:val="24"/>
          <w:szCs w:val="24"/>
          <w14:ligatures w14:val="standardContextual"/>
        </w:rPr>
        <w:t>առաջարկվում</w:t>
      </w:r>
      <w:r w:rsidRPr="007C39FE">
        <w:rPr>
          <w:rFonts w:ascii="GHEA Grapalat" w:hAnsi="GHEA Grapalat" w:cs="Times New Roman"/>
          <w:kern w:val="2"/>
          <w:sz w:val="24"/>
          <w:szCs w:val="24"/>
          <w14:ligatures w14:val="standardContextual"/>
        </w:rPr>
        <w:t xml:space="preserve"> </w:t>
      </w:r>
      <w:r w:rsidRPr="007C39FE">
        <w:rPr>
          <w:rFonts w:ascii="GHEA Grapalat" w:hAnsi="GHEA Grapalat" w:cs="Sylfaen"/>
          <w:kern w:val="2"/>
          <w:sz w:val="24"/>
          <w:szCs w:val="24"/>
          <w14:ligatures w14:val="standardContextual"/>
        </w:rPr>
        <w:t>է</w:t>
      </w:r>
      <w:r w:rsidR="0083613E" w:rsidRPr="007C39FE">
        <w:rPr>
          <w:rFonts w:ascii="GHEA Grapalat" w:hAnsi="GHEA Grapalat" w:cs="Sylfaen"/>
          <w:kern w:val="2"/>
          <w:sz w:val="24"/>
          <w:szCs w:val="24"/>
          <w14:ligatures w14:val="standardContextual"/>
        </w:rPr>
        <w:t xml:space="preserve"> պետական ծառայության</w:t>
      </w:r>
      <w:r w:rsidRPr="007C39FE">
        <w:rPr>
          <w:rFonts w:ascii="GHEA Grapalat" w:hAnsi="GHEA Grapalat" w:cs="Sylfaen"/>
          <w:kern w:val="2"/>
          <w:sz w:val="24"/>
          <w:szCs w:val="24"/>
          <w14:ligatures w14:val="standardContextual"/>
        </w:rPr>
        <w:t xml:space="preserve"> </w:t>
      </w:r>
      <w:r w:rsidR="00DE1AF5" w:rsidRPr="007C39FE">
        <w:rPr>
          <w:rFonts w:ascii="GHEA Grapalat" w:hAnsi="GHEA Grapalat" w:cs="Sylfaen"/>
          <w:kern w:val="2"/>
          <w:sz w:val="24"/>
          <w:szCs w:val="24"/>
          <w14:ligatures w14:val="standardContextual"/>
        </w:rPr>
        <w:t xml:space="preserve">առանձին տեսակները կարգավորող </w:t>
      </w:r>
      <w:r w:rsidRPr="007C39FE">
        <w:rPr>
          <w:rFonts w:ascii="GHEA Grapalat" w:hAnsi="GHEA Grapalat" w:cs="Sylfaen"/>
          <w:kern w:val="2"/>
          <w:sz w:val="24"/>
          <w:szCs w:val="24"/>
          <w14:ligatures w14:val="standardContextual"/>
        </w:rPr>
        <w:t>ոլորտային օրենքներով ամրագրել`</w:t>
      </w:r>
      <w:r w:rsidR="00696C36" w:rsidRPr="007C39FE">
        <w:rPr>
          <w:rFonts w:ascii="GHEA Grapalat" w:hAnsi="GHEA Grapalat" w:cs="Sylfaen"/>
          <w:kern w:val="2"/>
          <w:sz w:val="24"/>
          <w:szCs w:val="24"/>
          <w14:ligatures w14:val="standardContextual"/>
        </w:rPr>
        <w:t xml:space="preserve"> </w:t>
      </w:r>
    </w:p>
    <w:p w14:paraId="79F55D73" w14:textId="4AD774FA" w:rsidR="00230DD7" w:rsidRPr="007C39FE" w:rsidRDefault="00616786" w:rsidP="007C39FE">
      <w:pPr>
        <w:spacing w:after="0" w:line="360" w:lineRule="auto"/>
        <w:ind w:firstLine="567"/>
        <w:jc w:val="both"/>
        <w:rPr>
          <w:rFonts w:ascii="GHEA Grapalat" w:eastAsia="GHEA Grapalat" w:hAnsi="GHEA Grapalat" w:cs="GHEA Grapalat"/>
          <w:b/>
          <w:color w:val="000000"/>
          <w:sz w:val="24"/>
          <w:szCs w:val="24"/>
        </w:rPr>
      </w:pPr>
      <w:r w:rsidRPr="007C39FE">
        <w:rPr>
          <w:rFonts w:ascii="GHEA Grapalat" w:hAnsi="GHEA Grapalat" w:cs="Times New Roman"/>
          <w:kern w:val="2"/>
          <w:sz w:val="24"/>
          <w:szCs w:val="24"/>
          <w14:ligatures w14:val="standardContextual"/>
        </w:rPr>
        <w:lastRenderedPageBreak/>
        <w:t>«Հանրային ծառայության մասին</w:t>
      </w:r>
      <w:r w:rsidR="007D3250">
        <w:rPr>
          <w:rFonts w:ascii="GHEA Grapalat" w:hAnsi="GHEA Grapalat" w:cs="Times New Roman"/>
          <w:kern w:val="2"/>
          <w:sz w:val="24"/>
          <w:szCs w:val="24"/>
          <w14:ligatures w14:val="standardContextual"/>
        </w:rPr>
        <w:t>»</w:t>
      </w:r>
      <w:r w:rsidRPr="007C39FE">
        <w:rPr>
          <w:rFonts w:ascii="GHEA Grapalat" w:hAnsi="GHEA Grapalat" w:cs="Times New Roman"/>
          <w:kern w:val="2"/>
          <w:sz w:val="24"/>
          <w:szCs w:val="24"/>
          <w14:ligatures w14:val="standardContextual"/>
        </w:rPr>
        <w:t xml:space="preserve"> օրենքով սահմանված՝ պետական ծառայության առանձին տեսակներ</w:t>
      </w:r>
      <w:r w:rsidR="00AC66D0" w:rsidRPr="007C39FE">
        <w:rPr>
          <w:rFonts w:ascii="GHEA Grapalat" w:hAnsi="GHEA Grapalat" w:cs="Times New Roman"/>
          <w:kern w:val="2"/>
          <w:sz w:val="24"/>
          <w:szCs w:val="24"/>
          <w14:ligatures w14:val="standardContextual"/>
        </w:rPr>
        <w:t>ում</w:t>
      </w:r>
      <w:r w:rsidRPr="007C39FE">
        <w:rPr>
          <w:rFonts w:ascii="GHEA Grapalat" w:hAnsi="GHEA Grapalat" w:cs="Times New Roman"/>
          <w:kern w:val="2"/>
          <w:sz w:val="24"/>
          <w:szCs w:val="24"/>
          <w14:ligatures w14:val="standardContextual"/>
        </w:rPr>
        <w:t xml:space="preserve"> </w:t>
      </w:r>
      <w:r w:rsidR="0055262D" w:rsidRPr="007C39FE">
        <w:rPr>
          <w:rFonts w:ascii="GHEA Grapalat" w:hAnsi="GHEA Grapalat" w:cs="Arian AMU"/>
          <w:kern w:val="2"/>
          <w:sz w:val="24"/>
          <w:szCs w:val="24"/>
          <w14:ligatures w14:val="standardContextual"/>
        </w:rPr>
        <w:t xml:space="preserve">թափուր հաստիքների համալրման մրցութային և առաջխաղացման գործընթացներում թեկնածուների բարեվարքությունը ստուգելու համար կիրառվելիք գրավոր/բանավոր առաջադրանքների, հանրային պաշտոնը ստանձնելու կամ առաջխաղացման համար թեկնածուների բարեվարքության </w:t>
      </w:r>
      <w:r w:rsidRPr="007C39FE">
        <w:rPr>
          <w:rFonts w:ascii="GHEA Grapalat" w:hAnsi="GHEA Grapalat" w:cs="Arian AMU"/>
          <w:kern w:val="2"/>
          <w:sz w:val="24"/>
          <w:szCs w:val="24"/>
          <w14:ligatures w14:val="standardContextual"/>
        </w:rPr>
        <w:t xml:space="preserve">ուսումնասիրության </w:t>
      </w:r>
      <w:r w:rsidR="0055262D" w:rsidRPr="007C39FE">
        <w:rPr>
          <w:rFonts w:ascii="GHEA Grapalat" w:hAnsi="GHEA Grapalat" w:cs="Arian AMU"/>
          <w:kern w:val="2"/>
          <w:sz w:val="24"/>
          <w:szCs w:val="24"/>
          <w14:ligatures w14:val="standardContextual"/>
        </w:rPr>
        <w:t>չափորոշիչների ներդրման օրենսդրական կարգավորումները</w:t>
      </w:r>
      <w:r w:rsidRPr="007C39FE">
        <w:rPr>
          <w:rFonts w:ascii="GHEA Grapalat" w:hAnsi="GHEA Grapalat" w:cs="Arian AMU"/>
          <w:kern w:val="2"/>
          <w:sz w:val="24"/>
          <w:szCs w:val="24"/>
          <w14:ligatures w14:val="standardContextual"/>
        </w:rPr>
        <w:t xml:space="preserve"> և </w:t>
      </w:r>
      <w:r w:rsidR="0055262D" w:rsidRPr="007C39FE">
        <w:rPr>
          <w:rFonts w:ascii="GHEA Grapalat" w:hAnsi="GHEA Grapalat" w:cs="Arian AMU"/>
          <w:kern w:val="2"/>
          <w:sz w:val="24"/>
          <w:szCs w:val="24"/>
          <w14:ligatures w14:val="standardContextual"/>
        </w:rPr>
        <w:t xml:space="preserve">պետական մարմիններում, ՏԻՄ-երում </w:t>
      </w:r>
      <w:r w:rsidR="00696C36" w:rsidRPr="007C39FE">
        <w:rPr>
          <w:rFonts w:ascii="GHEA Grapalat" w:hAnsi="GHEA Grapalat" w:cs="Arian AMU"/>
          <w:kern w:val="2"/>
          <w:sz w:val="24"/>
          <w:szCs w:val="24"/>
          <w14:ligatures w14:val="standardContextual"/>
        </w:rPr>
        <w:t xml:space="preserve">պետական </w:t>
      </w:r>
      <w:r w:rsidR="0055262D" w:rsidRPr="007C39FE">
        <w:rPr>
          <w:rFonts w:ascii="GHEA Grapalat" w:hAnsi="GHEA Grapalat" w:cs="Arian AMU"/>
          <w:kern w:val="2"/>
          <w:sz w:val="24"/>
          <w:szCs w:val="24"/>
          <w14:ligatures w14:val="standardContextual"/>
        </w:rPr>
        <w:t>ծառայողների բարեվարքության ուսումնասիրության ստուգման պատշաճ և գործող կառուցակարգեր։</w:t>
      </w:r>
    </w:p>
    <w:p w14:paraId="1216D25D" w14:textId="2117EF93" w:rsidR="00202400" w:rsidRDefault="007D3250" w:rsidP="00AE066B">
      <w:pPr>
        <w:spacing w:after="0" w:line="360" w:lineRule="auto"/>
        <w:ind w:firstLine="567"/>
        <w:jc w:val="both"/>
        <w:rPr>
          <w:rFonts w:ascii="GHEA Grapalat" w:hAnsi="GHEA Grapalat" w:cs="Times New Roman"/>
          <w:kern w:val="2"/>
          <w:sz w:val="24"/>
          <w:szCs w:val="24"/>
          <w14:ligatures w14:val="standardContextual"/>
        </w:rPr>
      </w:pPr>
      <w:r>
        <w:rPr>
          <w:rFonts w:ascii="GHEA Grapalat" w:eastAsia="GHEA Grapalat" w:hAnsi="GHEA Grapalat" w:cs="GHEA Grapalat"/>
          <w:color w:val="000000"/>
          <w:sz w:val="24"/>
          <w:szCs w:val="24"/>
        </w:rPr>
        <w:t xml:space="preserve">Փոփոխություններն </w:t>
      </w:r>
      <w:r w:rsidR="00B16DF1" w:rsidRPr="007C39FE">
        <w:rPr>
          <w:rFonts w:ascii="GHEA Grapalat" w:eastAsia="GHEA Grapalat" w:hAnsi="GHEA Grapalat" w:cs="GHEA Grapalat"/>
          <w:color w:val="000000"/>
          <w:sz w:val="24"/>
          <w:szCs w:val="24"/>
        </w:rPr>
        <w:t>ընդգրկում են հետևյալ նպատակները</w:t>
      </w:r>
      <w:r w:rsidR="00230DD7" w:rsidRPr="007C39FE">
        <w:rPr>
          <w:rFonts w:ascii="GHEA Grapalat" w:eastAsia="GHEA Grapalat" w:hAnsi="GHEA Grapalat" w:cs="GHEA Grapalat"/>
          <w:color w:val="000000"/>
          <w:sz w:val="24"/>
          <w:szCs w:val="24"/>
        </w:rPr>
        <w:t xml:space="preserve">՝ </w:t>
      </w:r>
      <w:r w:rsidR="00DE1AF5" w:rsidRPr="007C39FE">
        <w:rPr>
          <w:rFonts w:ascii="GHEA Grapalat" w:hAnsi="GHEA Grapalat" w:cs="Times New Roman"/>
          <w:kern w:val="2"/>
          <w:sz w:val="24"/>
          <w:szCs w:val="24"/>
          <w14:ligatures w14:val="standardContextual"/>
        </w:rPr>
        <w:t>ա</w:t>
      </w:r>
      <w:r w:rsidR="0074704E" w:rsidRPr="007C39FE">
        <w:rPr>
          <w:rFonts w:ascii="GHEA Grapalat" w:hAnsi="GHEA Grapalat" w:cs="Times New Roman"/>
          <w:kern w:val="2"/>
          <w:sz w:val="24"/>
          <w:szCs w:val="24"/>
          <w14:ligatures w14:val="standardContextual"/>
        </w:rPr>
        <w:t>պահովել պետական մարմինների արդյունավետ և օրինական գործունեությունը, բարձրացնել հանրային վստահությունը պետական ծառայության նկատմամբ և կանխել ու նվազեցնել կոռուպցիոն ռիսկերը: Այս գործընթացի միջոցով ստուգվում է պետական ծառայողների բարոյական և իրավական համապատասխանությունը պետական ծառայության պահանջներին՝ ներառյալ նրանց գործունեությունը, վարքագիծը և ֆինանսական գործարքները: Ստուգման հիմնական նպատակներն են՝</w:t>
      </w:r>
      <w:r w:rsidR="00A3719E">
        <w:rPr>
          <w:rFonts w:ascii="GHEA Grapalat" w:eastAsia="GHEA Grapalat" w:hAnsi="GHEA Grapalat" w:cs="GHEA Grapalat"/>
          <w:b/>
          <w:color w:val="000000"/>
          <w:sz w:val="24"/>
          <w:szCs w:val="24"/>
        </w:rPr>
        <w:t xml:space="preserve"> </w:t>
      </w:r>
      <w:r w:rsidR="00A3719E">
        <w:rPr>
          <w:rFonts w:ascii="GHEA Grapalat" w:hAnsi="GHEA Grapalat" w:cs="Times New Roman"/>
          <w:kern w:val="2"/>
          <w:sz w:val="24"/>
          <w:szCs w:val="24"/>
          <w14:ligatures w14:val="standardContextual"/>
        </w:rPr>
        <w:t>կ</w:t>
      </w:r>
      <w:r w:rsidR="0074704E" w:rsidRPr="007C39FE">
        <w:rPr>
          <w:rFonts w:ascii="GHEA Grapalat" w:hAnsi="GHEA Grapalat" w:cs="Times New Roman"/>
          <w:kern w:val="2"/>
          <w:sz w:val="24"/>
          <w:szCs w:val="24"/>
          <w14:ligatures w14:val="standardContextual"/>
        </w:rPr>
        <w:t>ոռուպցիայի կանխարգելումը</w:t>
      </w:r>
      <w:r w:rsidR="00A3719E">
        <w:rPr>
          <w:rFonts w:ascii="GHEA Grapalat" w:hAnsi="GHEA Grapalat" w:cs="Times New Roman"/>
          <w:kern w:val="2"/>
          <w:sz w:val="24"/>
          <w:szCs w:val="24"/>
          <w14:ligatures w14:val="standardContextual"/>
        </w:rPr>
        <w:t xml:space="preserve">, հանրային </w:t>
      </w:r>
      <w:r w:rsidR="00684E7F">
        <w:rPr>
          <w:rFonts w:ascii="GHEA Grapalat" w:hAnsi="GHEA Grapalat" w:cs="Times New Roman"/>
          <w:kern w:val="2"/>
          <w:sz w:val="24"/>
          <w:szCs w:val="24"/>
          <w14:ligatures w14:val="standardContextual"/>
        </w:rPr>
        <w:t>ծ</w:t>
      </w:r>
      <w:r w:rsidR="00A3719E">
        <w:rPr>
          <w:rFonts w:ascii="GHEA Grapalat" w:hAnsi="GHEA Grapalat" w:cs="Times New Roman"/>
          <w:kern w:val="2"/>
          <w:sz w:val="24"/>
          <w:szCs w:val="24"/>
          <w14:ligatures w14:val="standardContextual"/>
        </w:rPr>
        <w:t>առայողների նկատմամբ վ</w:t>
      </w:r>
      <w:r w:rsidR="0074704E" w:rsidRPr="007C39FE">
        <w:rPr>
          <w:rFonts w:ascii="GHEA Grapalat" w:hAnsi="GHEA Grapalat" w:cs="Times New Roman"/>
          <w:kern w:val="2"/>
          <w:sz w:val="24"/>
          <w:szCs w:val="24"/>
          <w14:ligatures w14:val="standardContextual"/>
        </w:rPr>
        <w:t>ստահության ձևավորումը</w:t>
      </w:r>
      <w:r w:rsidR="00684E7F">
        <w:rPr>
          <w:rFonts w:ascii="GHEA Grapalat" w:hAnsi="GHEA Grapalat" w:cs="Times New Roman"/>
          <w:kern w:val="2"/>
          <w:sz w:val="24"/>
          <w:szCs w:val="24"/>
          <w14:ligatures w14:val="standardContextual"/>
        </w:rPr>
        <w:t>, օ</w:t>
      </w:r>
      <w:r w:rsidR="0074704E" w:rsidRPr="007C39FE">
        <w:rPr>
          <w:rFonts w:ascii="GHEA Grapalat" w:hAnsi="GHEA Grapalat" w:cs="Times New Roman"/>
          <w:kern w:val="2"/>
          <w:sz w:val="24"/>
          <w:szCs w:val="24"/>
          <w14:ligatures w14:val="standardContextual"/>
        </w:rPr>
        <w:t>րինականության ապահովումը</w:t>
      </w:r>
      <w:r w:rsidR="00684E7F">
        <w:rPr>
          <w:rFonts w:ascii="GHEA Grapalat" w:hAnsi="GHEA Grapalat" w:cs="Times New Roman"/>
          <w:kern w:val="2"/>
          <w:sz w:val="24"/>
          <w:szCs w:val="24"/>
          <w14:ligatures w14:val="standardContextual"/>
        </w:rPr>
        <w:t>՝ հանրային</w:t>
      </w:r>
      <w:r w:rsidR="0074704E" w:rsidRPr="007C39FE">
        <w:rPr>
          <w:rFonts w:ascii="GHEA Grapalat" w:hAnsi="GHEA Grapalat" w:cs="Times New Roman"/>
          <w:kern w:val="2"/>
          <w:sz w:val="24"/>
          <w:szCs w:val="24"/>
          <w14:ligatures w14:val="standardContextual"/>
        </w:rPr>
        <w:t xml:space="preserve"> ծառայողների վարքագծի և գործունեության</w:t>
      </w:r>
      <w:r w:rsidR="00684E7F">
        <w:rPr>
          <w:rFonts w:ascii="GHEA Grapalat" w:hAnsi="GHEA Grapalat" w:cs="Times New Roman"/>
          <w:kern w:val="2"/>
          <w:sz w:val="24"/>
          <w:szCs w:val="24"/>
          <w14:ligatures w14:val="standardContextual"/>
        </w:rPr>
        <w:t xml:space="preserve">՝ </w:t>
      </w:r>
      <w:r w:rsidR="0074704E" w:rsidRPr="007C39FE">
        <w:rPr>
          <w:rFonts w:ascii="GHEA Grapalat" w:hAnsi="GHEA Grapalat" w:cs="Times New Roman"/>
          <w:kern w:val="2"/>
          <w:sz w:val="24"/>
          <w:szCs w:val="24"/>
          <w14:ligatures w14:val="standardContextual"/>
        </w:rPr>
        <w:t>ներառյալ էթիկա</w:t>
      </w:r>
      <w:r w:rsidR="00684E7F">
        <w:rPr>
          <w:rFonts w:ascii="GHEA Grapalat" w:hAnsi="GHEA Grapalat" w:cs="Times New Roman"/>
          <w:kern w:val="2"/>
          <w:sz w:val="24"/>
          <w:szCs w:val="24"/>
          <w14:ligatures w14:val="standardContextual"/>
        </w:rPr>
        <w:t>յի</w:t>
      </w:r>
      <w:r w:rsidR="0074704E" w:rsidRPr="007C39FE">
        <w:rPr>
          <w:rFonts w:ascii="GHEA Grapalat" w:hAnsi="GHEA Grapalat" w:cs="Times New Roman"/>
          <w:kern w:val="2"/>
          <w:sz w:val="24"/>
          <w:szCs w:val="24"/>
          <w14:ligatures w14:val="standardContextual"/>
        </w:rPr>
        <w:t xml:space="preserve"> նորմերի պահպան</w:t>
      </w:r>
      <w:r w:rsidR="00684E7F">
        <w:rPr>
          <w:rFonts w:ascii="GHEA Grapalat" w:hAnsi="GHEA Grapalat" w:cs="Times New Roman"/>
          <w:kern w:val="2"/>
          <w:sz w:val="24"/>
          <w:szCs w:val="24"/>
          <w14:ligatures w14:val="standardContextual"/>
        </w:rPr>
        <w:t xml:space="preserve">ման ստուգմամբ, </w:t>
      </w:r>
      <w:r w:rsidR="00AE066B">
        <w:rPr>
          <w:rFonts w:ascii="GHEA Grapalat" w:hAnsi="GHEA Grapalat" w:cs="Times New Roman"/>
          <w:kern w:val="2"/>
          <w:sz w:val="24"/>
          <w:szCs w:val="24"/>
          <w14:ligatures w14:val="standardContextual"/>
        </w:rPr>
        <w:t>հանրային ծառայողների շրջանում հ</w:t>
      </w:r>
      <w:r w:rsidR="0074704E" w:rsidRPr="007C39FE">
        <w:rPr>
          <w:rFonts w:ascii="GHEA Grapalat" w:hAnsi="GHEA Grapalat" w:cs="Times New Roman"/>
          <w:kern w:val="2"/>
          <w:sz w:val="24"/>
          <w:szCs w:val="24"/>
          <w14:ligatures w14:val="standardContextual"/>
        </w:rPr>
        <w:t xml:space="preserve">աշվետվողականության </w:t>
      </w:r>
      <w:r w:rsidR="00AE066B">
        <w:rPr>
          <w:rFonts w:ascii="GHEA Grapalat" w:hAnsi="GHEA Grapalat" w:cs="Times New Roman"/>
          <w:kern w:val="2"/>
          <w:sz w:val="24"/>
          <w:szCs w:val="24"/>
          <w14:ligatures w14:val="standardContextual"/>
        </w:rPr>
        <w:t>ամրապնդումը, ինչպես նաև հանրային ծ</w:t>
      </w:r>
      <w:r w:rsidR="0074704E" w:rsidRPr="007C39FE">
        <w:rPr>
          <w:rFonts w:ascii="GHEA Grapalat" w:hAnsi="GHEA Grapalat" w:cs="Times New Roman"/>
          <w:kern w:val="2"/>
          <w:sz w:val="24"/>
          <w:szCs w:val="24"/>
          <w14:ligatures w14:val="standardContextual"/>
        </w:rPr>
        <w:t>առայության որակի բարձրացումը</w:t>
      </w:r>
      <w:r w:rsidR="00AE066B">
        <w:rPr>
          <w:rFonts w:ascii="GHEA Grapalat" w:hAnsi="GHEA Grapalat" w:cs="Times New Roman"/>
          <w:kern w:val="2"/>
          <w:sz w:val="24"/>
          <w:szCs w:val="24"/>
          <w14:ligatures w14:val="standardContextual"/>
        </w:rPr>
        <w:t>:</w:t>
      </w:r>
    </w:p>
    <w:p w14:paraId="2B2B7A69" w14:textId="77777777" w:rsidR="00F155A9" w:rsidRPr="00F155A9" w:rsidRDefault="00F155A9" w:rsidP="00F155A9">
      <w:pPr>
        <w:spacing w:after="0" w:line="360" w:lineRule="auto"/>
        <w:ind w:firstLine="567"/>
        <w:jc w:val="both"/>
        <w:rPr>
          <w:rFonts w:ascii="GHEA Grapalat" w:hAnsi="GHEA Grapalat" w:cs="Times New Roman"/>
          <w:b/>
          <w:bCs/>
          <w:kern w:val="2"/>
          <w:sz w:val="24"/>
          <w:szCs w:val="24"/>
          <w14:ligatures w14:val="standardContextual"/>
        </w:rPr>
      </w:pPr>
      <w:r w:rsidRPr="00F155A9">
        <w:rPr>
          <w:rFonts w:ascii="GHEA Grapalat" w:hAnsi="GHEA Grapalat" w:cs="Times New Roman"/>
          <w:b/>
          <w:bCs/>
          <w:kern w:val="2"/>
          <w:sz w:val="24"/>
          <w:szCs w:val="24"/>
          <w14:ligatures w14:val="standardContextual"/>
        </w:rPr>
        <w:t>5. Լրացուցիչ ֆինանսական միջոցների անհրաժեշտությունը և պետական բյուջեի եկամուտներում ու ծախսերում սպասվելիք փոփոխությունները.</w:t>
      </w:r>
    </w:p>
    <w:p w14:paraId="3E03DCE5" w14:textId="741CC5B5" w:rsidR="00F155A9" w:rsidRDefault="00F155A9" w:rsidP="00F155A9">
      <w:pPr>
        <w:spacing w:after="0" w:line="360" w:lineRule="auto"/>
        <w:ind w:firstLine="567"/>
        <w:jc w:val="both"/>
        <w:rPr>
          <w:rFonts w:ascii="GHEA Grapalat" w:hAnsi="GHEA Grapalat" w:cs="Times New Roman"/>
          <w:bCs/>
          <w:kern w:val="2"/>
          <w:sz w:val="24"/>
          <w:szCs w:val="24"/>
          <w14:ligatures w14:val="standardContextual"/>
        </w:rPr>
      </w:pPr>
      <w:r w:rsidRPr="00F155A9">
        <w:rPr>
          <w:rFonts w:ascii="GHEA Grapalat" w:hAnsi="GHEA Grapalat" w:cs="Times New Roman"/>
          <w:bCs/>
          <w:kern w:val="2"/>
          <w:sz w:val="24"/>
          <w:szCs w:val="24"/>
          <w14:ligatures w14:val="standardContextual"/>
        </w:rPr>
        <w:t>Նախագծերի</w:t>
      </w:r>
      <w:r>
        <w:rPr>
          <w:rFonts w:ascii="GHEA Grapalat" w:hAnsi="GHEA Grapalat" w:cs="Times New Roman"/>
          <w:bCs/>
          <w:kern w:val="2"/>
          <w:sz w:val="24"/>
          <w:szCs w:val="24"/>
          <w14:ligatures w14:val="standardContextual"/>
        </w:rPr>
        <w:t xml:space="preserve"> փաթեթի</w:t>
      </w:r>
      <w:r w:rsidRPr="00F155A9">
        <w:rPr>
          <w:rFonts w:ascii="GHEA Grapalat" w:hAnsi="GHEA Grapalat" w:cs="Times New Roman"/>
          <w:bCs/>
          <w:kern w:val="2"/>
          <w:sz w:val="24"/>
          <w:szCs w:val="24"/>
          <w14:ligatures w14:val="standardContextual"/>
        </w:rPr>
        <w:t xml:space="preserve"> ընդունումը չի հանգեցնելու պետական բյուջեի եկամուտներում և ծախսերում ֆինանսական միջոցների ավելացումների կամ նվազեցումների:</w:t>
      </w:r>
    </w:p>
    <w:p w14:paraId="5E25FE68" w14:textId="77777777" w:rsidR="00F155A9" w:rsidRPr="00F155A9" w:rsidRDefault="00F155A9" w:rsidP="00F155A9">
      <w:pPr>
        <w:spacing w:after="0" w:line="360" w:lineRule="auto"/>
        <w:ind w:firstLine="567"/>
        <w:jc w:val="both"/>
        <w:rPr>
          <w:rFonts w:ascii="GHEA Grapalat" w:hAnsi="GHEA Grapalat" w:cs="Times New Roman"/>
          <w:b/>
          <w:bCs/>
          <w:kern w:val="2"/>
          <w:sz w:val="24"/>
          <w:szCs w:val="24"/>
          <w14:ligatures w14:val="standardContextual"/>
        </w:rPr>
      </w:pPr>
      <w:r w:rsidRPr="00F155A9">
        <w:rPr>
          <w:rFonts w:ascii="GHEA Grapalat" w:hAnsi="GHEA Grapalat" w:cs="Times New Roman"/>
          <w:b/>
          <w:bCs/>
          <w:kern w:val="2"/>
          <w:sz w:val="24"/>
          <w:szCs w:val="24"/>
          <w14:ligatures w14:val="standardContextual"/>
        </w:rPr>
        <w:t>6</w:t>
      </w:r>
      <w:r w:rsidRPr="00F155A9">
        <w:rPr>
          <w:rFonts w:ascii="Cambria Math" w:hAnsi="Cambria Math" w:cs="Cambria Math"/>
          <w:b/>
          <w:bCs/>
          <w:kern w:val="2"/>
          <w:sz w:val="24"/>
          <w:szCs w:val="24"/>
          <w14:ligatures w14:val="standardContextual"/>
        </w:rPr>
        <w:t>․</w:t>
      </w:r>
      <w:r w:rsidRPr="00F155A9">
        <w:rPr>
          <w:rFonts w:ascii="GHEA Grapalat" w:hAnsi="GHEA Grapalat" w:cs="Times New Roman"/>
          <w:b/>
          <w:bCs/>
          <w:kern w:val="2"/>
          <w:sz w:val="24"/>
          <w:szCs w:val="24"/>
          <w14:ligatures w14:val="standardContextual"/>
        </w:rPr>
        <w:t xml:space="preserve"> Նախագծերի մշակման գործընթացում ներգրավված ինստիտուտները և անձինք</w:t>
      </w:r>
      <w:r w:rsidRPr="00F155A9">
        <w:rPr>
          <w:rFonts w:ascii="Cambria Math" w:hAnsi="Cambria Math" w:cs="Cambria Math"/>
          <w:b/>
          <w:bCs/>
          <w:kern w:val="2"/>
          <w:sz w:val="24"/>
          <w:szCs w:val="24"/>
          <w14:ligatures w14:val="standardContextual"/>
        </w:rPr>
        <w:t>․</w:t>
      </w:r>
    </w:p>
    <w:p w14:paraId="729DC581" w14:textId="77777777" w:rsidR="00F155A9" w:rsidRPr="00F155A9" w:rsidRDefault="00F155A9" w:rsidP="00F155A9">
      <w:pPr>
        <w:spacing w:after="0" w:line="360" w:lineRule="auto"/>
        <w:ind w:firstLine="567"/>
        <w:jc w:val="both"/>
        <w:rPr>
          <w:rFonts w:ascii="GHEA Grapalat" w:hAnsi="GHEA Grapalat" w:cs="Times New Roman"/>
          <w:bCs/>
          <w:kern w:val="2"/>
          <w:sz w:val="24"/>
          <w:szCs w:val="24"/>
          <w14:ligatures w14:val="standardContextual"/>
        </w:rPr>
      </w:pPr>
      <w:r w:rsidRPr="00F155A9">
        <w:rPr>
          <w:rFonts w:ascii="GHEA Grapalat" w:hAnsi="GHEA Grapalat" w:cs="Times New Roman"/>
          <w:bCs/>
          <w:kern w:val="2"/>
          <w:sz w:val="24"/>
          <w:szCs w:val="24"/>
          <w14:ligatures w14:val="standardContextual"/>
        </w:rPr>
        <w:t>Նախագիծը մշակվել է Հայաստանի Հանրապետության արդարադատության նախարարության կողմից։</w:t>
      </w:r>
    </w:p>
    <w:p w14:paraId="0ED993AA" w14:textId="77777777" w:rsidR="00F155A9" w:rsidRPr="00F155A9" w:rsidRDefault="00F155A9" w:rsidP="00F155A9">
      <w:pPr>
        <w:spacing w:after="0" w:line="360" w:lineRule="auto"/>
        <w:ind w:firstLine="567"/>
        <w:jc w:val="both"/>
        <w:rPr>
          <w:rFonts w:ascii="GHEA Grapalat" w:hAnsi="GHEA Grapalat" w:cs="Times New Roman"/>
          <w:b/>
          <w:bCs/>
          <w:kern w:val="2"/>
          <w:sz w:val="24"/>
          <w:szCs w:val="24"/>
          <w14:ligatures w14:val="standardContextual"/>
        </w:rPr>
      </w:pPr>
    </w:p>
    <w:p w14:paraId="2E4EA8DB" w14:textId="77777777" w:rsidR="00F155A9" w:rsidRPr="007C39FE" w:rsidRDefault="00F155A9" w:rsidP="00AE066B">
      <w:pPr>
        <w:spacing w:after="0" w:line="360" w:lineRule="auto"/>
        <w:ind w:firstLine="567"/>
        <w:jc w:val="both"/>
        <w:rPr>
          <w:rFonts w:ascii="GHEA Grapalat" w:hAnsi="GHEA Grapalat" w:cs="Times New Roman"/>
          <w:kern w:val="2"/>
          <w:sz w:val="24"/>
          <w:szCs w:val="24"/>
          <w14:ligatures w14:val="standardContextual"/>
        </w:rPr>
      </w:pPr>
    </w:p>
    <w:p w14:paraId="2A39A1DD" w14:textId="3806C48E" w:rsidR="00586F9C" w:rsidRPr="00F155A9" w:rsidRDefault="00F155A9" w:rsidP="00F155A9">
      <w:pPr>
        <w:spacing w:before="100" w:beforeAutospacing="1" w:after="100" w:afterAutospacing="1" w:line="360" w:lineRule="auto"/>
        <w:ind w:firstLine="720"/>
        <w:jc w:val="both"/>
        <w:rPr>
          <w:rFonts w:ascii="GHEA Grapalat" w:eastAsia="GHEA Grapalat" w:hAnsi="GHEA Grapalat" w:cs="GHEA Grapalat"/>
          <w:b/>
          <w:color w:val="000000"/>
          <w:sz w:val="24"/>
          <w:szCs w:val="24"/>
        </w:rPr>
      </w:pPr>
      <w:r w:rsidRPr="00F155A9">
        <w:rPr>
          <w:rFonts w:ascii="GHEA Grapalat" w:eastAsia="GHEA Grapalat" w:hAnsi="GHEA Grapalat" w:cs="GHEA Grapalat"/>
          <w:b/>
          <w:color w:val="000000"/>
          <w:sz w:val="24"/>
          <w:szCs w:val="24"/>
        </w:rPr>
        <w:lastRenderedPageBreak/>
        <w:t>7. Ակնկալվող արդյունքները</w:t>
      </w:r>
      <w:r w:rsidRPr="00F155A9">
        <w:rPr>
          <w:rFonts w:ascii="Cambria Math" w:eastAsia="GHEA Grapalat" w:hAnsi="Cambria Math" w:cs="Cambria Math"/>
          <w:b/>
          <w:color w:val="000000"/>
          <w:sz w:val="24"/>
          <w:szCs w:val="24"/>
        </w:rPr>
        <w:t>․</w:t>
      </w:r>
    </w:p>
    <w:p w14:paraId="7534F1FE" w14:textId="224AACF1" w:rsidR="00F81F74" w:rsidRPr="007C39FE" w:rsidRDefault="00202400" w:rsidP="007C39FE">
      <w:pPr>
        <w:tabs>
          <w:tab w:val="left" w:pos="720"/>
          <w:tab w:val="left" w:pos="810"/>
          <w:tab w:val="left" w:pos="990"/>
          <w:tab w:val="left" w:pos="1260"/>
        </w:tabs>
        <w:spacing w:after="0" w:line="360" w:lineRule="auto"/>
        <w:jc w:val="both"/>
        <w:rPr>
          <w:rFonts w:ascii="GHEA Grapalat" w:eastAsiaTheme="minorHAnsi" w:hAnsi="GHEA Grapalat" w:cstheme="minorBidi"/>
          <w:i/>
          <w:noProof/>
          <w:sz w:val="24"/>
          <w:szCs w:val="24"/>
        </w:rPr>
      </w:pPr>
      <w:r w:rsidRPr="007C39FE">
        <w:rPr>
          <w:rFonts w:ascii="GHEA Grapalat" w:eastAsiaTheme="minorHAnsi" w:hAnsi="GHEA Grapalat" w:cstheme="minorBidi"/>
          <w:noProof/>
          <w:sz w:val="24"/>
          <w:szCs w:val="24"/>
        </w:rPr>
        <w:tab/>
      </w:r>
      <w:r w:rsidR="00FF0D7A" w:rsidRPr="007C39FE">
        <w:rPr>
          <w:rFonts w:ascii="GHEA Grapalat" w:eastAsiaTheme="minorHAnsi" w:hAnsi="GHEA Grapalat" w:cstheme="minorBidi"/>
          <w:noProof/>
          <w:sz w:val="24"/>
          <w:szCs w:val="24"/>
        </w:rPr>
        <w:t xml:space="preserve">Նախագծերի </w:t>
      </w:r>
      <w:r w:rsidR="00A53D64" w:rsidRPr="007C39FE">
        <w:rPr>
          <w:rFonts w:ascii="GHEA Grapalat" w:eastAsiaTheme="minorHAnsi" w:hAnsi="GHEA Grapalat" w:cstheme="minorBidi"/>
          <w:noProof/>
          <w:sz w:val="24"/>
          <w:szCs w:val="24"/>
        </w:rPr>
        <w:t xml:space="preserve">փաթեթի </w:t>
      </w:r>
      <w:r w:rsidR="00F2126B">
        <w:rPr>
          <w:rFonts w:ascii="GHEA Grapalat" w:eastAsiaTheme="minorHAnsi" w:hAnsi="GHEA Grapalat" w:cstheme="minorBidi"/>
          <w:noProof/>
          <w:sz w:val="24"/>
          <w:szCs w:val="24"/>
        </w:rPr>
        <w:t xml:space="preserve">ընդունումը կնպաստի հանրային ծառայողների </w:t>
      </w:r>
      <w:r w:rsidR="00FB3142" w:rsidRPr="007C39FE">
        <w:rPr>
          <w:rFonts w:ascii="GHEA Grapalat" w:eastAsiaTheme="minorHAnsi" w:hAnsi="GHEA Grapalat" w:cstheme="minorBidi"/>
          <w:noProof/>
          <w:sz w:val="24"/>
          <w:szCs w:val="24"/>
        </w:rPr>
        <w:t>բարեվարքության ամրապնդմանը</w:t>
      </w:r>
      <w:r w:rsidR="00F2126B">
        <w:rPr>
          <w:rFonts w:ascii="GHEA Grapalat" w:eastAsiaTheme="minorHAnsi" w:hAnsi="GHEA Grapalat" w:cstheme="minorBidi"/>
          <w:noProof/>
          <w:sz w:val="24"/>
          <w:szCs w:val="24"/>
        </w:rPr>
        <w:t xml:space="preserve">, ինչպես նաև </w:t>
      </w:r>
      <w:r w:rsidR="00F2126B" w:rsidRPr="007C39FE">
        <w:rPr>
          <w:rFonts w:ascii="GHEA Grapalat" w:hAnsi="GHEA Grapalat"/>
          <w:sz w:val="24"/>
          <w:szCs w:val="24"/>
        </w:rPr>
        <w:t>կոռուպցիոն ռիսկերի նվազեցմանը և պետական կառավարման համակարգում բարեվարքության մակարդակի բարձրացմանը</w:t>
      </w:r>
      <w:r w:rsidR="0066186C">
        <w:rPr>
          <w:rFonts w:ascii="GHEA Grapalat" w:hAnsi="GHEA Grapalat"/>
          <w:sz w:val="24"/>
          <w:szCs w:val="24"/>
        </w:rPr>
        <w:t>:</w:t>
      </w:r>
    </w:p>
    <w:p w14:paraId="17785455" w14:textId="2EDE7E69" w:rsidR="00EC2E6C" w:rsidRPr="007C39FE" w:rsidRDefault="00F81F74" w:rsidP="007C39FE">
      <w:pPr>
        <w:tabs>
          <w:tab w:val="left" w:pos="720"/>
          <w:tab w:val="left" w:pos="810"/>
          <w:tab w:val="left" w:pos="990"/>
          <w:tab w:val="left" w:pos="1260"/>
        </w:tabs>
        <w:spacing w:after="0" w:line="360" w:lineRule="auto"/>
        <w:jc w:val="both"/>
        <w:rPr>
          <w:rFonts w:ascii="GHEA Grapalat" w:eastAsiaTheme="minorHAnsi" w:hAnsi="GHEA Grapalat" w:cstheme="minorBidi"/>
          <w:i/>
          <w:noProof/>
          <w:sz w:val="24"/>
          <w:szCs w:val="24"/>
        </w:rPr>
      </w:pPr>
      <w:r w:rsidRPr="007C39FE">
        <w:rPr>
          <w:rFonts w:ascii="GHEA Grapalat" w:eastAsiaTheme="minorHAnsi" w:hAnsi="GHEA Grapalat" w:cstheme="minorBidi"/>
          <w:i/>
          <w:noProof/>
          <w:sz w:val="24"/>
          <w:szCs w:val="24"/>
        </w:rPr>
        <w:tab/>
      </w:r>
    </w:p>
    <w:p w14:paraId="14CECB32" w14:textId="77777777" w:rsidR="00586F9C" w:rsidRPr="006A495A" w:rsidRDefault="00586F9C" w:rsidP="006A495A">
      <w:pPr>
        <w:spacing w:line="360" w:lineRule="auto"/>
        <w:ind w:left="360"/>
        <w:jc w:val="both"/>
        <w:rPr>
          <w:rFonts w:ascii="GHEA Grapalat" w:eastAsia="GHEA Grapalat" w:hAnsi="GHEA Grapalat" w:cs="GHEA Grapalat"/>
          <w:sz w:val="24"/>
          <w:szCs w:val="24"/>
        </w:rPr>
      </w:pPr>
      <w:bookmarkStart w:id="0" w:name="_GoBack"/>
      <w:bookmarkEnd w:id="0"/>
    </w:p>
    <w:sectPr w:rsidR="00586F9C" w:rsidRPr="006A495A">
      <w:footerReference w:type="default" r:id="rId9"/>
      <w:pgSz w:w="12240" w:h="15840"/>
      <w:pgMar w:top="851" w:right="851"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8B4DB" w14:textId="77777777" w:rsidR="00BE7F0C" w:rsidRDefault="00BE7F0C">
      <w:pPr>
        <w:spacing w:after="0" w:line="240" w:lineRule="auto"/>
      </w:pPr>
      <w:r>
        <w:separator/>
      </w:r>
    </w:p>
  </w:endnote>
  <w:endnote w:type="continuationSeparator" w:id="0">
    <w:p w14:paraId="4C8BC48F" w14:textId="77777777" w:rsidR="00BE7F0C" w:rsidRDefault="00BE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panose1 w:val="01000000000000000000"/>
    <w:charset w:val="00"/>
    <w:family w:val="auto"/>
    <w:pitch w:val="variable"/>
    <w:sig w:usb0="A1002EA7" w:usb1="50000008" w:usb2="00000000"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2F53" w14:textId="7F1FA92B" w:rsidR="00586F9C" w:rsidRDefault="00B16DF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7AE3">
      <w:rPr>
        <w:noProof/>
        <w:color w:val="000000"/>
      </w:rPr>
      <w:t>8</w:t>
    </w:r>
    <w:r>
      <w:rPr>
        <w:color w:val="000000"/>
      </w:rPr>
      <w:fldChar w:fldCharType="end"/>
    </w:r>
  </w:p>
  <w:p w14:paraId="12CB8CCC" w14:textId="77777777" w:rsidR="00586F9C" w:rsidRDefault="00586F9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7EACF" w14:textId="77777777" w:rsidR="00BE7F0C" w:rsidRDefault="00BE7F0C">
      <w:pPr>
        <w:spacing w:after="0" w:line="240" w:lineRule="auto"/>
      </w:pPr>
      <w:r>
        <w:separator/>
      </w:r>
    </w:p>
  </w:footnote>
  <w:footnote w:type="continuationSeparator" w:id="0">
    <w:p w14:paraId="003A8BB9" w14:textId="77777777" w:rsidR="00BE7F0C" w:rsidRDefault="00BE7F0C">
      <w:pPr>
        <w:spacing w:after="0" w:line="240" w:lineRule="auto"/>
      </w:pPr>
      <w:r>
        <w:continuationSeparator/>
      </w:r>
    </w:p>
  </w:footnote>
  <w:footnote w:id="1">
    <w:p w14:paraId="2379F24F" w14:textId="77777777" w:rsidR="00265083" w:rsidRPr="00265083" w:rsidRDefault="00265083" w:rsidP="00265083">
      <w:pPr>
        <w:pStyle w:val="FootnoteText"/>
        <w:rPr>
          <w:rFonts w:asciiTheme="minorHAnsi" w:eastAsiaTheme="minorHAnsi" w:hAnsiTheme="minorHAnsi" w:cstheme="minorBidi"/>
          <w:kern w:val="2"/>
          <w14:ligatures w14:val="standardContextual"/>
        </w:rPr>
      </w:pPr>
      <w:r>
        <w:rPr>
          <w:rStyle w:val="FootnoteReference"/>
        </w:rPr>
        <w:footnoteRef/>
      </w:r>
      <w:r>
        <w:t xml:space="preserve"> </w:t>
      </w:r>
      <w:hyperlink r:id="rId1" w:history="1">
        <w:r w:rsidRPr="00265083">
          <w:rPr>
            <w:rFonts w:asciiTheme="minorHAnsi" w:eastAsiaTheme="minorHAnsi" w:hAnsiTheme="minorHAnsi" w:cstheme="minorBidi"/>
            <w:color w:val="0563C1" w:themeColor="hyperlink"/>
            <w:kern w:val="2"/>
            <w:u w:val="single"/>
            <w14:ligatures w14:val="standardContextual"/>
          </w:rPr>
          <w:t>https://rm.coe.int/fifth-evaluation-round-preventing-corruption-and-promoting-integrity-i/1680a6420a</w:t>
        </w:r>
      </w:hyperlink>
    </w:p>
    <w:p w14:paraId="337C282F" w14:textId="185172FB" w:rsidR="00265083" w:rsidRPr="00265083" w:rsidRDefault="00265083">
      <w:pPr>
        <w:pStyle w:val="FootnoteText"/>
      </w:pPr>
    </w:p>
  </w:footnote>
  <w:footnote w:id="2">
    <w:p w14:paraId="3128D3E2" w14:textId="77777777" w:rsidR="00265083" w:rsidRDefault="00265083" w:rsidP="00265083">
      <w:pPr>
        <w:pStyle w:val="FootnoteText"/>
        <w:jc w:val="both"/>
        <w:rPr>
          <w:rFonts w:ascii="GHEA Grapalat" w:hAnsi="GHEA Grapalat"/>
          <w:lang w:val="en-US"/>
        </w:rPr>
      </w:pPr>
      <w:r>
        <w:rPr>
          <w:rStyle w:val="FootnoteReference"/>
          <w:rFonts w:ascii="GHEA Grapalat" w:hAnsi="GHEA Grapalat"/>
        </w:rPr>
        <w:footnoteRef/>
      </w:r>
      <w:r>
        <w:rPr>
          <w:rFonts w:ascii="GHEA Grapalat" w:hAnsi="GHEA Grapalat"/>
        </w:rPr>
        <w:t xml:space="preserve"> Marcus, Paul: </w:t>
      </w:r>
      <w:r>
        <w:rPr>
          <w:rFonts w:ascii="GHEA Grapalat" w:hAnsi="GHEA Grapalat"/>
          <w:i/>
          <w:iCs/>
        </w:rPr>
        <w:t xml:space="preserve">The Entrapment Defense, </w:t>
      </w:r>
      <w:r>
        <w:rPr>
          <w:rFonts w:ascii="GHEA Grapalat" w:hAnsi="GHEA Grapalat"/>
        </w:rPr>
        <w:t xml:space="preserve">4th edition, Michie, 1992; Chernok, Adam V.: Entrapment under controlled operations legislation: A Victorian perspective, </w:t>
      </w:r>
      <w:r>
        <w:rPr>
          <w:rFonts w:ascii="GHEA Grapalat" w:hAnsi="GHEA Grapalat"/>
          <w:i/>
          <w:iCs/>
        </w:rPr>
        <w:t xml:space="preserve">Criminal Law Journal, </w:t>
      </w:r>
      <w:r>
        <w:rPr>
          <w:rFonts w:ascii="GHEA Grapalat" w:hAnsi="GHEA Grapalat"/>
        </w:rPr>
        <w:t xml:space="preserve">Vol. 35, 2011, էջեր 361-375; Spencer, J. R.: Entrapment and the European Convention on Human Rights, </w:t>
      </w:r>
      <w:r>
        <w:rPr>
          <w:rFonts w:ascii="GHEA Grapalat" w:hAnsi="GHEA Grapalat"/>
          <w:i/>
          <w:iCs/>
        </w:rPr>
        <w:t xml:space="preserve">Cambridge Law Journal, </w:t>
      </w:r>
      <w:r>
        <w:rPr>
          <w:rFonts w:ascii="GHEA Grapalat" w:hAnsi="GHEA Grapalat"/>
        </w:rPr>
        <w:t xml:space="preserve">2001, էջեր 30-33.  </w:t>
      </w:r>
    </w:p>
  </w:footnote>
  <w:footnote w:id="3">
    <w:p w14:paraId="065564F0" w14:textId="77777777" w:rsidR="00265083" w:rsidRDefault="00265083" w:rsidP="00265083">
      <w:pPr>
        <w:pStyle w:val="FootnoteText"/>
        <w:jc w:val="both"/>
        <w:rPr>
          <w:rFonts w:ascii="GHEA Grapalat" w:hAnsi="GHEA Grapalat"/>
        </w:rPr>
      </w:pPr>
      <w:r>
        <w:rPr>
          <w:rStyle w:val="FootnoteReference"/>
          <w:rFonts w:ascii="GHEA Grapalat" w:hAnsi="GHEA Grapalat"/>
        </w:rPr>
        <w:footnoteRef/>
      </w:r>
      <w:r>
        <w:rPr>
          <w:rFonts w:ascii="GHEA Grapalat" w:hAnsi="GHEA Grapalat"/>
        </w:rPr>
        <w:t xml:space="preserve"> UK House of Lords, </w:t>
      </w:r>
      <w:r>
        <w:rPr>
          <w:rFonts w:ascii="GHEA Grapalat" w:hAnsi="GHEA Grapalat"/>
          <w:i/>
          <w:iCs/>
        </w:rPr>
        <w:t xml:space="preserve">Regina v Loosely, </w:t>
      </w:r>
      <w:r>
        <w:rPr>
          <w:rFonts w:ascii="GHEA Grapalat" w:hAnsi="GHEA Grapalat"/>
        </w:rPr>
        <w:t xml:space="preserve">25 October 2001; US Court of Appeals, District of Columbia Circuit, </w:t>
      </w:r>
      <w:r>
        <w:rPr>
          <w:rFonts w:ascii="GHEA Grapalat" w:hAnsi="GHEA Grapalat"/>
          <w:i/>
          <w:iCs/>
        </w:rPr>
        <w:t xml:space="preserve">United States v. Kelly, </w:t>
      </w:r>
      <w:r>
        <w:rPr>
          <w:rFonts w:ascii="GHEA Grapalat" w:hAnsi="GHEA Grapalat"/>
        </w:rPr>
        <w:t xml:space="preserve">748 F.2d 691 (1984); </w:t>
      </w:r>
      <w:r>
        <w:rPr>
          <w:rFonts w:ascii="GHEA Grapalat" w:hAnsi="GHEA Grapalat"/>
          <w:i/>
          <w:iCs/>
        </w:rPr>
        <w:t xml:space="preserve">Jacobson v. United States, </w:t>
      </w:r>
      <w:r>
        <w:rPr>
          <w:rFonts w:ascii="GHEA Grapalat" w:hAnsi="GHEA Grapalat"/>
        </w:rPr>
        <w:t xml:space="preserve">503 U.S. 540, 548 (1992); </w:t>
      </w:r>
      <w:r>
        <w:rPr>
          <w:rFonts w:ascii="GHEA Grapalat" w:hAnsi="GHEA Grapalat"/>
          <w:i/>
          <w:iCs/>
        </w:rPr>
        <w:t xml:space="preserve">Mathews v. United States, </w:t>
      </w:r>
      <w:r>
        <w:rPr>
          <w:rFonts w:ascii="GHEA Grapalat" w:hAnsi="GHEA Grapalat"/>
        </w:rPr>
        <w:t xml:space="preserve">485 U.S. 58, 63 (1988).  </w:t>
      </w:r>
    </w:p>
  </w:footnote>
  <w:footnote w:id="4">
    <w:p w14:paraId="150E0AE1" w14:textId="77777777" w:rsidR="00265083" w:rsidRDefault="00265083" w:rsidP="00265083">
      <w:pPr>
        <w:pStyle w:val="FootnoteText"/>
        <w:jc w:val="both"/>
        <w:rPr>
          <w:rFonts w:ascii="GHEA Grapalat" w:hAnsi="GHEA Grapalat"/>
        </w:rPr>
      </w:pPr>
      <w:r>
        <w:rPr>
          <w:rStyle w:val="FootnoteReference"/>
          <w:rFonts w:ascii="GHEA Grapalat" w:hAnsi="GHEA Grapalat"/>
        </w:rPr>
        <w:footnoteRef/>
      </w:r>
      <w:r>
        <w:rPr>
          <w:rFonts w:ascii="GHEA Grapalat" w:hAnsi="GHEA Grapalat"/>
        </w:rPr>
        <w:t xml:space="preserve"> Roibu, Magdalena: Entrapment in Case of Corruption Offenses – Breach of the Right to a Fair Trial, </w:t>
      </w:r>
      <w:r>
        <w:rPr>
          <w:rFonts w:ascii="GHEA Grapalat" w:hAnsi="GHEA Grapalat"/>
          <w:i/>
          <w:iCs/>
        </w:rPr>
        <w:t>Journal of Eastern European Criminal Law</w:t>
      </w:r>
      <w:r>
        <w:rPr>
          <w:rFonts w:ascii="GHEA Grapalat" w:hAnsi="GHEA Grapalat"/>
        </w:rPr>
        <w:t xml:space="preserve">, No. 2, 2014, էջեր 93-100; Pușcașu, Volcu: Agenţi sub acoperire. Provocarea ilegală a infracţiunii. Consideraţii (I), </w:t>
      </w:r>
      <w:r>
        <w:rPr>
          <w:rFonts w:ascii="GHEA Grapalat" w:hAnsi="GHEA Grapalat"/>
          <w:i/>
          <w:iCs/>
        </w:rPr>
        <w:t xml:space="preserve">Caiete de Drept Penal, </w:t>
      </w:r>
      <w:r>
        <w:rPr>
          <w:rFonts w:ascii="GHEA Grapalat" w:hAnsi="GHEA Grapalat"/>
        </w:rPr>
        <w:t xml:space="preserve">No. 2, 2010, էջեր 29-74; Pușcașu, Volcu: Agenţi sub acoperire. Provocarea ilegală a infracţiunii. Consideraţii (II), </w:t>
      </w:r>
      <w:r>
        <w:rPr>
          <w:rFonts w:ascii="GHEA Grapalat" w:hAnsi="GHEA Grapalat"/>
          <w:i/>
          <w:iCs/>
        </w:rPr>
        <w:t xml:space="preserve">Caiete de Drept Penal, </w:t>
      </w:r>
      <w:r>
        <w:rPr>
          <w:rFonts w:ascii="GHEA Grapalat" w:hAnsi="GHEA Grapalat"/>
        </w:rPr>
        <w:t xml:space="preserve">No. 3, 2010, էջեր 75-98.  </w:t>
      </w:r>
    </w:p>
  </w:footnote>
  <w:footnote w:id="5">
    <w:p w14:paraId="56C41C59" w14:textId="77777777" w:rsidR="00265083" w:rsidRDefault="00265083" w:rsidP="00265083">
      <w:pPr>
        <w:pStyle w:val="FootnoteText"/>
        <w:jc w:val="both"/>
        <w:rPr>
          <w:rFonts w:ascii="GHEA Grapalat" w:hAnsi="GHEA Grapalat"/>
        </w:rPr>
      </w:pPr>
      <w:r>
        <w:rPr>
          <w:rStyle w:val="FootnoteReference"/>
          <w:rFonts w:ascii="GHEA Grapalat" w:hAnsi="GHEA Grapalat"/>
        </w:rPr>
        <w:footnoteRef/>
      </w:r>
      <w:r>
        <w:rPr>
          <w:rFonts w:ascii="GHEA Grapalat" w:hAnsi="GHEA Grapalat"/>
        </w:rPr>
        <w:t xml:space="preserve"> Constitutional Court of the Czech Republic No. 597/99 of 22 June 2000 and No. 407/07 of 29 October 2009.  </w:t>
      </w:r>
    </w:p>
  </w:footnote>
  <w:footnote w:id="6">
    <w:p w14:paraId="3C806E87" w14:textId="77777777" w:rsidR="00265083" w:rsidRDefault="00265083" w:rsidP="00265083">
      <w:pPr>
        <w:pStyle w:val="FootnoteText"/>
        <w:jc w:val="both"/>
        <w:rPr>
          <w:rFonts w:ascii="GHEA Grapalat" w:hAnsi="GHEA Grapalat"/>
        </w:rPr>
      </w:pPr>
      <w:r>
        <w:rPr>
          <w:rStyle w:val="FootnoteReference"/>
          <w:rFonts w:ascii="GHEA Grapalat" w:hAnsi="GHEA Grapalat"/>
        </w:rPr>
        <w:footnoteRef/>
      </w:r>
      <w:r>
        <w:rPr>
          <w:rFonts w:ascii="GHEA Grapalat" w:hAnsi="GHEA Grapalat"/>
        </w:rPr>
        <w:t xml:space="preserve"> Romania, Law 38/2011 on modifying the Emergency Government Ordinance No. 30/2007 on the organization and functioning of the Ministry of internal Affairs (Article 17) and the Ministry of Internal Affairs Order No. 256/2011 on the procedure for testing the professional integrity of the Ministry of Internal Affairs staff.  </w:t>
      </w:r>
    </w:p>
  </w:footnote>
  <w:footnote w:id="7">
    <w:p w14:paraId="261D15F9" w14:textId="77777777" w:rsidR="00265083" w:rsidRDefault="00265083" w:rsidP="00265083">
      <w:pPr>
        <w:pStyle w:val="FootnoteText"/>
        <w:jc w:val="both"/>
        <w:rPr>
          <w:rFonts w:ascii="GHEA Grapalat" w:hAnsi="GHEA Grapalat"/>
        </w:rPr>
      </w:pPr>
      <w:r>
        <w:rPr>
          <w:rStyle w:val="FootnoteReference"/>
          <w:rFonts w:ascii="GHEA Grapalat" w:hAnsi="GHEA Grapalat"/>
        </w:rPr>
        <w:footnoteRef/>
      </w:r>
      <w:r>
        <w:rPr>
          <w:rFonts w:ascii="GHEA Grapalat" w:hAnsi="GHEA Grapalat"/>
        </w:rPr>
        <w:t xml:space="preserve"> Republic of Moldova, Law No. 325 of 23 December 2013 on Professional Integrity Testing. CDL-REF(2014)041.  </w:t>
      </w:r>
    </w:p>
  </w:footnote>
  <w:footnote w:id="8">
    <w:p w14:paraId="44E0BEA2" w14:textId="77777777" w:rsidR="00265083" w:rsidRPr="00861027" w:rsidRDefault="00265083" w:rsidP="00265083">
      <w:pPr>
        <w:pStyle w:val="FootnoteText"/>
        <w:rPr>
          <w:lang w:val="hy-AM"/>
        </w:rPr>
      </w:pPr>
      <w:r>
        <w:rPr>
          <w:rStyle w:val="FootnoteReference"/>
        </w:rPr>
        <w:footnoteRef/>
      </w:r>
      <w:r>
        <w:t xml:space="preserve"> </w:t>
      </w:r>
      <w:hyperlink r:id="rId2" w:history="1">
        <w:r w:rsidRPr="00086111">
          <w:rPr>
            <w:rStyle w:val="Hyperlink"/>
          </w:rPr>
          <w:t>https://www.personnelchecks.co.uk/latest-news/the-ultimate-guide-to-pre-employment-screening-in-the-uk</w:t>
        </w:r>
      </w:hyperlink>
      <w:r>
        <w:rPr>
          <w:lang w:val="hy-AM"/>
        </w:rPr>
        <w:t xml:space="preserve"> </w:t>
      </w:r>
    </w:p>
  </w:footnote>
  <w:footnote w:id="9">
    <w:p w14:paraId="7CFE2A22" w14:textId="77777777" w:rsidR="00265083" w:rsidRPr="00643CD4" w:rsidRDefault="00265083" w:rsidP="00265083">
      <w:pPr>
        <w:pStyle w:val="FootnoteText"/>
        <w:rPr>
          <w:lang w:val="hy-AM"/>
        </w:rPr>
      </w:pPr>
      <w:r>
        <w:rPr>
          <w:rStyle w:val="FootnoteReference"/>
        </w:rPr>
        <w:footnoteRef/>
      </w:r>
      <w:r>
        <w:t xml:space="preserve"> </w:t>
      </w:r>
      <w:hyperlink r:id="rId3" w:history="1">
        <w:r w:rsidRPr="00086111">
          <w:rPr>
            <w:rStyle w:val="Hyperlink"/>
          </w:rPr>
          <w:t>https://www.gov.uk/government/publications/government-baseline-personnel-security-standard</w:t>
        </w:r>
      </w:hyperlink>
      <w:r w:rsidRPr="00643CD4">
        <w:rPr>
          <w:lang w:val="hy-AM"/>
        </w:rPr>
        <w:t xml:space="preserve"> </w:t>
      </w:r>
    </w:p>
  </w:footnote>
  <w:footnote w:id="10">
    <w:p w14:paraId="3DA36006" w14:textId="77777777" w:rsidR="00265083" w:rsidRPr="00643CD4" w:rsidRDefault="00265083" w:rsidP="00265083">
      <w:pPr>
        <w:pStyle w:val="FootnoteText"/>
        <w:jc w:val="both"/>
        <w:rPr>
          <w:lang w:val="hy-AM"/>
        </w:rPr>
      </w:pPr>
      <w:r>
        <w:rPr>
          <w:rStyle w:val="FootnoteReference"/>
        </w:rPr>
        <w:footnoteRef/>
      </w:r>
      <w:hyperlink r:id="rId4" w:history="1">
        <w:r w:rsidRPr="00086111">
          <w:rPr>
            <w:rStyle w:val="Hyperlink"/>
          </w:rPr>
          <w:t>https://assets.publishing.service.gov.uk/media/5a82abf3e5274a2e87dc2637/Guidance_for_Pre-Employment_Screening_v1_2.pdf</w:t>
        </w:r>
      </w:hyperlink>
      <w:r w:rsidRPr="00643CD4">
        <w:rPr>
          <w:lang w:val="hy-AM"/>
        </w:rPr>
        <w:t xml:space="preserve"> </w:t>
      </w:r>
    </w:p>
  </w:footnote>
  <w:footnote w:id="11">
    <w:p w14:paraId="3984AE15" w14:textId="77777777" w:rsidR="00AC66D0" w:rsidRDefault="00AC66D0" w:rsidP="00AC66D0">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r>
        <w:rPr>
          <w:vertAlign w:val="superscript"/>
        </w:rPr>
        <w:footnoteRef/>
      </w:r>
      <w:r>
        <w:rPr>
          <w:rFonts w:ascii="GHEA Grapalat" w:eastAsia="GHEA Grapalat" w:hAnsi="GHEA Grapalat" w:cs="GHEA Grapalat"/>
          <w:color w:val="000000"/>
          <w:sz w:val="20"/>
          <w:szCs w:val="20"/>
          <w:vertAlign w:val="superscript"/>
        </w:rPr>
        <w:t xml:space="preserve"> </w:t>
      </w:r>
      <w:r w:rsidRPr="00650DCD">
        <w:t>UNODC (2009), Technical Guide to the UNCAC, Article 50 II.4.5.,</w:t>
      </w:r>
      <w:r>
        <w:rPr>
          <w:rFonts w:ascii="GHEA Grapalat" w:eastAsia="GHEA Grapalat" w:hAnsi="GHEA Grapalat" w:cs="GHEA Grapalat"/>
          <w:color w:val="000000"/>
          <w:sz w:val="20"/>
          <w:szCs w:val="20"/>
        </w:rPr>
        <w:t xml:space="preserve"> </w:t>
      </w:r>
      <w:hyperlink r:id="rId5">
        <w:r>
          <w:rPr>
            <w:rFonts w:ascii="GHEA Grapalat" w:eastAsia="GHEA Grapalat" w:hAnsi="GHEA Grapalat" w:cs="GHEA Grapalat"/>
            <w:color w:val="0000FF"/>
            <w:sz w:val="20"/>
            <w:szCs w:val="20"/>
            <w:u w:val="single"/>
          </w:rPr>
          <w:t>https://www.unodc.org/documents/treaties/UNCAC/Publications/TechnicalGuide/09-84395_Ebook.pdf</w:t>
        </w:r>
      </w:hyperlink>
      <w:r>
        <w:rPr>
          <w:rFonts w:ascii="GHEA Grapalat" w:eastAsia="GHEA Grapalat" w:hAnsi="GHEA Grapalat" w:cs="GHEA Grapalat"/>
          <w:color w:val="000000"/>
          <w:sz w:val="20"/>
          <w:szCs w:val="20"/>
        </w:rPr>
        <w:t xml:space="preserve">. </w:t>
      </w:r>
    </w:p>
  </w:footnote>
  <w:footnote w:id="12">
    <w:p w14:paraId="32172463" w14:textId="2467F5A7" w:rsidR="00AC66D0" w:rsidRDefault="00AC66D0" w:rsidP="00AC66D0">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r>
        <w:rPr>
          <w:vertAlign w:val="superscript"/>
        </w:rPr>
        <w:footnoteRef/>
      </w:r>
      <w:r>
        <w:rPr>
          <w:rFonts w:ascii="GHEA Grapalat" w:eastAsia="GHEA Grapalat" w:hAnsi="GHEA Grapalat" w:cs="GHEA Grapalat"/>
          <w:color w:val="000000"/>
          <w:sz w:val="20"/>
          <w:szCs w:val="20"/>
        </w:rPr>
        <w:t xml:space="preserve"> OECD (2005), </w:t>
      </w:r>
      <w:r>
        <w:rPr>
          <w:rFonts w:ascii="GHEA Grapalat" w:eastAsia="GHEA Grapalat" w:hAnsi="GHEA Grapalat" w:cs="GHEA Grapalat"/>
          <w:i/>
          <w:color w:val="000000"/>
          <w:sz w:val="20"/>
          <w:szCs w:val="20"/>
        </w:rPr>
        <w:t>Managing Conflict of Interest in the Public Sector</w:t>
      </w:r>
      <w:r>
        <w:rPr>
          <w:rFonts w:ascii="GHEA Grapalat" w:eastAsia="GHEA Grapalat" w:hAnsi="GHEA Grapalat" w:cs="GHEA Grapalat"/>
          <w:color w:val="000000"/>
          <w:sz w:val="20"/>
          <w:szCs w:val="20"/>
        </w:rPr>
        <w:t>, էջ 68</w:t>
      </w:r>
      <w:r w:rsidR="00650DCD">
        <w:rPr>
          <w:rFonts w:ascii="GHEA Grapalat" w:eastAsia="GHEA Grapalat" w:hAnsi="GHEA Grapalat" w:cs="GHEA Grapalat"/>
          <w:color w:val="000000"/>
          <w:sz w:val="20"/>
          <w:szCs w:val="20"/>
        </w:rPr>
        <w:t xml:space="preserve"> (“Integrity Testing Policy”). </w:t>
      </w:r>
      <w:hyperlink r:id="rId6">
        <w:r>
          <w:rPr>
            <w:rFonts w:ascii="GHEA Grapalat" w:eastAsia="GHEA Grapalat" w:hAnsi="GHEA Grapalat" w:cs="GHEA Grapalat"/>
            <w:color w:val="0000FF"/>
            <w:sz w:val="20"/>
            <w:szCs w:val="20"/>
            <w:u w:val="single"/>
          </w:rPr>
          <w:t>https://www.oecd.org/gov/ethics/49107986.pdf</w:t>
        </w:r>
      </w:hyperlink>
      <w:r>
        <w:rPr>
          <w:rFonts w:ascii="GHEA Grapalat" w:eastAsia="GHEA Grapalat" w:hAnsi="GHEA Grapalat" w:cs="GHEA Grapalat"/>
          <w:color w:val="000000"/>
          <w:sz w:val="20"/>
          <w:szCs w:val="20"/>
        </w:rPr>
        <w:t xml:space="preserve">. </w:t>
      </w:r>
    </w:p>
  </w:footnote>
  <w:footnote w:id="13">
    <w:p w14:paraId="3CDBABC1" w14:textId="77777777" w:rsidR="00AC66D0" w:rsidRDefault="00AC66D0" w:rsidP="00AC66D0">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r>
        <w:rPr>
          <w:vertAlign w:val="superscript"/>
        </w:rPr>
        <w:footnoteRef/>
      </w:r>
      <w:r>
        <w:rPr>
          <w:rFonts w:ascii="GHEA Grapalat" w:eastAsia="GHEA Grapalat" w:hAnsi="GHEA Grapalat" w:cs="GHEA Grapalat"/>
          <w:color w:val="000000"/>
          <w:sz w:val="20"/>
          <w:szCs w:val="20"/>
        </w:rPr>
        <w:t xml:space="preserve"> COUNCIL OF EUROPE COMMITTEE OF MINISTERS EXPLANATORY MEMORANDUM to Recommendation Rec(2000)10 on Codes of conduct for public officials (Adopted by the Committee of Ministers on 11 May2000, at the 106th session), </w:t>
      </w:r>
      <w:hyperlink r:id="rId7">
        <w:r>
          <w:rPr>
            <w:rFonts w:ascii="GHEA Grapalat" w:eastAsia="GHEA Grapalat" w:hAnsi="GHEA Grapalat" w:cs="GHEA Grapalat"/>
            <w:color w:val="0000FF"/>
            <w:sz w:val="20"/>
            <w:szCs w:val="20"/>
            <w:u w:val="single"/>
          </w:rPr>
          <w:t>https://rm.coe.int/1680534424</w:t>
        </w:r>
      </w:hyperlink>
      <w:r>
        <w:rPr>
          <w:rFonts w:ascii="GHEA Grapalat" w:eastAsia="GHEA Grapalat" w:hAnsi="GHEA Grapalat" w:cs="GHEA Grapalat"/>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55F2"/>
    <w:multiLevelType w:val="multilevel"/>
    <w:tmpl w:val="C92082C0"/>
    <w:lvl w:ilvl="0">
      <w:start w:val="1"/>
      <w:numFmt w:val="decimal"/>
      <w:lvlText w:val="%1."/>
      <w:lvlJc w:val="left"/>
      <w:pPr>
        <w:ind w:left="1080" w:hanging="360"/>
      </w:pPr>
      <w:rPr>
        <w:rFonts w:ascii="GHEA Grapalat" w:eastAsia="GHEA Grapalat" w:hAnsi="GHEA Grapalat" w:cs="GHEA Grapalat"/>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B0B19AA"/>
    <w:multiLevelType w:val="multilevel"/>
    <w:tmpl w:val="68F0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44491"/>
    <w:multiLevelType w:val="hybridMultilevel"/>
    <w:tmpl w:val="C04CCB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82534"/>
    <w:multiLevelType w:val="hybridMultilevel"/>
    <w:tmpl w:val="9AA4F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645A4"/>
    <w:multiLevelType w:val="multilevel"/>
    <w:tmpl w:val="D8CCBE58"/>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5" w15:restartNumberingAfterBreak="0">
    <w:nsid w:val="350246A8"/>
    <w:multiLevelType w:val="hybridMultilevel"/>
    <w:tmpl w:val="A5789A84"/>
    <w:lvl w:ilvl="0" w:tplc="82464012">
      <w:start w:val="1"/>
      <w:numFmt w:val="decimal"/>
      <w:lvlText w:val="%1."/>
      <w:lvlJc w:val="left"/>
      <w:pPr>
        <w:ind w:left="1710" w:hanging="360"/>
      </w:pPr>
      <w:rPr>
        <w:rFonts w:eastAsia="Times New Roman" w:cs="Times New Roman" w:hint="default"/>
        <w:b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474448B1"/>
    <w:multiLevelType w:val="multilevel"/>
    <w:tmpl w:val="E75A0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DF058F"/>
    <w:multiLevelType w:val="multilevel"/>
    <w:tmpl w:val="C92082C0"/>
    <w:lvl w:ilvl="0">
      <w:start w:val="1"/>
      <w:numFmt w:val="decimal"/>
      <w:lvlText w:val="%1."/>
      <w:lvlJc w:val="left"/>
      <w:pPr>
        <w:ind w:left="1080" w:hanging="360"/>
      </w:pPr>
      <w:rPr>
        <w:rFonts w:ascii="GHEA Grapalat" w:eastAsia="GHEA Grapalat" w:hAnsi="GHEA Grapalat" w:cs="GHEA Grapalat"/>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4C41A20"/>
    <w:multiLevelType w:val="multilevel"/>
    <w:tmpl w:val="E50A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AC2853"/>
    <w:multiLevelType w:val="multilevel"/>
    <w:tmpl w:val="482C2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CE71F4F"/>
    <w:multiLevelType w:val="multilevel"/>
    <w:tmpl w:val="C92082C0"/>
    <w:lvl w:ilvl="0">
      <w:start w:val="1"/>
      <w:numFmt w:val="decimal"/>
      <w:lvlText w:val="%1."/>
      <w:lvlJc w:val="left"/>
      <w:pPr>
        <w:ind w:left="1080" w:hanging="360"/>
      </w:pPr>
      <w:rPr>
        <w:rFonts w:ascii="GHEA Grapalat" w:eastAsia="GHEA Grapalat" w:hAnsi="GHEA Grapalat" w:cs="GHEA Grapalat"/>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44F534B"/>
    <w:multiLevelType w:val="multilevel"/>
    <w:tmpl w:val="56CE7EDC"/>
    <w:lvl w:ilvl="0">
      <w:start w:val="1"/>
      <w:numFmt w:val="decimal"/>
      <w:lvlText w:val="%1."/>
      <w:lvlJc w:val="left"/>
      <w:pPr>
        <w:ind w:left="1080" w:hanging="360"/>
      </w:pPr>
      <w:rPr>
        <w:rFonts w:ascii="GHEA Grapalat" w:eastAsia="GHEA Grapalat" w:hAnsi="GHEA Grapalat" w:cs="GHEA Grapala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46350B0"/>
    <w:multiLevelType w:val="hybridMultilevel"/>
    <w:tmpl w:val="86F28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6"/>
  </w:num>
  <w:num w:numId="5">
    <w:abstractNumId w:val="0"/>
  </w:num>
  <w:num w:numId="6">
    <w:abstractNumId w:val="7"/>
  </w:num>
  <w:num w:numId="7">
    <w:abstractNumId w:val="3"/>
  </w:num>
  <w:num w:numId="8">
    <w:abstractNumId w:val="1"/>
  </w:num>
  <w:num w:numId="9">
    <w:abstractNumId w:val="8"/>
  </w:num>
  <w:num w:numId="10">
    <w:abstractNumId w:val="12"/>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9C"/>
    <w:rsid w:val="00015E72"/>
    <w:rsid w:val="00062A85"/>
    <w:rsid w:val="00074C17"/>
    <w:rsid w:val="00075B79"/>
    <w:rsid w:val="00092892"/>
    <w:rsid w:val="000C24D0"/>
    <w:rsid w:val="000F77A3"/>
    <w:rsid w:val="00127930"/>
    <w:rsid w:val="001326A8"/>
    <w:rsid w:val="001408A0"/>
    <w:rsid w:val="0014326F"/>
    <w:rsid w:val="00145367"/>
    <w:rsid w:val="00152AF1"/>
    <w:rsid w:val="0015647D"/>
    <w:rsid w:val="00161FF6"/>
    <w:rsid w:val="0018524F"/>
    <w:rsid w:val="00187F03"/>
    <w:rsid w:val="001C1125"/>
    <w:rsid w:val="001C6A17"/>
    <w:rsid w:val="001E3731"/>
    <w:rsid w:val="001F4051"/>
    <w:rsid w:val="00202400"/>
    <w:rsid w:val="00222C87"/>
    <w:rsid w:val="0022497C"/>
    <w:rsid w:val="00230DD7"/>
    <w:rsid w:val="0023120C"/>
    <w:rsid w:val="00265083"/>
    <w:rsid w:val="002A23CD"/>
    <w:rsid w:val="002A41B8"/>
    <w:rsid w:val="002A7F09"/>
    <w:rsid w:val="002D0E03"/>
    <w:rsid w:val="002F43D6"/>
    <w:rsid w:val="003225B7"/>
    <w:rsid w:val="003265BF"/>
    <w:rsid w:val="00385ED8"/>
    <w:rsid w:val="003A2A07"/>
    <w:rsid w:val="003D150F"/>
    <w:rsid w:val="003E2B42"/>
    <w:rsid w:val="00405980"/>
    <w:rsid w:val="00440A67"/>
    <w:rsid w:val="00446E55"/>
    <w:rsid w:val="00456740"/>
    <w:rsid w:val="00460D39"/>
    <w:rsid w:val="004A0540"/>
    <w:rsid w:val="004A738D"/>
    <w:rsid w:val="004B1312"/>
    <w:rsid w:val="004B7BD9"/>
    <w:rsid w:val="004F6DB1"/>
    <w:rsid w:val="0051425C"/>
    <w:rsid w:val="00524816"/>
    <w:rsid w:val="0055262D"/>
    <w:rsid w:val="0055527B"/>
    <w:rsid w:val="00571A4B"/>
    <w:rsid w:val="00573842"/>
    <w:rsid w:val="0057532F"/>
    <w:rsid w:val="00586F9C"/>
    <w:rsid w:val="005D1340"/>
    <w:rsid w:val="00613670"/>
    <w:rsid w:val="00615544"/>
    <w:rsid w:val="00616786"/>
    <w:rsid w:val="00643CD4"/>
    <w:rsid w:val="00650DCD"/>
    <w:rsid w:val="0066186C"/>
    <w:rsid w:val="00673417"/>
    <w:rsid w:val="00684E7F"/>
    <w:rsid w:val="00693CA3"/>
    <w:rsid w:val="00696C36"/>
    <w:rsid w:val="006A495A"/>
    <w:rsid w:val="006C566B"/>
    <w:rsid w:val="006C5E39"/>
    <w:rsid w:val="006D03DA"/>
    <w:rsid w:val="0074704E"/>
    <w:rsid w:val="00756F4B"/>
    <w:rsid w:val="0076707C"/>
    <w:rsid w:val="00781AF1"/>
    <w:rsid w:val="007A1257"/>
    <w:rsid w:val="007B6D39"/>
    <w:rsid w:val="007C39FE"/>
    <w:rsid w:val="007C447B"/>
    <w:rsid w:val="007C58EE"/>
    <w:rsid w:val="007D3250"/>
    <w:rsid w:val="007E609A"/>
    <w:rsid w:val="007E637A"/>
    <w:rsid w:val="00801330"/>
    <w:rsid w:val="00803B53"/>
    <w:rsid w:val="008060AC"/>
    <w:rsid w:val="00810E13"/>
    <w:rsid w:val="00816566"/>
    <w:rsid w:val="00827201"/>
    <w:rsid w:val="0083613E"/>
    <w:rsid w:val="008503A2"/>
    <w:rsid w:val="008513E0"/>
    <w:rsid w:val="00861027"/>
    <w:rsid w:val="0088311A"/>
    <w:rsid w:val="00896DB0"/>
    <w:rsid w:val="008A2CEB"/>
    <w:rsid w:val="008A2F0A"/>
    <w:rsid w:val="008A359F"/>
    <w:rsid w:val="008C09BF"/>
    <w:rsid w:val="008C3A59"/>
    <w:rsid w:val="008D4C83"/>
    <w:rsid w:val="008E7CB6"/>
    <w:rsid w:val="008F3476"/>
    <w:rsid w:val="008F3DB3"/>
    <w:rsid w:val="009207D8"/>
    <w:rsid w:val="00924D5F"/>
    <w:rsid w:val="0095177C"/>
    <w:rsid w:val="00961E85"/>
    <w:rsid w:val="009745DA"/>
    <w:rsid w:val="00981C83"/>
    <w:rsid w:val="009943E4"/>
    <w:rsid w:val="00996594"/>
    <w:rsid w:val="00A3719E"/>
    <w:rsid w:val="00A53D64"/>
    <w:rsid w:val="00A73948"/>
    <w:rsid w:val="00A93CFA"/>
    <w:rsid w:val="00AC66D0"/>
    <w:rsid w:val="00AD343C"/>
    <w:rsid w:val="00AE066B"/>
    <w:rsid w:val="00AF0619"/>
    <w:rsid w:val="00B1198B"/>
    <w:rsid w:val="00B16DF1"/>
    <w:rsid w:val="00B316D9"/>
    <w:rsid w:val="00B31B1B"/>
    <w:rsid w:val="00B4571C"/>
    <w:rsid w:val="00B6663C"/>
    <w:rsid w:val="00B82787"/>
    <w:rsid w:val="00BC2909"/>
    <w:rsid w:val="00BE2E20"/>
    <w:rsid w:val="00BE5850"/>
    <w:rsid w:val="00BE7F0C"/>
    <w:rsid w:val="00BF76A2"/>
    <w:rsid w:val="00C00456"/>
    <w:rsid w:val="00C22D53"/>
    <w:rsid w:val="00C51FA4"/>
    <w:rsid w:val="00C67B53"/>
    <w:rsid w:val="00C73664"/>
    <w:rsid w:val="00CA3509"/>
    <w:rsid w:val="00CA559B"/>
    <w:rsid w:val="00CC247F"/>
    <w:rsid w:val="00CD478A"/>
    <w:rsid w:val="00CD588D"/>
    <w:rsid w:val="00CF6990"/>
    <w:rsid w:val="00CF7416"/>
    <w:rsid w:val="00D0017A"/>
    <w:rsid w:val="00D068FD"/>
    <w:rsid w:val="00D20F31"/>
    <w:rsid w:val="00D64071"/>
    <w:rsid w:val="00D70AB7"/>
    <w:rsid w:val="00D7705E"/>
    <w:rsid w:val="00D80EFD"/>
    <w:rsid w:val="00D81958"/>
    <w:rsid w:val="00DA23C7"/>
    <w:rsid w:val="00DC2634"/>
    <w:rsid w:val="00DE1AF5"/>
    <w:rsid w:val="00DE1E5E"/>
    <w:rsid w:val="00DF6758"/>
    <w:rsid w:val="00E4556C"/>
    <w:rsid w:val="00E526FB"/>
    <w:rsid w:val="00E53437"/>
    <w:rsid w:val="00E64A99"/>
    <w:rsid w:val="00E71B04"/>
    <w:rsid w:val="00E72F1E"/>
    <w:rsid w:val="00E73758"/>
    <w:rsid w:val="00E961C7"/>
    <w:rsid w:val="00EA705F"/>
    <w:rsid w:val="00EC2E6C"/>
    <w:rsid w:val="00ED7A1E"/>
    <w:rsid w:val="00ED7DE3"/>
    <w:rsid w:val="00F01E66"/>
    <w:rsid w:val="00F155A9"/>
    <w:rsid w:val="00F2126B"/>
    <w:rsid w:val="00F22CCE"/>
    <w:rsid w:val="00F2721D"/>
    <w:rsid w:val="00F27F0B"/>
    <w:rsid w:val="00F30170"/>
    <w:rsid w:val="00F36F24"/>
    <w:rsid w:val="00F37AE3"/>
    <w:rsid w:val="00F425D1"/>
    <w:rsid w:val="00F426FB"/>
    <w:rsid w:val="00F57AFC"/>
    <w:rsid w:val="00F776E7"/>
    <w:rsid w:val="00F81F74"/>
    <w:rsid w:val="00F87B8F"/>
    <w:rsid w:val="00F96263"/>
    <w:rsid w:val="00FB3142"/>
    <w:rsid w:val="00FC33AD"/>
    <w:rsid w:val="00FF0D7A"/>
    <w:rsid w:val="00FF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CF6F"/>
  <w15:docId w15:val="{BB5E8DF6-8A74-43D9-8BEA-FEF0185C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0C1C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1C57"/>
    <w:rPr>
      <w:b/>
      <w:bCs/>
    </w:rPr>
  </w:style>
  <w:style w:type="character" w:styleId="Emphasis">
    <w:name w:val="Emphasis"/>
    <w:basedOn w:val="DefaultParagraphFont"/>
    <w:uiPriority w:val="20"/>
    <w:qFormat/>
    <w:rsid w:val="000C1C57"/>
    <w:rPr>
      <w:i/>
      <w:iCs/>
    </w:rPr>
  </w:style>
  <w:style w:type="paragraph" w:styleId="FootnoteText">
    <w:name w:val="footnote text"/>
    <w:aliases w:val="Footnote Text Char Char Char,Footnote Text Char Char,Fußnote,fn"/>
    <w:basedOn w:val="Normal"/>
    <w:link w:val="FootnoteTextChar"/>
    <w:uiPriority w:val="99"/>
    <w:unhideWhenUsed/>
    <w:rsid w:val="008A0A89"/>
    <w:pPr>
      <w:spacing w:after="0" w:line="240" w:lineRule="auto"/>
    </w:pPr>
    <w:rPr>
      <w:rFonts w:eastAsia="Times New Roman" w:cs="Times New Roman"/>
      <w:sz w:val="20"/>
      <w:szCs w:val="20"/>
      <w:lang w:val="x-none" w:eastAsia="x-none"/>
    </w:rPr>
  </w:style>
  <w:style w:type="character" w:customStyle="1" w:styleId="FootnoteTextChar">
    <w:name w:val="Footnote Text Char"/>
    <w:aliases w:val="Footnote Text Char Char Char Char,Footnote Text Char Char Char1,Fußnote Char,fn Char"/>
    <w:basedOn w:val="DefaultParagraphFont"/>
    <w:link w:val="FootnoteText"/>
    <w:uiPriority w:val="99"/>
    <w:rsid w:val="008A0A89"/>
    <w:rPr>
      <w:rFonts w:ascii="Calibri" w:eastAsia="Times New Roman" w:hAnsi="Calibri" w:cs="Times New Roman"/>
      <w:sz w:val="20"/>
      <w:szCs w:val="20"/>
      <w:lang w:val="x-none" w:eastAsia="x-none"/>
    </w:rPr>
  </w:style>
  <w:style w:type="character" w:styleId="FootnoteReference">
    <w:name w:val="footnote reference"/>
    <w:aliases w:val="BVI fnr,Balloon Text Char1,Balloon Text Char2 Char1,Balloon Text Char1 Char Char1"/>
    <w:uiPriority w:val="99"/>
    <w:unhideWhenUsed/>
    <w:rsid w:val="008A0A89"/>
    <w:rPr>
      <w:vertAlign w:val="superscript"/>
    </w:rPr>
  </w:style>
  <w:style w:type="character" w:styleId="Hyperlink">
    <w:name w:val="Hyperlink"/>
    <w:uiPriority w:val="99"/>
    <w:unhideWhenUsed/>
    <w:rsid w:val="008A0A89"/>
    <w:rPr>
      <w:color w:val="0000FF"/>
      <w:u w:val="single"/>
    </w:rPr>
  </w:style>
  <w:style w:type="paragraph" w:styleId="ListParagraph">
    <w:name w:val="List Paragraph"/>
    <w:aliases w:val="References,Дэд гарчиг,IBL List Paragraph,List Paragraph1,Paragraph,BULLET Liste,Numbered List Paragraph,Bullet paras,Liste 1,Table no. List Paragraph,Colorful List - Accent 11,List Paragraph (numbered (a)),Normal 1,List Paragraph 1"/>
    <w:basedOn w:val="Normal"/>
    <w:link w:val="ListParagraphChar"/>
    <w:uiPriority w:val="34"/>
    <w:qFormat/>
    <w:rsid w:val="00D86208"/>
    <w:pPr>
      <w:ind w:left="720"/>
      <w:contextualSpacing/>
    </w:pPr>
  </w:style>
  <w:style w:type="character" w:styleId="CommentReference">
    <w:name w:val="annotation reference"/>
    <w:basedOn w:val="DefaultParagraphFont"/>
    <w:uiPriority w:val="99"/>
    <w:semiHidden/>
    <w:unhideWhenUsed/>
    <w:rsid w:val="00DD5F00"/>
    <w:rPr>
      <w:sz w:val="16"/>
      <w:szCs w:val="16"/>
    </w:rPr>
  </w:style>
  <w:style w:type="paragraph" w:styleId="CommentText">
    <w:name w:val="annotation text"/>
    <w:basedOn w:val="Normal"/>
    <w:link w:val="CommentTextChar"/>
    <w:uiPriority w:val="99"/>
    <w:semiHidden/>
    <w:unhideWhenUsed/>
    <w:rsid w:val="00DD5F00"/>
    <w:pPr>
      <w:spacing w:line="240" w:lineRule="auto"/>
    </w:pPr>
    <w:rPr>
      <w:sz w:val="20"/>
      <w:szCs w:val="20"/>
    </w:rPr>
  </w:style>
  <w:style w:type="character" w:customStyle="1" w:styleId="CommentTextChar">
    <w:name w:val="Comment Text Char"/>
    <w:basedOn w:val="DefaultParagraphFont"/>
    <w:link w:val="CommentText"/>
    <w:uiPriority w:val="99"/>
    <w:semiHidden/>
    <w:rsid w:val="00DD5F00"/>
    <w:rPr>
      <w:sz w:val="20"/>
      <w:szCs w:val="20"/>
    </w:rPr>
  </w:style>
  <w:style w:type="paragraph" w:styleId="CommentSubject">
    <w:name w:val="annotation subject"/>
    <w:basedOn w:val="CommentText"/>
    <w:next w:val="CommentText"/>
    <w:link w:val="CommentSubjectChar"/>
    <w:uiPriority w:val="99"/>
    <w:semiHidden/>
    <w:unhideWhenUsed/>
    <w:rsid w:val="00DD5F00"/>
    <w:rPr>
      <w:b/>
      <w:bCs/>
    </w:rPr>
  </w:style>
  <w:style w:type="character" w:customStyle="1" w:styleId="CommentSubjectChar">
    <w:name w:val="Comment Subject Char"/>
    <w:basedOn w:val="CommentTextChar"/>
    <w:link w:val="CommentSubject"/>
    <w:uiPriority w:val="99"/>
    <w:semiHidden/>
    <w:rsid w:val="00DD5F00"/>
    <w:rPr>
      <w:b/>
      <w:bCs/>
      <w:sz w:val="20"/>
      <w:szCs w:val="20"/>
    </w:rPr>
  </w:style>
  <w:style w:type="paragraph" w:styleId="BalloonText">
    <w:name w:val="Balloon Text"/>
    <w:basedOn w:val="Normal"/>
    <w:link w:val="BalloonTextChar"/>
    <w:uiPriority w:val="99"/>
    <w:semiHidden/>
    <w:unhideWhenUsed/>
    <w:rsid w:val="00DD5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F00"/>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E4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576"/>
  </w:style>
  <w:style w:type="paragraph" w:styleId="Footer">
    <w:name w:val="footer"/>
    <w:basedOn w:val="Normal"/>
    <w:link w:val="FooterChar"/>
    <w:uiPriority w:val="99"/>
    <w:unhideWhenUsed/>
    <w:rsid w:val="00DE4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576"/>
  </w:style>
  <w:style w:type="character" w:customStyle="1" w:styleId="ListParagraphChar">
    <w:name w:val="List Paragraph Char"/>
    <w:aliases w:val="References Char,Дэд гарчиг Char,IBL List Paragraph Char,List Paragraph1 Char,Paragraph Char,BULLET Liste Char,Numbered List Paragraph Char,Bullet paras Char,Liste 1 Char,Table no. List Paragraph Char,Colorful List - Accent 11 Char"/>
    <w:link w:val="ListParagraph"/>
    <w:uiPriority w:val="34"/>
    <w:qFormat/>
    <w:locked/>
    <w:rsid w:val="004F583D"/>
  </w:style>
  <w:style w:type="table" w:styleId="TableGrid">
    <w:name w:val="Table Grid"/>
    <w:basedOn w:val="TableNormal"/>
    <w:uiPriority w:val="59"/>
    <w:rsid w:val="004F583D"/>
    <w:pPr>
      <w:spacing w:after="0" w:line="240" w:lineRule="auto"/>
    </w:pPr>
    <w:rPr>
      <w:rFonts w:asciiTheme="minorHAnsi" w:eastAsiaTheme="minorHAnsi" w:hAnsiTheme="minorHAnsi" w:cstheme="minorBid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3">
    <w:name w:val="Grid Table 7 Colorful Accent 3"/>
    <w:basedOn w:val="TableNormal"/>
    <w:uiPriority w:val="52"/>
    <w:rsid w:val="004F583D"/>
    <w:pPr>
      <w:spacing w:after="0" w:line="240" w:lineRule="auto"/>
    </w:pPr>
    <w:rPr>
      <w:rFonts w:asciiTheme="minorHAnsi" w:eastAsiaTheme="minorHAnsi" w:hAnsiTheme="minorHAnsi" w:cstheme="minorBidi"/>
      <w:color w:val="7B7B7B" w:themeColor="accent3" w:themeShade="BF"/>
      <w:lang w:val="en-US"/>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a">
    <w:basedOn w:val="TableNormal"/>
    <w:pPr>
      <w:spacing w:after="0" w:line="240" w:lineRule="auto"/>
    </w:pPr>
    <w:rPr>
      <w:color w:val="7B7B7B"/>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7B7B7B"/>
    </w:rPr>
    <w:tblPr>
      <w:tblStyleRowBandSize w:val="1"/>
      <w:tblStyleColBandSize w:val="1"/>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rPr>
      <w:color w:val="7B7B7B"/>
    </w:rPr>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color w:val="7B7B7B"/>
    </w:rPr>
    <w:tblPr>
      <w:tblStyleRowBandSize w:val="1"/>
      <w:tblStyleColBandSize w:val="1"/>
      <w:tblCellMar>
        <w:left w:w="115" w:type="dxa"/>
        <w:right w:w="115"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E71B04"/>
    <w:rPr>
      <w:color w:val="605E5C"/>
      <w:shd w:val="clear" w:color="auto" w:fill="E1DFDD"/>
    </w:rPr>
  </w:style>
  <w:style w:type="character" w:styleId="FollowedHyperlink">
    <w:name w:val="FollowedHyperlink"/>
    <w:basedOn w:val="DefaultParagraphFont"/>
    <w:uiPriority w:val="99"/>
    <w:semiHidden/>
    <w:unhideWhenUsed/>
    <w:rsid w:val="00E71B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567">
      <w:bodyDiv w:val="1"/>
      <w:marLeft w:val="0"/>
      <w:marRight w:val="0"/>
      <w:marTop w:val="0"/>
      <w:marBottom w:val="0"/>
      <w:divBdr>
        <w:top w:val="none" w:sz="0" w:space="0" w:color="auto"/>
        <w:left w:val="none" w:sz="0" w:space="0" w:color="auto"/>
        <w:bottom w:val="none" w:sz="0" w:space="0" w:color="auto"/>
        <w:right w:val="none" w:sz="0" w:space="0" w:color="auto"/>
      </w:divBdr>
    </w:div>
    <w:div w:id="946078482">
      <w:bodyDiv w:val="1"/>
      <w:marLeft w:val="0"/>
      <w:marRight w:val="0"/>
      <w:marTop w:val="0"/>
      <w:marBottom w:val="0"/>
      <w:divBdr>
        <w:top w:val="none" w:sz="0" w:space="0" w:color="auto"/>
        <w:left w:val="none" w:sz="0" w:space="0" w:color="auto"/>
        <w:bottom w:val="none" w:sz="0" w:space="0" w:color="auto"/>
        <w:right w:val="none" w:sz="0" w:space="0" w:color="auto"/>
      </w:divBdr>
      <w:divsChild>
        <w:div w:id="159346620">
          <w:marLeft w:val="0"/>
          <w:marRight w:val="0"/>
          <w:marTop w:val="0"/>
          <w:marBottom w:val="0"/>
          <w:divBdr>
            <w:top w:val="none" w:sz="0" w:space="0" w:color="auto"/>
            <w:left w:val="none" w:sz="0" w:space="0" w:color="auto"/>
            <w:bottom w:val="none" w:sz="0" w:space="0" w:color="auto"/>
            <w:right w:val="none" w:sz="0" w:space="0" w:color="auto"/>
          </w:divBdr>
          <w:divsChild>
            <w:div w:id="586964719">
              <w:marLeft w:val="0"/>
              <w:marRight w:val="0"/>
              <w:marTop w:val="0"/>
              <w:marBottom w:val="0"/>
              <w:divBdr>
                <w:top w:val="none" w:sz="0" w:space="0" w:color="auto"/>
                <w:left w:val="none" w:sz="0" w:space="0" w:color="auto"/>
                <w:bottom w:val="none" w:sz="0" w:space="0" w:color="auto"/>
                <w:right w:val="none" w:sz="0" w:space="0" w:color="auto"/>
              </w:divBdr>
              <w:divsChild>
                <w:div w:id="1812862878">
                  <w:marLeft w:val="0"/>
                  <w:marRight w:val="0"/>
                  <w:marTop w:val="0"/>
                  <w:marBottom w:val="0"/>
                  <w:divBdr>
                    <w:top w:val="none" w:sz="0" w:space="0" w:color="auto"/>
                    <w:left w:val="none" w:sz="0" w:space="0" w:color="auto"/>
                    <w:bottom w:val="none" w:sz="0" w:space="0" w:color="auto"/>
                    <w:right w:val="none" w:sz="0" w:space="0" w:color="auto"/>
                  </w:divBdr>
                  <w:divsChild>
                    <w:div w:id="1173374276">
                      <w:marLeft w:val="0"/>
                      <w:marRight w:val="0"/>
                      <w:marTop w:val="0"/>
                      <w:marBottom w:val="0"/>
                      <w:divBdr>
                        <w:top w:val="none" w:sz="0" w:space="0" w:color="auto"/>
                        <w:left w:val="none" w:sz="0" w:space="0" w:color="auto"/>
                        <w:bottom w:val="none" w:sz="0" w:space="0" w:color="auto"/>
                        <w:right w:val="none" w:sz="0" w:space="0" w:color="auto"/>
                      </w:divBdr>
                      <w:divsChild>
                        <w:div w:id="280963290">
                          <w:marLeft w:val="0"/>
                          <w:marRight w:val="0"/>
                          <w:marTop w:val="0"/>
                          <w:marBottom w:val="0"/>
                          <w:divBdr>
                            <w:top w:val="none" w:sz="0" w:space="0" w:color="auto"/>
                            <w:left w:val="none" w:sz="0" w:space="0" w:color="auto"/>
                            <w:bottom w:val="none" w:sz="0" w:space="0" w:color="auto"/>
                            <w:right w:val="none" w:sz="0" w:space="0" w:color="auto"/>
                          </w:divBdr>
                          <w:divsChild>
                            <w:div w:id="8926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327174">
      <w:bodyDiv w:val="1"/>
      <w:marLeft w:val="0"/>
      <w:marRight w:val="0"/>
      <w:marTop w:val="0"/>
      <w:marBottom w:val="0"/>
      <w:divBdr>
        <w:top w:val="none" w:sz="0" w:space="0" w:color="auto"/>
        <w:left w:val="none" w:sz="0" w:space="0" w:color="auto"/>
        <w:bottom w:val="none" w:sz="0" w:space="0" w:color="auto"/>
        <w:right w:val="none" w:sz="0" w:space="0" w:color="auto"/>
      </w:divBdr>
    </w:div>
    <w:div w:id="1109158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overnment-baseline-personnel-security-standard" TargetMode="External"/><Relationship Id="rId7" Type="http://schemas.openxmlformats.org/officeDocument/2006/relationships/hyperlink" Target="https://rm.coe.int/1680534424" TargetMode="External"/><Relationship Id="rId2" Type="http://schemas.openxmlformats.org/officeDocument/2006/relationships/hyperlink" Target="https://www.personnelchecks.co.uk/latest-news/the-ultimate-guide-to-pre-employment-screening-in-the-uk" TargetMode="External"/><Relationship Id="rId1" Type="http://schemas.openxmlformats.org/officeDocument/2006/relationships/hyperlink" Target="https://rm.coe.int/fifth-evaluation-round-preventing-corruption-and-promoting-integrity-i/1680a6420a" TargetMode="External"/><Relationship Id="rId6" Type="http://schemas.openxmlformats.org/officeDocument/2006/relationships/hyperlink" Target="https://www.oecd.org/gov/ethics/49107986.pdf" TargetMode="External"/><Relationship Id="rId5" Type="http://schemas.openxmlformats.org/officeDocument/2006/relationships/hyperlink" Target="https://www.unodc.org/documents/treaties/UNCAC/Publications/TechnicalGuide/09-84395_Ebook.pdf" TargetMode="External"/><Relationship Id="rId4" Type="http://schemas.openxmlformats.org/officeDocument/2006/relationships/hyperlink" Target="https://assets.publishing.service.gov.uk/media/5a82abf3e5274a2e87dc2637/Guidance_for_Pre-Employment_Screening_v1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uNWOlKQEWQzzGkFQXEZCwe1NA==">CgMxLjAyCGguZ2pkZ3hzMgloLjMwajB6bGwyCWguMWZvYjl0ZTIJaC4yZXQ5MnAwMgloLjN6bnlzaDc4AHIhMVpmU3NCYzFVOEtubDk2SERucHE2a0Y1N3hZbjIydFQw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9BC233-A70B-4BDE-8B44-6CE7D441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1339</Words>
  <Characters>11102</Characters>
  <Application>Microsoft Office Word</Application>
  <DocSecurity>0</DocSecurity>
  <Lines>555</Lines>
  <Paragraphs>345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Hasmik Tigranyan</dc:creator>
  <cp:lastModifiedBy>Tatevik Khachatryan</cp:lastModifiedBy>
  <cp:revision>2</cp:revision>
  <dcterms:created xsi:type="dcterms:W3CDTF">2024-11-01T13:22:00Z</dcterms:created>
  <dcterms:modified xsi:type="dcterms:W3CDTF">2024-11-01T13:22:00Z</dcterms:modified>
</cp:coreProperties>
</file>