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255" w:rsidRDefault="00615255" w:rsidP="00615255">
      <w:pPr>
        <w:tabs>
          <w:tab w:val="left" w:pos="90"/>
        </w:tabs>
        <w:spacing w:line="360" w:lineRule="auto"/>
        <w:ind w:firstLine="270"/>
        <w:jc w:val="center"/>
        <w:rPr>
          <w:rFonts w:ascii="GHEA Grapalat" w:eastAsia="GHEA Grapalat" w:hAnsi="GHEA Grapalat" w:cs="GHEA Grapalat"/>
          <w:b/>
          <w:sz w:val="24"/>
          <w:szCs w:val="24"/>
        </w:rPr>
      </w:pPr>
      <w:r>
        <w:rPr>
          <w:rFonts w:ascii="GHEA Grapalat" w:eastAsia="GHEA Grapalat" w:hAnsi="GHEA Grapalat" w:cs="GHEA Grapalat"/>
          <w:b/>
          <w:sz w:val="24"/>
          <w:szCs w:val="24"/>
        </w:rPr>
        <w:t>ՀԻՄՆԱՎՈՐՈՒՄ</w:t>
      </w:r>
    </w:p>
    <w:p w:rsidR="00615255" w:rsidRDefault="00615255" w:rsidP="00615255">
      <w:pPr>
        <w:pStyle w:val="Heading3"/>
        <w:keepLines w:val="0"/>
        <w:tabs>
          <w:tab w:val="left" w:pos="90"/>
        </w:tabs>
        <w:spacing w:before="240" w:after="60" w:line="360" w:lineRule="auto"/>
        <w:ind w:firstLine="270"/>
        <w:jc w:val="center"/>
        <w:rPr>
          <w:rFonts w:ascii="GHEA Grapalat" w:eastAsia="GHEA Grapalat" w:hAnsi="GHEA Grapalat" w:cs="GHEA Grapalat"/>
          <w:b/>
          <w:color w:val="000000"/>
          <w:sz w:val="24"/>
          <w:szCs w:val="24"/>
        </w:rPr>
      </w:pPr>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highlight w:val="white"/>
        </w:rPr>
        <w:t>ՎԱՐՉԱԿԱՆ ԻՐԱՎԱԽԱԽՏՈՒՄՆԵՐԻ ՎԵՐԱԲԵՐՅԱԼ ՀԱՅԱՍՏԱՆԻ ՀԱՆՐԱՊԵՏՈՒԹՅԱՆ ՕՐԵՆՍԳՐՔՈՒՄ ԼՐԱՑՈՒՄՆԵՐ ԿԱՏԱՐԵԼՈՒ ՄԱՍԻՆ</w:t>
      </w:r>
      <w:r>
        <w:rPr>
          <w:rFonts w:ascii="GHEA Grapalat" w:eastAsia="GHEA Grapalat" w:hAnsi="GHEA Grapalat" w:cs="GHEA Grapalat"/>
          <w:b/>
          <w:color w:val="000000"/>
          <w:sz w:val="24"/>
          <w:szCs w:val="24"/>
        </w:rPr>
        <w:t>» ՕՐԵՆՔԻ ՆԱԽԱԳԾԻ ԸՆԴՈՒՆՄԱՆ</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p>
    <w:p w:rsidR="00615255" w:rsidRDefault="00615255" w:rsidP="00615255">
      <w:pPr>
        <w:tabs>
          <w:tab w:val="left" w:pos="90"/>
        </w:tabs>
        <w:spacing w:after="240" w:line="360" w:lineRule="auto"/>
        <w:ind w:firstLine="270"/>
        <w:jc w:val="both"/>
        <w:rPr>
          <w:rFonts w:ascii="GHEA Grapalat" w:eastAsia="GHEA Grapalat" w:hAnsi="GHEA Grapalat" w:cs="GHEA Grapalat"/>
          <w:b/>
          <w:sz w:val="24"/>
          <w:szCs w:val="24"/>
        </w:rPr>
      </w:pPr>
      <w:bookmarkStart w:id="0" w:name="_heading=h.30j0zll"/>
      <w:bookmarkEnd w:id="0"/>
      <w:r>
        <w:rPr>
          <w:rFonts w:ascii="GHEA Grapalat" w:eastAsia="GHEA Grapalat" w:hAnsi="GHEA Grapalat" w:cs="GHEA Grapalat"/>
          <w:b/>
          <w:sz w:val="24"/>
          <w:szCs w:val="24"/>
        </w:rPr>
        <w:t>1. Ընթացիկ իրավիճակը և նախագծերի ընդունման անհրաժեշտությունը.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Չնայած նրան, որ ո՛չ միջազգային, ո՛չ եվրոպական մակարդակում առկա չէ ատելության խոսքի համաձայնեցված և միասնական սահմանում, այնուամենայնիվ մի շարք միջազգային փաստաթղթերով ընդհանրական եզրույթներով պետություններին տրվում են ուղղորդումներ օրենսդրորեն խոսքի որոշ տեսակներ և դրսևորումներ արգելելու համար:</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Այսպես, Եվրոպայի խորհրդի նախարարների կոմիտեի՝ Ատելության խոսքի վերաբերյալ 1997 թվականի հանձնարարականով փորձ է արվել առաջին անգամ սահմանել ատելության խոսքը.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w:t>
      </w:r>
      <w:r>
        <w:rPr>
          <w:rFonts w:ascii="GHEA Grapalat" w:eastAsia="GHEA Grapalat" w:hAnsi="GHEA Grapalat" w:cs="GHEA Grapalat"/>
          <w:i/>
          <w:sz w:val="24"/>
          <w:szCs w:val="24"/>
        </w:rPr>
        <w:t>Արտահայտվելու բոլոր ձևերը, որոնք տարածում, հրահրում, խթանում կամ արդարացնում են ռասայական ատելությունը, այլատյացությունը, հակասեմականությունը կամ անհանդուրժողականության վրա հիմնված ատելության այլ ձևեր, ներառյալ՝ անհանդուրժողականությունը արտահայտված ազգային փոքրամասնությունների, միգրանտների և ներգաղթյալ ծագում ունեցող անձանց դեմ ագրեսիվ ազգայնամոլությամբ և էթնոցենտրիզմով, խտրականությամբ և թշնամանքով:</w:t>
      </w:r>
      <w:r>
        <w:rPr>
          <w:rFonts w:ascii="GHEA Grapalat" w:eastAsia="GHEA Grapalat" w:hAnsi="GHEA Grapalat" w:cs="GHEA Grapalat"/>
          <w:sz w:val="24"/>
          <w:szCs w:val="24"/>
        </w:rPr>
        <w:t>»</w:t>
      </w:r>
      <w:r>
        <w:rPr>
          <w:rFonts w:ascii="GHEA Grapalat" w:eastAsia="GHEA Grapalat" w:hAnsi="GHEA Grapalat" w:cs="GHEA Grapalat"/>
          <w:sz w:val="24"/>
          <w:szCs w:val="24"/>
          <w:vertAlign w:val="superscript"/>
        </w:rPr>
        <w:footnoteReference w:id="1"/>
      </w:r>
      <w:r>
        <w:rPr>
          <w:rFonts w:ascii="GHEA Grapalat" w:eastAsia="GHEA Grapalat" w:hAnsi="GHEA Grapalat" w:cs="GHEA Grapalat"/>
          <w:sz w:val="24"/>
          <w:szCs w:val="24"/>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Հայաստանի Հանրապետության կողմից վավերացրած ՄԱԿ-ի Ռասայական խտրականության բոլոր ձևերի վերացման մասին միջազգային կոնվենցիայի </w:t>
      </w:r>
      <w:r>
        <w:rPr>
          <w:rFonts w:ascii="GHEA Grapalat" w:eastAsia="GHEA Grapalat" w:hAnsi="GHEA Grapalat" w:cs="GHEA Grapalat"/>
          <w:sz w:val="24"/>
          <w:szCs w:val="24"/>
        </w:rPr>
        <w:lastRenderedPageBreak/>
        <w:t xml:space="preserve">(այսուհետ՝ ՌԽՎՄԿ) 4-րդ հոդվածի «ա» կետի համաձայն՝ պետություններից պահանջվում է օրենքով պատժելի արարք սահմանել՝ </w:t>
      </w:r>
    </w:p>
    <w:p w:rsidR="00615255" w:rsidRDefault="00615255" w:rsidP="00615255">
      <w:pPr>
        <w:numPr>
          <w:ilvl w:val="0"/>
          <w:numId w:val="1"/>
        </w:numPr>
        <w:tabs>
          <w:tab w:val="left" w:pos="90"/>
        </w:tabs>
        <w:spacing w:line="360" w:lineRule="auto"/>
        <w:ind w:left="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ռասայական գերազանցության կամ ռասայական ատելության վրա հիմնված գաղափարների ցանկացած տարածում, </w:t>
      </w:r>
    </w:p>
    <w:p w:rsidR="00615255" w:rsidRDefault="00615255" w:rsidP="00615255">
      <w:pPr>
        <w:numPr>
          <w:ilvl w:val="0"/>
          <w:numId w:val="1"/>
        </w:numPr>
        <w:tabs>
          <w:tab w:val="left" w:pos="90"/>
        </w:tabs>
        <w:spacing w:line="360" w:lineRule="auto"/>
        <w:ind w:left="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ռասայական խտրականության հրահրում, </w:t>
      </w:r>
    </w:p>
    <w:p w:rsidR="00615255" w:rsidRDefault="00615255" w:rsidP="00615255">
      <w:pPr>
        <w:numPr>
          <w:ilvl w:val="0"/>
          <w:numId w:val="1"/>
        </w:numPr>
        <w:tabs>
          <w:tab w:val="left" w:pos="90"/>
        </w:tabs>
        <w:spacing w:line="360" w:lineRule="auto"/>
        <w:ind w:left="0" w:firstLine="270"/>
        <w:jc w:val="both"/>
        <w:rPr>
          <w:rFonts w:ascii="GHEA Grapalat" w:eastAsia="GHEA Grapalat" w:hAnsi="GHEA Grapalat" w:cs="GHEA Grapalat"/>
          <w:color w:val="000000"/>
          <w:sz w:val="24"/>
          <w:szCs w:val="24"/>
        </w:rPr>
      </w:pPr>
      <w:r>
        <w:rPr>
          <w:rFonts w:ascii="GHEA Grapalat" w:eastAsia="GHEA Grapalat" w:hAnsi="GHEA Grapalat" w:cs="GHEA Grapalat"/>
          <w:color w:val="000000"/>
          <w:sz w:val="24"/>
          <w:szCs w:val="24"/>
        </w:rPr>
        <w:t xml:space="preserve">ռասայի, մաշկի գույնի կամ էթնիկական ծագման հիման վրա անձի կամ անձանց դեմ ուղղված բռնարարքների հրահրում: </w:t>
      </w:r>
    </w:p>
    <w:p w:rsidR="00615255" w:rsidRDefault="00615255" w:rsidP="00615255">
      <w:pPr>
        <w:tabs>
          <w:tab w:val="left" w:pos="90"/>
        </w:tabs>
        <w:spacing w:line="360" w:lineRule="auto"/>
        <w:ind w:firstLine="270"/>
        <w:jc w:val="both"/>
        <w:rPr>
          <w:sz w:val="24"/>
          <w:szCs w:val="24"/>
          <w:highlight w:val="white"/>
        </w:rPr>
      </w:pPr>
      <w:r>
        <w:rPr>
          <w:rFonts w:ascii="GHEA Grapalat" w:eastAsia="GHEA Grapalat" w:hAnsi="GHEA Grapalat" w:cs="GHEA Grapalat"/>
          <w:sz w:val="24"/>
          <w:szCs w:val="24"/>
        </w:rPr>
        <w:t>Քաղաքացիական և քաղաքական իրավունքների մասին միջազգային դաշնագրի 20-րդ հոդվածի 2-րդ կետով պետություններից պահանջվում է օրենքով արգելել «</w:t>
      </w:r>
      <w:r>
        <w:rPr>
          <w:rFonts w:ascii="GHEA Grapalat" w:eastAsia="GHEA Grapalat" w:hAnsi="GHEA Grapalat" w:cs="GHEA Grapalat"/>
          <w:i/>
          <w:sz w:val="24"/>
          <w:szCs w:val="24"/>
        </w:rPr>
        <w:t>ազգային, ռասայական կամ կրոնական ատելության ցանկացած քարոզչություն, որը խտրականության, թշնամանքի կամ բռնության հրահրում է</w:t>
      </w:r>
      <w:r>
        <w:rPr>
          <w:rFonts w:ascii="GHEA Grapalat" w:eastAsia="GHEA Grapalat" w:hAnsi="GHEA Grapalat" w:cs="GHEA Grapalat"/>
          <w:sz w:val="24"/>
          <w:szCs w:val="24"/>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highlight w:val="white"/>
        </w:rPr>
        <w:t xml:space="preserve">Մարդու իրավունքների եվրոպական դատարանը նշել է, որ ատելության հրահրումը պարտադիր չէ, որ ենթադրի բռնության կամ այլ հանցավոր արարքների կոչ: Բնակչության որոշակի խմբերին վիրավորելու, ծաղրի ենթարկելու կամ զրպարտելու միջոցով կատարված հարձակումները կարող են բավարար լինել, որպեսզի իշխանությունները </w:t>
      </w:r>
      <w:r>
        <w:rPr>
          <w:rFonts w:ascii="GHEA Grapalat" w:eastAsia="GHEA Grapalat" w:hAnsi="GHEA Grapalat" w:cs="GHEA Grapalat"/>
          <w:sz w:val="24"/>
          <w:szCs w:val="24"/>
          <w:highlight w:val="white"/>
        </w:rPr>
        <w:t>գործողություններ ձեռնարկեն</w:t>
      </w:r>
      <w:r>
        <w:rPr>
          <w:rFonts w:ascii="GHEA Grapalat" w:eastAsia="GHEA Grapalat" w:hAnsi="GHEA Grapalat" w:cs="GHEA Grapalat"/>
          <w:color w:val="000000"/>
          <w:sz w:val="24"/>
          <w:szCs w:val="24"/>
          <w:highlight w:val="white"/>
        </w:rPr>
        <w:t xml:space="preserve"> ռասիստական </w:t>
      </w:r>
      <w:r>
        <w:rPr>
          <w:rFonts w:ascii="Cambria Math" w:eastAsia="Cambria Math" w:hAnsi="Cambria Math" w:cs="Cambria Math"/>
          <w:color w:val="000000"/>
          <w:sz w:val="24"/>
          <w:szCs w:val="24"/>
          <w:highlight w:val="white"/>
        </w:rPr>
        <w:t>​​</w:t>
      </w:r>
      <w:r>
        <w:rPr>
          <w:rFonts w:ascii="GHEA Grapalat" w:eastAsia="GHEA Grapalat" w:hAnsi="GHEA Grapalat" w:cs="GHEA Grapalat"/>
          <w:color w:val="000000"/>
          <w:sz w:val="24"/>
          <w:szCs w:val="24"/>
          <w:highlight w:val="white"/>
        </w:rPr>
        <w:t xml:space="preserve">խոսքի դեմ </w:t>
      </w:r>
      <w:r>
        <w:rPr>
          <w:rFonts w:ascii="GHEA Grapalat" w:eastAsia="GHEA Grapalat" w:hAnsi="GHEA Grapalat" w:cs="GHEA Grapalat"/>
          <w:sz w:val="24"/>
          <w:szCs w:val="24"/>
          <w:highlight w:val="white"/>
        </w:rPr>
        <w:t>պայքարի շրջանակներում</w:t>
      </w:r>
      <w:r>
        <w:rPr>
          <w:rFonts w:ascii="GHEA Grapalat" w:eastAsia="GHEA Grapalat" w:hAnsi="GHEA Grapalat" w:cs="GHEA Grapalat"/>
          <w:sz w:val="24"/>
          <w:szCs w:val="24"/>
          <w:vertAlign w:val="superscript"/>
        </w:rPr>
        <w:footnoteReference w:id="2"/>
      </w:r>
      <w:r>
        <w:rPr>
          <w:rFonts w:ascii="GHEA Grapalat" w:eastAsia="GHEA Grapalat" w:hAnsi="GHEA Grapalat" w:cs="GHEA Grapalat"/>
          <w:color w:val="000000"/>
          <w:sz w:val="24"/>
          <w:szCs w:val="24"/>
          <w:highlight w:val="white"/>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highlight w:val="white"/>
        </w:rPr>
        <w:t xml:space="preserve">Միաժամանակ, </w:t>
      </w:r>
      <w:r>
        <w:rPr>
          <w:rFonts w:ascii="GHEA Grapalat" w:eastAsia="GHEA Grapalat" w:hAnsi="GHEA Grapalat" w:cs="GHEA Grapalat"/>
          <w:sz w:val="24"/>
          <w:szCs w:val="24"/>
        </w:rPr>
        <w:t>Ռասիզմի և անհանդուրժողականության դեմ եվրոպական հանձնաժողովի (այսուհետ՝ ՌԱԵՀ) Ընդհանուր քաղաքականության Թիվ 15 հանձնարարական</w:t>
      </w:r>
      <w:r>
        <w:rPr>
          <w:rFonts w:ascii="GHEA Grapalat" w:eastAsia="GHEA Grapalat" w:hAnsi="GHEA Grapalat" w:cs="GHEA Grapalat"/>
          <w:sz w:val="24"/>
          <w:szCs w:val="24"/>
          <w:highlight w:val="white"/>
        </w:rPr>
        <w:t xml:space="preserve">ում </w:t>
      </w:r>
      <w:r>
        <w:rPr>
          <w:rFonts w:ascii="GHEA Grapalat" w:eastAsia="GHEA Grapalat" w:hAnsi="GHEA Grapalat" w:cs="GHEA Grapalat"/>
          <w:sz w:val="24"/>
          <w:szCs w:val="24"/>
        </w:rPr>
        <w:t xml:space="preserve">(այսուհետ՝ ԸՔՀ) </w:t>
      </w:r>
      <w:r>
        <w:rPr>
          <w:rFonts w:ascii="GHEA Grapalat" w:eastAsia="GHEA Grapalat" w:hAnsi="GHEA Grapalat" w:cs="GHEA Grapalat"/>
          <w:sz w:val="24"/>
          <w:szCs w:val="24"/>
          <w:highlight w:val="white"/>
        </w:rPr>
        <w:t>նշել է, որ քրեական իրավունքը պետք է կիրառվի այն պայմանով, որ այլ՝ նվազ սահմանափակող միջոցներն արդյունավետ չեն</w:t>
      </w:r>
      <w:r>
        <w:rPr>
          <w:rFonts w:ascii="GHEA Grapalat" w:eastAsia="GHEA Grapalat" w:hAnsi="GHEA Grapalat" w:cs="GHEA Grapalat"/>
          <w:sz w:val="24"/>
          <w:szCs w:val="24"/>
          <w:highlight w:val="white"/>
          <w:vertAlign w:val="superscript"/>
        </w:rPr>
        <w:footnoteReference w:id="3"/>
      </w:r>
      <w:r>
        <w:rPr>
          <w:rFonts w:ascii="GHEA Grapalat" w:eastAsia="GHEA Grapalat" w:hAnsi="GHEA Grapalat" w:cs="GHEA Grapalat"/>
          <w:sz w:val="24"/>
          <w:szCs w:val="24"/>
          <w:highlight w:val="white"/>
        </w:rPr>
        <w:t xml:space="preserve">։ </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Ատելության խոսքի արգելքի վերաբերյալ իրավական կարգավորումների ցանկացած չարաշահում կանխելու համար ՄԱԿ-ի կարծիքի և արտահայտվելու ազատության իրավունքի պաշտպանության և խթանման հարցերով հատուկ զեկուցողն առաջարկել է, որ ատելության հրահրման միայն լուրջ և ծայրահեղ դեպքերը, որոնք բնութագրվում են ուժգնությամբ, դիտավորության առկայությամբ,  վնաս հասցնելու հավանականությամբ և անխուսափելիությամբ, սահմանվեն որպես քրեական հանցագործություններ և արգելվեն</w:t>
      </w:r>
      <w:r>
        <w:rPr>
          <w:rFonts w:ascii="GHEA Grapalat" w:eastAsia="GHEA Grapalat" w:hAnsi="GHEA Grapalat" w:cs="GHEA Grapalat"/>
          <w:sz w:val="24"/>
          <w:szCs w:val="24"/>
          <w:vertAlign w:val="superscript"/>
        </w:rPr>
        <w:footnoteReference w:id="4"/>
      </w:r>
      <w:r>
        <w:rPr>
          <w:rFonts w:ascii="GHEA Grapalat" w:eastAsia="GHEA Grapalat" w:hAnsi="GHEA Grapalat" w:cs="GHEA Grapalat"/>
          <w:sz w:val="24"/>
          <w:szCs w:val="24"/>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Ուստի՝ անհրաժեշտ է քրեական իրավունքը կիրառել որպես ծայրահեղ միջոց, իսկ վարչական կամ քաղաքացիական իրավունքի նորմերը պետք է հնարավորության դեպքում կիրառվեն ատելության խոսքի դեպքերի մեծ մասի կարգավորման նպատակով։</w:t>
      </w:r>
    </w:p>
    <w:p w:rsidR="00615255" w:rsidRDefault="00615255" w:rsidP="00615255">
      <w:pPr>
        <w:tabs>
          <w:tab w:val="left" w:pos="90"/>
        </w:tabs>
        <w:spacing w:line="360" w:lineRule="auto"/>
        <w:ind w:firstLine="270"/>
        <w:jc w:val="both"/>
        <w:rPr>
          <w:rFonts w:ascii="GHEA Grapalat" w:eastAsia="GHEA Grapalat" w:hAnsi="GHEA Grapalat" w:cs="GHEA Grapalat"/>
          <w:b/>
          <w:sz w:val="24"/>
          <w:szCs w:val="24"/>
        </w:rPr>
      </w:pPr>
      <w:r>
        <w:rPr>
          <w:rFonts w:ascii="GHEA Grapalat" w:eastAsia="GHEA Grapalat" w:hAnsi="GHEA Grapalat" w:cs="GHEA Grapalat"/>
          <w:sz w:val="24"/>
          <w:szCs w:val="24"/>
          <w:highlight w:val="white"/>
        </w:rPr>
        <w:t xml:space="preserve">Հայաստանի Հանրապետությունում ատելության խոսքի արգելքը սահմանվում է միայն քրեական օրենսդրությամբ. </w:t>
      </w:r>
      <w:r>
        <w:rPr>
          <w:rFonts w:ascii="GHEA Grapalat" w:eastAsia="GHEA Grapalat" w:hAnsi="GHEA Grapalat" w:cs="GHEA Grapalat"/>
          <w:sz w:val="24"/>
          <w:szCs w:val="24"/>
        </w:rPr>
        <w:t>վարչական կամ քաղաքացիական օրենսդրությամբ առկա չեն ատելության խոսքի վերաբերյալ իրավական դրույթներ։</w:t>
      </w:r>
      <w:r>
        <w:rPr>
          <w:rFonts w:ascii="GHEA Grapalat" w:eastAsia="GHEA Grapalat" w:hAnsi="GHEA Grapalat" w:cs="GHEA Grapalat"/>
          <w:sz w:val="24"/>
          <w:szCs w:val="24"/>
          <w:highlight w:val="white"/>
        </w:rPr>
        <w:t xml:space="preserve"> Այսպես, ՀՀ քրեական օրենսգրքի 329-րդ հոդվածով սահմանվում է անձի կամ անձանց խմբի նկատմամբ ռասայական, ազգային, էթնիկ կամ սոցիալական ծագումով, կրոնով, քաղաքական կամ այլ հայացքներով կամ անձնական կամ սոցիալական բնույթի այլ հանգամանքներով պայմանավորված ատելություն, խտրականություն, անհանդուրժողականություն կամ թշնամանք հրահրելուն կամ քարոզելուն ուղղված հրապարակային խոսքի, ինչպես նաև այդ նպատակով նյութի կամ առարկայի տարածման արգելքը:</w:t>
      </w:r>
      <w:r>
        <w:rPr>
          <w:rFonts w:ascii="GHEA Grapalat" w:eastAsia="GHEA Grapalat" w:hAnsi="GHEA Grapalat" w:cs="GHEA Grapalat"/>
          <w:b/>
          <w:sz w:val="24"/>
          <w:szCs w:val="24"/>
          <w:highlight w:val="white"/>
        </w:rPr>
        <w:t xml:space="preserve"> </w:t>
      </w:r>
      <w:r>
        <w:rPr>
          <w:rFonts w:ascii="GHEA Grapalat" w:eastAsia="GHEA Grapalat" w:hAnsi="GHEA Grapalat" w:cs="GHEA Grapalat"/>
          <w:sz w:val="24"/>
          <w:szCs w:val="24"/>
          <w:highlight w:val="white"/>
        </w:rPr>
        <w:t xml:space="preserve">Միաժամանակ, Քրեական օրենսգրքի 330-րդ հոդվածով արգելվում է </w:t>
      </w:r>
      <w:r>
        <w:rPr>
          <w:rFonts w:ascii="GHEA Grapalat" w:eastAsia="GHEA Grapalat" w:hAnsi="GHEA Grapalat" w:cs="GHEA Grapalat"/>
          <w:sz w:val="24"/>
          <w:szCs w:val="24"/>
        </w:rPr>
        <w:t>նաև բռնություն գործադրելու հրապարակային կոչերը, բռնությունը հրապարակայնորեն արդարացնելը կամ քարոզելը, ինչպես նաև այդ նպատակով նյութեր կամ առարկաներ տարածելը: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lastRenderedPageBreak/>
        <w:t>Այս առումով, հարկ է նշել, որ այն դեպքերում, երբ ատելության խոսքի ուժգնությունը և հանրային վտանգավորությունը չեն հատում քրեական օրենսդրությամբ սահմանված շեմը, վարչական իրավունքը կարող է արդյունավետ դեր խաղալ ատելության խոսքի տարածումը զսպելու հարցում՝ ապահովելով հավասարակշռություն կարծիքի ազատ արտահայտման իրավունքի և ատելության խոսքից հանրությանը պաշտպանելու հասարակական շահի միջև։</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Միաժամանակ, հարկ է նշել, որ վարչական վարույթի իրականացումն արագ է, դինամիկ և կարող է ապահովել արագ արդյունք, ինչը հաճախ խիստ կարևորվում է ատելության խոսքին վերաբերող գործերում կամ վարույթներում՝ միաժամանակ ունենալով կանխարգելիչ բնույթ։</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Ուստի՝  քանի որ գործող քրեական օրենսդրությունն ընդգրկում է ատելության խոսքի ամենածանր դրսևորումները, առավել նվազ վտանգավորության դեպքերը կարող են կարգավորվել վարչական օրենսդրությամբ։ Այլ կերպ ասած, եթե կա հավանականություն, որ արարքը կարող է հանգեցնել անհանդուրժողականության կամ խտրականության, սակայն միևնույն ժամանակ արարքում առկա չեն քրեական հանցակազմի տարրեր, նման դեպքերի համար կկիրառվի վարչական օրենսդրությամբ առաջարկվող կարգավորումը, ինչի պարագայում առաջնային նպատակ կլինի հասարակական կարգի պահպանությունը։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«Համեմատական ուսումնասիրություն՝ ատելության խոսքի օրենքների և ՀՀ օրենսդրության վերաբերյալ» վերտառությամբ ԵԽ զեկույցում նույնպես առաջարկվել է սահմանել վարչական իրավախախտման առանձին տեսակ՝ խտրականություն, բռնություն և ատելություն հրահրող խոսքի կարգավորման համար, որի կիրառության համար սահմանված կլինի ոչ այնպիսի բարձր շեմ, ինչպես քրեական հանցագործության համար, ինչպես օրինակ՝ դիտավորության, հանցավոր </w:t>
      </w:r>
      <w:r>
        <w:rPr>
          <w:rFonts w:ascii="GHEA Grapalat" w:eastAsia="GHEA Grapalat" w:hAnsi="GHEA Grapalat" w:cs="GHEA Grapalat"/>
          <w:sz w:val="24"/>
          <w:szCs w:val="24"/>
        </w:rPr>
        <w:lastRenderedPageBreak/>
        <w:t>անփութության կամ հրապարակայնության օբյեկտիվ հատկանիշների առկայությամբ կատարված արարքներ</w:t>
      </w:r>
      <w:r>
        <w:rPr>
          <w:rFonts w:ascii="GHEA Grapalat" w:eastAsia="GHEA Grapalat" w:hAnsi="GHEA Grapalat" w:cs="GHEA Grapalat"/>
          <w:sz w:val="24"/>
          <w:szCs w:val="24"/>
          <w:vertAlign w:val="superscript"/>
        </w:rPr>
        <w:footnoteReference w:id="5"/>
      </w:r>
      <w:r>
        <w:rPr>
          <w:rFonts w:ascii="GHEA Grapalat" w:eastAsia="GHEA Grapalat" w:hAnsi="GHEA Grapalat" w:cs="GHEA Grapalat"/>
          <w:sz w:val="24"/>
          <w:szCs w:val="24"/>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Հարկ է նշել նաև, որ տարբեր երկրներում ատելության դեմ պայքարի ոլորտում կիրառվում է վարչական օրենսդրությունը, ինչպես օրինակ՝ Ռումինիայում, Սերբիայում և Մոնտենեգրոյում, որոնց ուսումնասիրությունը ցույց է տալիս, որ վարչական իրավախախտումների դրույթները ներառում են արարքների ավելի մեծ շրջանակ, քան առավել նեղ դիսպոզիցիա ունեցող քրեաիրավական բնույթի նորմերը։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 xml:space="preserve">Այսպիսով, հաշվի առնելով վերոգրյալը և «Մարդու իրավունքների պաշտպանության ազգային ռազմավարությունը և դրանից բխող 2020-2022 թվականների և 2023-2025 թվականների գործողությունների ծրագիրը հաստատելու մասին» Կառավարության 2019 թվականի դեկտեմբերի 26-ի N 1978-Լ որոշման 3-րդ հավելվածով հաստատված Մարդու իրավունքների պաշտպանության ազգային ռազմավարությունից բխող 2023-2025թթ. գործողությունների ծրագրի </w:t>
      </w:r>
      <w:r>
        <w:rPr>
          <w:rFonts w:ascii="GHEA Grapalat" w:eastAsia="GHEA Grapalat" w:hAnsi="GHEA Grapalat" w:cs="GHEA Grapalat"/>
          <w:color w:val="000000"/>
          <w:sz w:val="24"/>
          <w:szCs w:val="24"/>
          <w:highlight w:val="white"/>
        </w:rPr>
        <w:t>4.5-րդ գործողությունը (</w:t>
      </w:r>
      <w:r>
        <w:rPr>
          <w:rFonts w:ascii="GHEA Grapalat" w:eastAsia="GHEA Grapalat" w:hAnsi="GHEA Grapalat" w:cs="GHEA Grapalat"/>
          <w:i/>
          <w:color w:val="000000"/>
          <w:sz w:val="24"/>
          <w:szCs w:val="24"/>
          <w:highlight w:val="white"/>
        </w:rPr>
        <w:t>ատելության խոսքի առավել մեղմ դրսևորումների համար սահմանել վարչական կամ քաղաքացիական պատասխանատվության միջոցներ</w:t>
      </w:r>
      <w:r>
        <w:rPr>
          <w:rFonts w:ascii="GHEA Grapalat" w:eastAsia="GHEA Grapalat" w:hAnsi="GHEA Grapalat" w:cs="GHEA Grapalat"/>
          <w:color w:val="000000"/>
          <w:sz w:val="24"/>
          <w:szCs w:val="24"/>
          <w:highlight w:val="white"/>
        </w:rPr>
        <w:t>)</w:t>
      </w:r>
      <w:r>
        <w:rPr>
          <w:rFonts w:ascii="GHEA Grapalat" w:eastAsia="GHEA Grapalat" w:hAnsi="GHEA Grapalat" w:cs="GHEA Grapalat"/>
          <w:color w:val="000000"/>
          <w:sz w:val="24"/>
          <w:szCs w:val="24"/>
        </w:rPr>
        <w:t xml:space="preserve"> անհրաժեշտություն է առաջացել լրացումներ կատարել </w:t>
      </w:r>
      <w:r>
        <w:rPr>
          <w:rFonts w:ascii="GHEA Grapalat" w:eastAsia="GHEA Grapalat" w:hAnsi="GHEA Grapalat" w:cs="GHEA Grapalat"/>
          <w:color w:val="000000"/>
          <w:sz w:val="24"/>
          <w:szCs w:val="24"/>
          <w:highlight w:val="white"/>
        </w:rPr>
        <w:t>Վարչական իրավախախտումների վերաբերյալ Հայաստանի Հանրապետության օրենսգրքում</w:t>
      </w:r>
      <w:r>
        <w:rPr>
          <w:rFonts w:ascii="GHEA Grapalat" w:eastAsia="GHEA Grapalat" w:hAnsi="GHEA Grapalat" w:cs="GHEA Grapalat"/>
          <w:color w:val="000000"/>
          <w:sz w:val="24"/>
          <w:szCs w:val="24"/>
        </w:rPr>
        <w:t>:</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p>
    <w:p w:rsidR="00615255" w:rsidRDefault="00615255" w:rsidP="00615255">
      <w:pPr>
        <w:tabs>
          <w:tab w:val="left" w:pos="90"/>
        </w:tabs>
        <w:spacing w:after="240" w:line="360" w:lineRule="auto"/>
        <w:ind w:firstLine="270"/>
        <w:jc w:val="both"/>
        <w:rPr>
          <w:rFonts w:ascii="GHEA Grapalat" w:eastAsia="GHEA Grapalat" w:hAnsi="GHEA Grapalat" w:cs="GHEA Grapalat"/>
          <w:b/>
          <w:sz w:val="24"/>
          <w:szCs w:val="24"/>
        </w:rPr>
      </w:pPr>
      <w:r>
        <w:rPr>
          <w:rFonts w:ascii="GHEA Grapalat" w:eastAsia="GHEA Grapalat" w:hAnsi="GHEA Grapalat" w:cs="GHEA Grapalat"/>
          <w:b/>
          <w:sz w:val="24"/>
          <w:szCs w:val="24"/>
        </w:rPr>
        <w:t>2. Առաջարկվող կարգավորման բնույթը.</w:t>
      </w:r>
    </w:p>
    <w:p w:rsidR="00615255" w:rsidRDefault="00615255" w:rsidP="00615255">
      <w:pPr>
        <w:shd w:val="clear" w:color="auto" w:fill="FFFFFF"/>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color w:val="000000"/>
          <w:sz w:val="24"/>
          <w:szCs w:val="24"/>
        </w:rPr>
        <w:t>«</w:t>
      </w:r>
      <w:r>
        <w:rPr>
          <w:rFonts w:ascii="GHEA Grapalat" w:eastAsia="GHEA Grapalat" w:hAnsi="GHEA Grapalat" w:cs="GHEA Grapalat"/>
          <w:color w:val="000000"/>
          <w:sz w:val="24"/>
          <w:szCs w:val="24"/>
          <w:highlight w:val="white"/>
        </w:rPr>
        <w:t>Վարչական իրավախախտումների վերաբերյալ Հայաստանի Հանրապետության օրենսգրքում լրացումներ կատարելու մասին</w:t>
      </w:r>
      <w:r>
        <w:rPr>
          <w:rFonts w:ascii="GHEA Grapalat" w:eastAsia="GHEA Grapalat" w:hAnsi="GHEA Grapalat" w:cs="GHEA Grapalat"/>
          <w:color w:val="000000"/>
          <w:sz w:val="24"/>
          <w:szCs w:val="24"/>
        </w:rPr>
        <w:t>»</w:t>
      </w:r>
      <w:r>
        <w:rPr>
          <w:rFonts w:ascii="GHEA Grapalat" w:eastAsia="GHEA Grapalat" w:hAnsi="GHEA Grapalat" w:cs="GHEA Grapalat"/>
          <w:b/>
          <w:color w:val="000000"/>
          <w:sz w:val="24"/>
          <w:szCs w:val="24"/>
        </w:rPr>
        <w:t xml:space="preserve"> </w:t>
      </w:r>
      <w:r>
        <w:rPr>
          <w:rFonts w:ascii="GHEA Grapalat" w:eastAsia="GHEA Grapalat" w:hAnsi="GHEA Grapalat" w:cs="GHEA Grapalat"/>
          <w:color w:val="000000"/>
          <w:sz w:val="24"/>
          <w:szCs w:val="24"/>
        </w:rPr>
        <w:t xml:space="preserve">օրենքի նախագծով (այսուհետ՝ Նախագիծ) </w:t>
      </w:r>
      <w:r>
        <w:rPr>
          <w:rFonts w:ascii="GHEA Grapalat" w:eastAsia="GHEA Grapalat" w:hAnsi="GHEA Grapalat" w:cs="GHEA Grapalat"/>
          <w:sz w:val="24"/>
          <w:szCs w:val="24"/>
        </w:rPr>
        <w:t xml:space="preserve">առաջարկվում է ատելության խոսքի արգելքի վերաբերյալ կարգավորում նախատեսել Վարչական իրավախախտումների վերաբերյալ Հայաստանի </w:t>
      </w:r>
      <w:r>
        <w:rPr>
          <w:rFonts w:ascii="GHEA Grapalat" w:eastAsia="GHEA Grapalat" w:hAnsi="GHEA Grapalat" w:cs="GHEA Grapalat"/>
          <w:sz w:val="24"/>
          <w:szCs w:val="24"/>
        </w:rPr>
        <w:lastRenderedPageBreak/>
        <w:t>Հանրապետության օրենսգրքի «Հասարակական կարգի դեմ ոտնձգվող վարչական իրավախախտումներ» վերտառությամբ 13-րդ գլխում՝ հաշվի առնելով արարքի հասարակական բնույթը, այդ թվում՝ վայրը, իրադարձության բնույթը, բովանդակությունը և այլն։</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highlight w:val="white"/>
        </w:rPr>
        <w:t>Մասնավորապես, առաջարկվում է սահմանել վարչական իրավախախտման առանձին տեսակ՝ խտրականություն կամ ատելություն հարուցող խոսքի համար, որի կիրառության համար սահմանված կլինի ոչ այնպիսի բարձր շեմ, ինչպես քրեական հանցագործության համար՝ ընդլայնելով ատելության խոսքի կարգավորման շրջանակները: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Նախագծային կարգավորմամբ առաջարկված ձևակերպման մեջ, նախևառաջ, ինչպես նշվել է թիվ 15 ԸՔՀ-ում և դրա մեկնաբանություններում, կարևորվել է  արարքի հրապարակային և հասարակական բնույթը: Մասնավորապես, արարքը պետք է կատարվի հասարակական միջավայրում, որը ներառում է և՛ ֆիզիկական միջավայրն (փողոց, հրապարակ, մարզադաշտ, և այլն) ու իրադարձությունները (հանրահավաք, երթ, սպորտային իրադարձություն), և՛ էլեկտրոնային հաղորդակցության հարթակները (համացանց, սոցիալական ցանց, բջջային հավելվածներ) և՛ տեսալսողական մեդիա հարթակները։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Առաջարկվող ձևակերպման մեջ օգտագործվում է «</w:t>
      </w:r>
      <w:r>
        <w:rPr>
          <w:rFonts w:ascii="GHEA Grapalat" w:eastAsia="GHEA Grapalat" w:hAnsi="GHEA Grapalat" w:cs="GHEA Grapalat"/>
          <w:i/>
          <w:sz w:val="24"/>
          <w:szCs w:val="24"/>
        </w:rPr>
        <w:t>որևէ հասարակական վարքագիծ</w:t>
      </w:r>
      <w:r>
        <w:rPr>
          <w:rFonts w:ascii="GHEA Grapalat" w:eastAsia="GHEA Grapalat" w:hAnsi="GHEA Grapalat" w:cs="GHEA Grapalat"/>
          <w:sz w:val="24"/>
          <w:szCs w:val="24"/>
        </w:rPr>
        <w:t>» արտահայտությունը, որը ներառում է ինչպես անձի կողմից կատարված ակտիվ գործողությունները, այնպես էլ չեզոք և պասիվ վարքագիծը, այդ թվում՝ գրավոր և բանավոր խոսքը, ժեստը, պատկերը, ծաղրանկարը, լուսանկարը, գեղանկարը, սիմվոլը: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Առաջարկվող կարգավորմամբ կարևորվել է նաև արարքի «հրապարակային» բնույթը՝ կարգավորման առարկայից դուրս թողնելով մասնավոր տիրույթում օգտագործվող խոսքը։ Հարկ է նշել, որ մի շարք երկրներում, ինչպես օրինակ՝ Դանիայում, Գերմանիայում, Ֆրանսիայում, Ռումինիայում, Մոնտենեգրոյում և </w:t>
      </w:r>
      <w:r>
        <w:rPr>
          <w:rFonts w:ascii="GHEA Grapalat" w:eastAsia="GHEA Grapalat" w:hAnsi="GHEA Grapalat" w:cs="GHEA Grapalat"/>
          <w:sz w:val="24"/>
          <w:szCs w:val="24"/>
        </w:rPr>
        <w:lastRenderedPageBreak/>
        <w:t>Մոլդովայի Հանրապետությունում առկա դրույթները նույնպես ներառում են ուղղակի պահանջ առ այն, որ խոսքն արտահայտված լինի հրապարակայնորեն՝ որպես արարքի օբյեկտիվ հատկանիշ։</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Նախագծային կարգավորմամբ որպես հավաքական եզրույթ, առաջարկվում է օգտագործել «հարուցել» եզրույթը, որը, ի տարբերություն ՀՀ քրեական օրենսգրքում օգտագործվող «</w:t>
      </w:r>
      <w:r>
        <w:rPr>
          <w:rFonts w:ascii="GHEA Grapalat" w:eastAsia="GHEA Grapalat" w:hAnsi="GHEA Grapalat" w:cs="GHEA Grapalat"/>
          <w:i/>
          <w:sz w:val="24"/>
          <w:szCs w:val="24"/>
        </w:rPr>
        <w:t>հրահրել»</w:t>
      </w:r>
      <w:r>
        <w:rPr>
          <w:rFonts w:ascii="GHEA Grapalat" w:eastAsia="GHEA Grapalat" w:hAnsi="GHEA Grapalat" w:cs="GHEA Grapalat"/>
          <w:sz w:val="24"/>
          <w:szCs w:val="24"/>
        </w:rPr>
        <w:t xml:space="preserve"> եզրույթի՝ որպես հանցակազմի օբյեկտիվ կողմ, քանի որ վերջինս ավելի չեզոք է և պարունակում է արարքի առավել նվազ հարձակողական բովանդակություն:</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Ինչ վերաբերում է զանցակազմի թիրախին, ապա ինչպես քրեական օրենսդրությամբ է սահմանված, առաջարկվող կարգավորմամբ նույնպես անձն է կամ անձանց խումբը։</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Որպես գործողության օբյեկտների ցանկ սահմանված են «</w:t>
      </w:r>
      <w:r>
        <w:rPr>
          <w:rFonts w:ascii="GHEA Grapalat" w:eastAsia="GHEA Grapalat" w:hAnsi="GHEA Grapalat" w:cs="GHEA Grapalat"/>
          <w:i/>
          <w:sz w:val="24"/>
          <w:szCs w:val="24"/>
        </w:rPr>
        <w:t>անհանդուրժողականություն</w:t>
      </w:r>
      <w:r>
        <w:rPr>
          <w:rFonts w:ascii="GHEA Grapalat" w:eastAsia="GHEA Grapalat" w:hAnsi="GHEA Grapalat" w:cs="GHEA Grapalat"/>
          <w:sz w:val="24"/>
          <w:szCs w:val="24"/>
        </w:rPr>
        <w:t>ը» և «</w:t>
      </w:r>
      <w:r>
        <w:rPr>
          <w:rFonts w:ascii="GHEA Grapalat" w:eastAsia="GHEA Grapalat" w:hAnsi="GHEA Grapalat" w:cs="GHEA Grapalat"/>
          <w:i/>
          <w:sz w:val="24"/>
          <w:szCs w:val="24"/>
        </w:rPr>
        <w:t>խտրականությունը»</w:t>
      </w:r>
      <w:r>
        <w:rPr>
          <w:rFonts w:ascii="GHEA Grapalat" w:eastAsia="GHEA Grapalat" w:hAnsi="GHEA Grapalat" w:cs="GHEA Grapalat"/>
          <w:sz w:val="24"/>
          <w:szCs w:val="24"/>
        </w:rPr>
        <w:t xml:space="preserve">, քանի որ վերջիններս հանրային վտանգավորության առավել նվազ աստիճան ունեն, քան քրեական օրենսդրությամբ ամրագրված «թշնամանք» և «ատելություն» եզրույթները։ </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Այս առումով, </w:t>
      </w:r>
      <w:r>
        <w:rPr>
          <w:rFonts w:ascii="GHEA Grapalat" w:eastAsia="GHEA Grapalat" w:hAnsi="GHEA Grapalat" w:cs="GHEA Grapalat"/>
          <w:sz w:val="24"/>
          <w:szCs w:val="24"/>
          <w:highlight w:val="white"/>
        </w:rPr>
        <w:t>ԵԽ Նախարարների կոմիտեի հանձնարարականը սահմանում է չորս առանձին հասկացություններ</w:t>
      </w:r>
      <w:r>
        <w:rPr>
          <w:rFonts w:ascii="Cambria Math" w:eastAsia="Cambria Math" w:hAnsi="Cambria Math" w:cs="Cambria Math"/>
          <w:sz w:val="24"/>
          <w:szCs w:val="24"/>
          <w:highlight w:val="white"/>
        </w:rPr>
        <w:t>․</w:t>
      </w:r>
      <w:r>
        <w:rPr>
          <w:rFonts w:ascii="GHEA Grapalat" w:eastAsia="GHEA Grapalat" w:hAnsi="GHEA Grapalat" w:cs="GHEA Grapalat"/>
          <w:sz w:val="24"/>
          <w:szCs w:val="24"/>
          <w:highlight w:val="white"/>
        </w:rPr>
        <w:t xml:space="preserve"> ատելություն, անհանդուրժողականություն, խտրականություն և թշնամանք։ ՌԽՎՄԿ-ն տարանջատում է ատելությունը, խտրականությունը և բռնությունը։ ՔՔՄԴ-ն տարանջատում է խտրականություն, թշնամանք և բռնություն հասկացությունները։ ՌԱԵՀ-ը և ՄԻԵԴ-ը առավելապես շեշտը դնում են ոչ թե ատելության և բռնության, այլ դրանց առավել մեղմ իրավական հետևանքների վրա</w:t>
      </w:r>
      <w:r>
        <w:rPr>
          <w:rFonts w:ascii="Cambria Math" w:eastAsia="Cambria Math" w:hAnsi="Cambria Math" w:cs="Cambria Math"/>
          <w:sz w:val="24"/>
          <w:szCs w:val="24"/>
          <w:highlight w:val="white"/>
        </w:rPr>
        <w:t>․</w:t>
      </w:r>
      <w:r>
        <w:rPr>
          <w:rFonts w:ascii="GHEA Grapalat" w:eastAsia="GHEA Grapalat" w:hAnsi="GHEA Grapalat" w:cs="GHEA Grapalat"/>
          <w:sz w:val="24"/>
          <w:szCs w:val="24"/>
          <w:highlight w:val="white"/>
        </w:rPr>
        <w:t xml:space="preserve"> նվաստացում, անարգում, վիրավորանք, բացասական կարծրատիպեր, խարան, սպառնալիք, որոնք վրա են հասնում խոսքի միջոցով։ </w:t>
      </w:r>
    </w:p>
    <w:p w:rsidR="00615255" w:rsidRDefault="00615255" w:rsidP="00615255">
      <w:pPr>
        <w:tabs>
          <w:tab w:val="left" w:pos="90"/>
        </w:tabs>
        <w:spacing w:line="360" w:lineRule="auto"/>
        <w:ind w:firstLine="270"/>
        <w:jc w:val="both"/>
        <w:rPr>
          <w:rFonts w:ascii="GHEA Grapalat" w:eastAsia="GHEA Grapalat" w:hAnsi="GHEA Grapalat" w:cs="GHEA Grapalat"/>
          <w:b/>
          <w:sz w:val="24"/>
          <w:szCs w:val="24"/>
        </w:rPr>
      </w:pPr>
    </w:p>
    <w:p w:rsidR="00615255" w:rsidRDefault="00615255" w:rsidP="00615255">
      <w:pPr>
        <w:numPr>
          <w:ilvl w:val="0"/>
          <w:numId w:val="2"/>
        </w:numPr>
        <w:shd w:val="clear" w:color="auto" w:fill="FFFFFF"/>
        <w:tabs>
          <w:tab w:val="left" w:pos="90"/>
        </w:tabs>
        <w:spacing w:after="240" w:line="360" w:lineRule="auto"/>
        <w:ind w:left="0" w:firstLine="270"/>
        <w:jc w:val="both"/>
        <w:rPr>
          <w:rFonts w:ascii="GHEA Grapalat" w:eastAsia="GHEA Grapalat" w:hAnsi="GHEA Grapalat" w:cs="GHEA Grapalat"/>
          <w:b/>
          <w:sz w:val="24"/>
          <w:szCs w:val="24"/>
        </w:rPr>
      </w:pPr>
      <w:r>
        <w:rPr>
          <w:rFonts w:ascii="Calibri" w:eastAsia="Calibri" w:hAnsi="Calibri" w:cs="Calibri"/>
          <w:sz w:val="24"/>
          <w:szCs w:val="24"/>
        </w:rPr>
        <w:t> </w:t>
      </w:r>
      <w:r>
        <w:rPr>
          <w:rFonts w:ascii="GHEA Grapalat" w:eastAsia="GHEA Grapalat" w:hAnsi="GHEA Grapalat" w:cs="GHEA Grapalat"/>
          <w:b/>
          <w:sz w:val="24"/>
          <w:szCs w:val="24"/>
        </w:rPr>
        <w:t>Նախագծի մշակման գործընթացում ներգրավված ինստիտուտները և անձինք.</w:t>
      </w:r>
    </w:p>
    <w:p w:rsidR="00615255" w:rsidRDefault="00615255" w:rsidP="00615255">
      <w:pPr>
        <w:shd w:val="clear" w:color="auto" w:fill="FFFFFF"/>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lastRenderedPageBreak/>
        <w:t xml:space="preserve">Նախագիծը մշակվել է ՀՀ արդարադատության նախարարության կողմից։ </w:t>
      </w:r>
    </w:p>
    <w:p w:rsidR="00615255" w:rsidRDefault="00615255" w:rsidP="00615255">
      <w:pPr>
        <w:tabs>
          <w:tab w:val="left" w:pos="90"/>
        </w:tabs>
        <w:spacing w:line="360" w:lineRule="auto"/>
        <w:ind w:firstLine="270"/>
        <w:jc w:val="both"/>
        <w:rPr>
          <w:rFonts w:ascii="GHEA Grapalat" w:eastAsia="GHEA Grapalat" w:hAnsi="GHEA Grapalat" w:cs="GHEA Grapalat"/>
          <w:sz w:val="24"/>
          <w:szCs w:val="24"/>
        </w:rPr>
      </w:pPr>
    </w:p>
    <w:p w:rsidR="00615255" w:rsidRDefault="00615255" w:rsidP="00615255">
      <w:pPr>
        <w:numPr>
          <w:ilvl w:val="0"/>
          <w:numId w:val="3"/>
        </w:numPr>
        <w:shd w:val="clear" w:color="auto" w:fill="FFFFFF"/>
        <w:tabs>
          <w:tab w:val="left" w:pos="90"/>
          <w:tab w:val="left" w:pos="1276"/>
        </w:tabs>
        <w:spacing w:after="240" w:line="360" w:lineRule="auto"/>
        <w:ind w:left="0" w:firstLine="270"/>
        <w:jc w:val="both"/>
        <w:rPr>
          <w:rFonts w:ascii="GHEA Grapalat" w:eastAsia="GHEA Grapalat" w:hAnsi="GHEA Grapalat" w:cs="GHEA Grapalat"/>
          <w:b/>
          <w:sz w:val="24"/>
          <w:szCs w:val="24"/>
        </w:rPr>
      </w:pPr>
      <w:r>
        <w:rPr>
          <w:rFonts w:ascii="GHEA Grapalat" w:eastAsia="GHEA Grapalat" w:hAnsi="GHEA Grapalat" w:cs="GHEA Grapalat"/>
          <w:b/>
          <w:sz w:val="24"/>
          <w:szCs w:val="24"/>
        </w:rPr>
        <w:t>Ակնկալվող արդյունքը.</w:t>
      </w:r>
    </w:p>
    <w:p w:rsidR="00615255" w:rsidRDefault="00615255" w:rsidP="00615255">
      <w:pPr>
        <w:shd w:val="clear" w:color="auto" w:fill="FFFFFF"/>
        <w:tabs>
          <w:tab w:val="left" w:pos="90"/>
          <w:tab w:val="left" w:pos="1276"/>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 xml:space="preserve">Նախագծի ընդունման արդյունքում ատելության խոսքի նվազ ծանրության դրսևորումները, որոնք </w:t>
      </w:r>
      <w:r>
        <w:rPr>
          <w:rFonts w:ascii="GHEA Grapalat" w:eastAsia="GHEA Grapalat" w:hAnsi="GHEA Grapalat" w:cs="GHEA Grapalat"/>
          <w:sz w:val="24"/>
          <w:szCs w:val="24"/>
          <w:highlight w:val="white"/>
        </w:rPr>
        <w:t>չեն հատում քրեական օրենսդրությամբ սահմանված շեմը</w:t>
      </w:r>
      <w:r>
        <w:rPr>
          <w:rFonts w:ascii="GHEA Grapalat" w:eastAsia="GHEA Grapalat" w:hAnsi="GHEA Grapalat" w:cs="GHEA Grapalat"/>
          <w:sz w:val="24"/>
          <w:szCs w:val="24"/>
        </w:rPr>
        <w:t>, կկարգավորվեն վարչական իրավական կառուցակարգերի շրջանակներում:</w:t>
      </w:r>
    </w:p>
    <w:p w:rsidR="00615255" w:rsidRDefault="00615255" w:rsidP="00615255">
      <w:pPr>
        <w:tabs>
          <w:tab w:val="left" w:pos="90"/>
        </w:tabs>
        <w:spacing w:after="240" w:line="360" w:lineRule="auto"/>
        <w:ind w:firstLine="270"/>
        <w:jc w:val="both"/>
        <w:rPr>
          <w:rFonts w:ascii="GHEA Grapalat" w:eastAsia="GHEA Grapalat" w:hAnsi="GHEA Grapalat" w:cs="GHEA Grapalat"/>
          <w:sz w:val="24"/>
          <w:szCs w:val="24"/>
        </w:rPr>
      </w:pPr>
    </w:p>
    <w:p w:rsidR="00615255" w:rsidRDefault="00615255" w:rsidP="00615255">
      <w:pPr>
        <w:numPr>
          <w:ilvl w:val="0"/>
          <w:numId w:val="4"/>
        </w:numPr>
        <w:shd w:val="clear" w:color="auto" w:fill="FFFFFF"/>
        <w:tabs>
          <w:tab w:val="left" w:pos="90"/>
        </w:tabs>
        <w:spacing w:after="240" w:line="360" w:lineRule="auto"/>
        <w:ind w:left="0" w:firstLine="270"/>
        <w:jc w:val="both"/>
        <w:rPr>
          <w:rFonts w:ascii="GHEA Grapalat" w:eastAsia="GHEA Grapalat" w:hAnsi="GHEA Grapalat" w:cs="GHEA Grapalat"/>
          <w:b/>
          <w:sz w:val="24"/>
          <w:szCs w:val="24"/>
        </w:rPr>
      </w:pPr>
      <w:r>
        <w:rPr>
          <w:rFonts w:ascii="GHEA Grapalat" w:eastAsia="GHEA Grapalat" w:hAnsi="GHEA Grapalat" w:cs="GHEA Grapalat"/>
          <w:b/>
          <w:sz w:val="24"/>
          <w:szCs w:val="24"/>
        </w:rPr>
        <w:t>Նախագծի ընդունման կապակցությամբ լրացուցիչ ֆինանսական միջոցների անհրաժեշտությունը և պետական բյուջեի եկամուտներում և ծախսերում սպասվելիք փոփոխությունները.</w:t>
      </w:r>
    </w:p>
    <w:p w:rsidR="00615255" w:rsidRDefault="00615255" w:rsidP="00615255">
      <w:pPr>
        <w:shd w:val="clear" w:color="auto" w:fill="FFFFFF"/>
        <w:tabs>
          <w:tab w:val="left" w:pos="90"/>
        </w:tabs>
        <w:spacing w:line="360" w:lineRule="auto"/>
        <w:ind w:firstLine="270"/>
        <w:jc w:val="both"/>
        <w:rPr>
          <w:rFonts w:ascii="GHEA Grapalat" w:eastAsia="GHEA Grapalat" w:hAnsi="GHEA Grapalat" w:cs="GHEA Grapalat"/>
          <w:sz w:val="24"/>
          <w:szCs w:val="24"/>
        </w:rPr>
      </w:pPr>
      <w:r>
        <w:rPr>
          <w:rFonts w:ascii="GHEA Grapalat" w:eastAsia="GHEA Grapalat" w:hAnsi="GHEA Grapalat" w:cs="GHEA Grapalat"/>
          <w:sz w:val="24"/>
          <w:szCs w:val="24"/>
        </w:rPr>
        <w:t>Նախագծի ընդունման դեպքում պետական կամ տեղական ինքնակառավարման մարմնի բյուջեում ծախսերի և եկամուտների էական ավելացում կամ նվազեցում չի առաջանում:</w:t>
      </w:r>
    </w:p>
    <w:p w:rsidR="00615255" w:rsidRDefault="00615255" w:rsidP="00615255">
      <w:pPr>
        <w:shd w:val="clear" w:color="auto" w:fill="FFFFFF"/>
        <w:tabs>
          <w:tab w:val="left" w:pos="90"/>
        </w:tabs>
        <w:spacing w:line="360" w:lineRule="auto"/>
        <w:ind w:firstLine="270"/>
        <w:jc w:val="both"/>
        <w:rPr>
          <w:rFonts w:ascii="GHEA Grapalat" w:eastAsia="GHEA Grapalat" w:hAnsi="GHEA Grapalat" w:cs="GHEA Grapalat"/>
          <w:sz w:val="24"/>
          <w:szCs w:val="24"/>
        </w:rPr>
      </w:pPr>
    </w:p>
    <w:p w:rsidR="00615255" w:rsidRDefault="00615255" w:rsidP="00615255">
      <w:pPr>
        <w:numPr>
          <w:ilvl w:val="0"/>
          <w:numId w:val="4"/>
        </w:numPr>
        <w:shd w:val="clear" w:color="auto" w:fill="FFFFFF"/>
        <w:tabs>
          <w:tab w:val="left" w:pos="90"/>
        </w:tabs>
        <w:spacing w:after="240" w:line="360" w:lineRule="auto"/>
        <w:ind w:left="0" w:firstLine="270"/>
        <w:jc w:val="both"/>
        <w:rPr>
          <w:rFonts w:ascii="GHEA Grapalat" w:eastAsia="GHEA Grapalat" w:hAnsi="GHEA Grapalat" w:cs="GHEA Grapalat"/>
          <w:b/>
          <w:sz w:val="24"/>
          <w:szCs w:val="24"/>
        </w:rPr>
      </w:pPr>
      <w:r>
        <w:rPr>
          <w:rFonts w:ascii="GHEA Grapalat" w:eastAsia="GHEA Grapalat" w:hAnsi="GHEA Grapalat" w:cs="GHEA Grapalat"/>
          <w:b/>
          <w:sz w:val="24"/>
          <w:szCs w:val="24"/>
        </w:rPr>
        <w:t>Կապը ռազմավարական փաստաթղթերի հետ.</w:t>
      </w:r>
    </w:p>
    <w:p w:rsidR="00615255" w:rsidRDefault="00615255" w:rsidP="00615255">
      <w:pPr>
        <w:shd w:val="clear" w:color="auto" w:fill="FFFFFF"/>
        <w:tabs>
          <w:tab w:val="left" w:pos="90"/>
        </w:tabs>
        <w:spacing w:line="360" w:lineRule="auto"/>
        <w:ind w:firstLine="270"/>
        <w:jc w:val="both"/>
        <w:rPr>
          <w:rFonts w:ascii="GHEA Grapalat" w:eastAsia="GHEA Grapalat" w:hAnsi="GHEA Grapalat" w:cs="GHEA Grapalat"/>
          <w:sz w:val="24"/>
          <w:szCs w:val="24"/>
          <w:highlight w:val="white"/>
        </w:rPr>
      </w:pPr>
      <w:r>
        <w:rPr>
          <w:rFonts w:ascii="GHEA Grapalat" w:eastAsia="GHEA Grapalat" w:hAnsi="GHEA Grapalat" w:cs="GHEA Grapalat"/>
          <w:sz w:val="24"/>
          <w:szCs w:val="24"/>
        </w:rPr>
        <w:t xml:space="preserve">Նախագծի ընդունումը բխում է </w:t>
      </w:r>
      <w:r>
        <w:rPr>
          <w:rFonts w:ascii="GHEA Grapalat" w:eastAsia="GHEA Grapalat" w:hAnsi="GHEA Grapalat" w:cs="GHEA Grapalat"/>
          <w:color w:val="000000"/>
          <w:sz w:val="24"/>
          <w:szCs w:val="24"/>
        </w:rPr>
        <w:t>«Մարդու իրավունքների պաշտպանության ազգային ռազմավարությունը և դրանից բխող 2020-2022 թվականների և 2023-2025 թվականների գործողությունների ծրագիրը հաստատելու մասին» Կառավարության 2019 թվականի դեկտեմբերի 26-ի N 1978-Լ որոշումից:</w:t>
      </w:r>
    </w:p>
    <w:p w:rsidR="00903C2D" w:rsidRDefault="00903C2D">
      <w:bookmarkStart w:id="1" w:name="_GoBack"/>
      <w:bookmarkEnd w:id="1"/>
    </w:p>
    <w:sectPr w:rsidR="00903C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CB6" w:rsidRDefault="00BF5CB6" w:rsidP="00615255">
      <w:pPr>
        <w:spacing w:line="240" w:lineRule="auto"/>
      </w:pPr>
      <w:r>
        <w:separator/>
      </w:r>
    </w:p>
  </w:endnote>
  <w:endnote w:type="continuationSeparator" w:id="0">
    <w:p w:rsidR="00BF5CB6" w:rsidRDefault="00BF5CB6" w:rsidP="006152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CB6" w:rsidRDefault="00BF5CB6" w:rsidP="00615255">
      <w:pPr>
        <w:spacing w:line="240" w:lineRule="auto"/>
      </w:pPr>
      <w:r>
        <w:separator/>
      </w:r>
    </w:p>
  </w:footnote>
  <w:footnote w:type="continuationSeparator" w:id="0">
    <w:p w:rsidR="00BF5CB6" w:rsidRDefault="00BF5CB6" w:rsidP="00615255">
      <w:pPr>
        <w:spacing w:line="240" w:lineRule="auto"/>
      </w:pPr>
      <w:r>
        <w:continuationSeparator/>
      </w:r>
    </w:p>
  </w:footnote>
  <w:footnote w:id="1">
    <w:p w:rsidR="00615255" w:rsidRDefault="00615255" w:rsidP="00615255">
      <w:pPr>
        <w:spacing w:line="240" w:lineRule="auto"/>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ատելության խոսքի վերաբերյալ Եվրոպայի խորհրդի նախարարների կոմիտեի թիվ R (97) 20 հանձնարարականն անդամ պետություններին, 1997թ., հասանելի է </w:t>
      </w:r>
      <w:hyperlink r:id="rId1" w:history="1">
        <w:r>
          <w:rPr>
            <w:rStyle w:val="Hyperlink"/>
            <w:rFonts w:ascii="GHEA Grapalat" w:eastAsia="GHEA Grapalat" w:hAnsi="GHEA Grapalat" w:cs="GHEA Grapalat"/>
            <w:sz w:val="20"/>
            <w:szCs w:val="20"/>
          </w:rPr>
          <w:t>https://rm.coe.int/1680505d5b</w:t>
        </w:r>
      </w:hyperlink>
      <w:r>
        <w:rPr>
          <w:rFonts w:ascii="GHEA Grapalat" w:eastAsia="GHEA Grapalat" w:hAnsi="GHEA Grapalat" w:cs="GHEA Grapalat"/>
          <w:color w:val="000000"/>
          <w:sz w:val="20"/>
          <w:szCs w:val="20"/>
        </w:rPr>
        <w:t xml:space="preserve"> հղումով:</w:t>
      </w:r>
    </w:p>
  </w:footnote>
  <w:footnote w:id="2">
    <w:p w:rsidR="00615255" w:rsidRDefault="00615255" w:rsidP="00615255">
      <w:pPr>
        <w:rPr>
          <w:rFonts w:ascii="GHEA Grapalat" w:eastAsia="GHEA Grapalat" w:hAnsi="GHEA Grapalat" w:cs="GHEA Grapalat"/>
          <w:sz w:val="20"/>
          <w:szCs w:val="20"/>
        </w:rPr>
      </w:pPr>
      <w:r>
        <w:rPr>
          <w:rStyle w:val="FootnoteReference"/>
        </w:rPr>
        <w:footnoteRef/>
      </w:r>
      <w:r>
        <w:rPr>
          <w:rFonts w:ascii="GHEA Grapalat" w:eastAsia="GHEA Grapalat" w:hAnsi="GHEA Grapalat" w:cs="GHEA Grapalat"/>
          <w:sz w:val="20"/>
          <w:szCs w:val="20"/>
        </w:rPr>
        <w:t xml:space="preserve"> Տե՛ս Մարդու իրավունքների եվրոպական դատարանի «</w:t>
      </w:r>
      <w:hyperlink r:id="rId2" w:history="1">
        <w:r>
          <w:rPr>
            <w:rStyle w:val="Hyperlink"/>
            <w:rFonts w:ascii="GHEA Grapalat" w:eastAsia="GHEA Grapalat" w:hAnsi="GHEA Grapalat" w:cs="GHEA Grapalat"/>
            <w:color w:val="0563C1"/>
            <w:sz w:val="20"/>
            <w:szCs w:val="20"/>
          </w:rPr>
          <w:t>Վեյդելանդը և այլոք ընդդեմ Շվեդիայի</w:t>
        </w:r>
      </w:hyperlink>
      <w:r>
        <w:rPr>
          <w:rFonts w:ascii="GHEA Grapalat" w:eastAsia="GHEA Grapalat" w:hAnsi="GHEA Grapalat" w:cs="GHEA Grapalat"/>
          <w:color w:val="0563C1"/>
          <w:sz w:val="20"/>
          <w:szCs w:val="20"/>
          <w:u w:val="single"/>
        </w:rPr>
        <w:t>»</w:t>
      </w:r>
      <w:r>
        <w:rPr>
          <w:rFonts w:ascii="GHEA Grapalat" w:eastAsia="GHEA Grapalat" w:hAnsi="GHEA Grapalat" w:cs="GHEA Grapalat"/>
          <w:sz w:val="20"/>
          <w:szCs w:val="20"/>
        </w:rPr>
        <w:t xml:space="preserve"> գործով որոշումը,</w:t>
      </w:r>
      <w:r>
        <w:rPr>
          <w:rFonts w:ascii="GHEA Grapalat" w:eastAsia="GHEA Grapalat" w:hAnsi="GHEA Grapalat" w:cs="GHEA Grapalat"/>
          <w:i/>
          <w:sz w:val="20"/>
          <w:szCs w:val="20"/>
        </w:rPr>
        <w:t xml:space="preserve"> </w:t>
      </w:r>
      <w:r>
        <w:rPr>
          <w:rFonts w:ascii="GHEA Grapalat" w:eastAsia="GHEA Grapalat" w:hAnsi="GHEA Grapalat" w:cs="GHEA Grapalat"/>
          <w:sz w:val="20"/>
          <w:szCs w:val="20"/>
        </w:rPr>
        <w:t xml:space="preserve">թիվ  1813/07, 2012թ., կետ 55: </w:t>
      </w:r>
    </w:p>
  </w:footnote>
  <w:footnote w:id="3">
    <w:p w:rsidR="00615255" w:rsidRDefault="00615255" w:rsidP="00615255">
      <w:pPr>
        <w:spacing w:line="240" w:lineRule="auto"/>
        <w:jc w:val="both"/>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Ռասիզմի և անհանդուրժողականության դեմ եվրոպական հանձնաժողովի (ՌԱԵՀ) Ընդհանուր քաղաքականության թիվ 15 հանձնարարականը, 2015թ., հասանելի է </w:t>
      </w:r>
      <w:hyperlink r:id="rId3" w:history="1">
        <w:r>
          <w:rPr>
            <w:rStyle w:val="Hyperlink"/>
            <w:rFonts w:ascii="GHEA Grapalat" w:eastAsia="GHEA Grapalat" w:hAnsi="GHEA Grapalat" w:cs="GHEA Grapalat"/>
            <w:sz w:val="20"/>
            <w:szCs w:val="20"/>
          </w:rPr>
          <w:t>https://www.coe.int/en/web/european-commission-against-racism-and-intolerance/recommendation-no.15</w:t>
        </w:r>
      </w:hyperlink>
      <w:r>
        <w:rPr>
          <w:rFonts w:ascii="GHEA Grapalat" w:eastAsia="GHEA Grapalat" w:hAnsi="GHEA Grapalat" w:cs="GHEA Grapalat"/>
          <w:color w:val="000000"/>
          <w:sz w:val="20"/>
          <w:szCs w:val="20"/>
        </w:rPr>
        <w:t xml:space="preserve"> հղումով:</w:t>
      </w:r>
    </w:p>
  </w:footnote>
  <w:footnote w:id="4">
    <w:p w:rsidR="00615255" w:rsidRDefault="00615255" w:rsidP="00615255">
      <w:pPr>
        <w:spacing w:line="240" w:lineRule="auto"/>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ՄԱԿ-ի կարծիքի և արտահայտվելու ազատության իրավունքի պաշտպանության և խթանման հարցերով հատուկ զեկուցողի զեկույցը, A/67/357, 2012թ., հասանելի է </w:t>
      </w:r>
      <w:hyperlink r:id="rId4" w:history="1">
        <w:r>
          <w:rPr>
            <w:rStyle w:val="Hyperlink"/>
            <w:rFonts w:ascii="GHEA Grapalat" w:eastAsia="GHEA Grapalat" w:hAnsi="GHEA Grapalat" w:cs="GHEA Grapalat"/>
            <w:sz w:val="20"/>
            <w:szCs w:val="20"/>
          </w:rPr>
          <w:t>https://documents.un.org/doc/undoc/gen/n12/501/25/pdf/n1250125.pdf</w:t>
        </w:r>
      </w:hyperlink>
      <w:r>
        <w:rPr>
          <w:rFonts w:ascii="GHEA Grapalat" w:eastAsia="GHEA Grapalat" w:hAnsi="GHEA Grapalat" w:cs="GHEA Grapalat"/>
          <w:color w:val="000000"/>
          <w:sz w:val="20"/>
          <w:szCs w:val="20"/>
        </w:rPr>
        <w:t xml:space="preserve"> հղումով:</w:t>
      </w:r>
    </w:p>
  </w:footnote>
  <w:footnote w:id="5">
    <w:p w:rsidR="00615255" w:rsidRDefault="00615255" w:rsidP="00615255">
      <w:pPr>
        <w:spacing w:line="240" w:lineRule="auto"/>
        <w:rPr>
          <w:rFonts w:ascii="GHEA Grapalat" w:eastAsia="GHEA Grapalat" w:hAnsi="GHEA Grapalat" w:cs="GHEA Grapalat"/>
          <w:color w:val="000000"/>
          <w:sz w:val="20"/>
          <w:szCs w:val="20"/>
        </w:rPr>
      </w:pPr>
      <w:r>
        <w:rPr>
          <w:rStyle w:val="FootnoteReference"/>
        </w:rPr>
        <w:footnoteRef/>
      </w:r>
      <w:r>
        <w:rPr>
          <w:rFonts w:ascii="GHEA Grapalat" w:eastAsia="GHEA Grapalat" w:hAnsi="GHEA Grapalat" w:cs="GHEA Grapalat"/>
          <w:color w:val="000000"/>
          <w:sz w:val="20"/>
          <w:szCs w:val="20"/>
        </w:rPr>
        <w:t xml:space="preserve">  Տե՛ս ԵԽ զեկույցը համեմատական ուսումնասիրություն՝ ատելության խոսքի օրենքների և ՀՀ</w:t>
      </w:r>
    </w:p>
    <w:p w:rsidR="00615255" w:rsidRDefault="00615255" w:rsidP="00615255">
      <w:pPr>
        <w:spacing w:line="240" w:lineRule="auto"/>
        <w:rPr>
          <w:color w:val="000000"/>
          <w:sz w:val="20"/>
          <w:szCs w:val="20"/>
        </w:rPr>
      </w:pPr>
      <w:r>
        <w:rPr>
          <w:rFonts w:ascii="GHEA Grapalat" w:eastAsia="GHEA Grapalat" w:hAnsi="GHEA Grapalat" w:cs="GHEA Grapalat"/>
          <w:color w:val="000000"/>
          <w:sz w:val="20"/>
          <w:szCs w:val="20"/>
        </w:rPr>
        <w:t xml:space="preserve">օրենսդրության վերաբերյալ, 2020թ., էջ 6, հասանելի է </w:t>
      </w:r>
      <w:hyperlink r:id="rId5" w:history="1">
        <w:r>
          <w:rPr>
            <w:rStyle w:val="Hyperlink"/>
            <w:rFonts w:ascii="GHEA Grapalat" w:eastAsia="GHEA Grapalat" w:hAnsi="GHEA Grapalat" w:cs="GHEA Grapalat"/>
            <w:sz w:val="20"/>
            <w:szCs w:val="20"/>
          </w:rPr>
          <w:t>https://rm.coe.int/final-report-on-reforming-armenian-hate-speech-laws-arm/pdf/1680a0b84d</w:t>
        </w:r>
      </w:hyperlink>
      <w:r>
        <w:rPr>
          <w:rFonts w:ascii="GHEA Grapalat" w:eastAsia="GHEA Grapalat" w:hAnsi="GHEA Grapalat" w:cs="GHEA Grapalat"/>
          <w:color w:val="000000"/>
          <w:sz w:val="20"/>
          <w:szCs w:val="20"/>
        </w:rPr>
        <w:t xml:space="preserve"> հղումով: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B64F6"/>
    <w:multiLevelType w:val="multilevel"/>
    <w:tmpl w:val="DAF2EDE8"/>
    <w:lvl w:ilvl="0">
      <w:start w:val="4"/>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15:restartNumberingAfterBreak="0">
    <w:nsid w:val="39F474BC"/>
    <w:multiLevelType w:val="multilevel"/>
    <w:tmpl w:val="266C458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BE69A3"/>
    <w:multiLevelType w:val="multilevel"/>
    <w:tmpl w:val="B148CD88"/>
    <w:lvl w:ilvl="0">
      <w:start w:val="5"/>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68A841E2"/>
    <w:multiLevelType w:val="multilevel"/>
    <w:tmpl w:val="876CCE36"/>
    <w:lvl w:ilvl="0">
      <w:start w:val="3"/>
      <w:numFmt w:val="decimal"/>
      <w:lvlText w:val="%1."/>
      <w:lvlJc w:val="left"/>
      <w:pPr>
        <w:ind w:left="720" w:hanging="360"/>
      </w:pPr>
      <w:rPr>
        <w:strike w:val="0"/>
        <w:dstrike w:val="0"/>
        <w:u w:val="none"/>
        <w:effect w:val="none"/>
      </w:rPr>
    </w:lvl>
    <w:lvl w:ilvl="1">
      <w:start w:val="1"/>
      <w:numFmt w:val="decimal"/>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decimal"/>
      <w:lvlText w:val="%8."/>
      <w:lvlJc w:val="lef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BB"/>
    <w:rsid w:val="00615255"/>
    <w:rsid w:val="00903C2D"/>
    <w:rsid w:val="00BF5CB6"/>
    <w:rsid w:val="00E75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DAAAA-B06F-44C9-8743-F44599913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255"/>
    <w:pPr>
      <w:spacing w:after="0" w:line="276" w:lineRule="auto"/>
    </w:pPr>
    <w:rPr>
      <w:rFonts w:ascii="Arial" w:eastAsia="Arial" w:hAnsi="Arial" w:cs="Arial"/>
      <w:lang w:val="hy-AM"/>
    </w:rPr>
  </w:style>
  <w:style w:type="paragraph" w:styleId="Heading3">
    <w:name w:val="heading 3"/>
    <w:basedOn w:val="Normal"/>
    <w:next w:val="Normal"/>
    <w:link w:val="Heading3Char"/>
    <w:semiHidden/>
    <w:unhideWhenUsed/>
    <w:qFormat/>
    <w:rsid w:val="00615255"/>
    <w:pPr>
      <w:keepNext/>
      <w:keepLines/>
      <w:spacing w:before="320" w:after="80"/>
      <w:outlineLvl w:val="2"/>
    </w:pPr>
    <w:rPr>
      <w:rFonts w:eastAsia="Times New Roman"/>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615255"/>
    <w:rPr>
      <w:rFonts w:ascii="Arial" w:eastAsia="Times New Roman" w:hAnsi="Arial" w:cs="Arial"/>
      <w:color w:val="434343"/>
      <w:sz w:val="28"/>
      <w:szCs w:val="28"/>
      <w:lang w:val="hy-AM"/>
    </w:rPr>
  </w:style>
  <w:style w:type="character" w:styleId="FootnoteReference">
    <w:name w:val="footnote reference"/>
    <w:basedOn w:val="DefaultParagraphFont"/>
    <w:uiPriority w:val="99"/>
    <w:semiHidden/>
    <w:unhideWhenUsed/>
    <w:rsid w:val="00615255"/>
    <w:rPr>
      <w:vertAlign w:val="superscript"/>
    </w:rPr>
  </w:style>
  <w:style w:type="character" w:styleId="Hyperlink">
    <w:name w:val="Hyperlink"/>
    <w:basedOn w:val="DefaultParagraphFont"/>
    <w:uiPriority w:val="99"/>
    <w:semiHidden/>
    <w:unhideWhenUsed/>
    <w:rsid w:val="00615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60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coe.int/en/web/european-commission-against-racism-and-intolerance/recommendation-no.15" TargetMode="External"/><Relationship Id="rId2" Type="http://schemas.openxmlformats.org/officeDocument/2006/relationships/hyperlink" Target="https://hudoc.echr.coe.int/fre?i=001-109046" TargetMode="External"/><Relationship Id="rId1" Type="http://schemas.openxmlformats.org/officeDocument/2006/relationships/hyperlink" Target="https://rm.coe.int/1680505d5b" TargetMode="External"/><Relationship Id="rId5" Type="http://schemas.openxmlformats.org/officeDocument/2006/relationships/hyperlink" Target="https://rm.coe.int/final-report-on-reforming-armenian-hate-speech-laws-arm/pdf/1680a0b84d" TargetMode="External"/><Relationship Id="rId4" Type="http://schemas.openxmlformats.org/officeDocument/2006/relationships/hyperlink" Target="https://documents.un.org/doc/undoc/gen/n12/501/25/pdf/n12501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1595</Words>
  <Characters>9098</Characters>
  <Application>Microsoft Office Word</Application>
  <DocSecurity>0</DocSecurity>
  <Lines>75</Lines>
  <Paragraphs>21</Paragraphs>
  <ScaleCrop>false</ScaleCrop>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Satenik Atayan</dc:creator>
  <cp:keywords/>
  <dc:description/>
  <cp:lastModifiedBy>Satenik Atayan</cp:lastModifiedBy>
  <cp:revision>2</cp:revision>
  <dcterms:created xsi:type="dcterms:W3CDTF">2024-10-31T10:53:00Z</dcterms:created>
  <dcterms:modified xsi:type="dcterms:W3CDTF">2024-10-31T10:53:00Z</dcterms:modified>
</cp:coreProperties>
</file>