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4"/>
        <w:gridCol w:w="4521"/>
      </w:tblGrid>
      <w:tr w:rsidR="00CF2D96" w:rsidRPr="00130AA3" w:rsidTr="006C1C9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2D96" w:rsidRPr="00130AA3" w:rsidRDefault="00CF2D96" w:rsidP="006C1C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CF2D96" w:rsidRDefault="00CF2D96" w:rsidP="006C1C9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4"/>
                <w:lang w:eastAsia="ru-RU"/>
              </w:rPr>
            </w:pPr>
          </w:p>
          <w:p w:rsidR="00CF2D96" w:rsidRPr="00130AA3" w:rsidRDefault="00CF2D96" w:rsidP="006C1C9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827E9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4"/>
                <w:lang w:eastAsia="ru-RU"/>
              </w:rPr>
              <w:t>Հավելված</w:t>
            </w:r>
            <w:proofErr w:type="spellEnd"/>
            <w:r w:rsidRPr="00827E9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4"/>
                <w:lang w:eastAsia="ru-RU"/>
              </w:rPr>
              <w:t>՝</w:t>
            </w:r>
          </w:p>
          <w:p w:rsidR="00CF2D96" w:rsidRPr="00130AA3" w:rsidRDefault="00CF2D96" w:rsidP="006C1C9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827E9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4"/>
                <w:lang w:eastAsia="ru-RU"/>
              </w:rPr>
              <w:t>Հայաստանի</w:t>
            </w:r>
            <w:proofErr w:type="spellEnd"/>
            <w:r w:rsidRPr="00827E9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827E9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4"/>
                <w:lang w:eastAsia="ru-RU"/>
              </w:rPr>
              <w:t>Հանրապետության</w:t>
            </w:r>
            <w:proofErr w:type="spellEnd"/>
            <w:r w:rsidRPr="00827E9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827E9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4"/>
                <w:lang w:eastAsia="ru-RU"/>
              </w:rPr>
              <w:t>Լոռու</w:t>
            </w:r>
            <w:proofErr w:type="spellEnd"/>
          </w:p>
          <w:p w:rsidR="00CF2D96" w:rsidRPr="00130AA3" w:rsidRDefault="00CF2D96" w:rsidP="006C1C9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proofErr w:type="gramStart"/>
            <w:r w:rsidRPr="00827E9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4"/>
                <w:lang w:eastAsia="ru-RU"/>
              </w:rPr>
              <w:t>մարզի</w:t>
            </w:r>
            <w:proofErr w:type="spellEnd"/>
            <w:proofErr w:type="gramEnd"/>
            <w:r w:rsidRPr="00827E9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827E9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4"/>
                <w:lang w:eastAsia="ru-RU"/>
              </w:rPr>
              <w:t>Տաշիր</w:t>
            </w:r>
            <w:proofErr w:type="spellEnd"/>
            <w:r w:rsidRPr="00827E9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827E9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4"/>
                <w:lang w:eastAsia="ru-RU"/>
              </w:rPr>
              <w:t>համայնքի</w:t>
            </w:r>
            <w:proofErr w:type="spellEnd"/>
            <w:r w:rsidRPr="00827E9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827E9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4"/>
                <w:lang w:eastAsia="ru-RU"/>
              </w:rPr>
              <w:t>ավագանու</w:t>
            </w:r>
            <w:proofErr w:type="spellEnd"/>
          </w:p>
          <w:p w:rsidR="00CF2D96" w:rsidRPr="00130AA3" w:rsidRDefault="00CF2D96" w:rsidP="006C1C9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  <w:lang w:eastAsia="ru-RU"/>
              </w:rPr>
            </w:pPr>
            <w:r w:rsidRPr="00827E9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4"/>
                <w:lang w:eastAsia="ru-RU"/>
              </w:rPr>
              <w:t>202</w:t>
            </w:r>
            <w:r w:rsidRPr="00827E9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4"/>
                <w:lang w:val="hy-AM" w:eastAsia="ru-RU"/>
              </w:rPr>
              <w:t>4</w:t>
            </w:r>
            <w:r w:rsidRPr="00827E9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27E9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4"/>
                <w:lang w:eastAsia="ru-RU"/>
              </w:rPr>
              <w:t>թվականի</w:t>
            </w:r>
            <w:proofErr w:type="spellEnd"/>
            <w:r w:rsidRPr="00827E9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827E9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4"/>
                <w:lang w:val="hy-AM" w:eastAsia="ru-RU"/>
              </w:rPr>
              <w:t xml:space="preserve"> «</w:t>
            </w:r>
            <w:proofErr w:type="gramEnd"/>
            <w:r w:rsidRPr="00827E9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4"/>
                <w:lang w:val="hy-AM" w:eastAsia="ru-RU"/>
              </w:rPr>
              <w:t xml:space="preserve">                     »    </w:t>
            </w:r>
            <w:r w:rsidRPr="00827E9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4"/>
                <w:lang w:eastAsia="ru-RU"/>
              </w:rPr>
              <w:t>-ի</w:t>
            </w:r>
          </w:p>
          <w:p w:rsidR="00CF2D96" w:rsidRPr="00130AA3" w:rsidRDefault="00CF2D96" w:rsidP="006C1C9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4"/>
                <w:lang w:eastAsia="ru-RU"/>
              </w:rPr>
            </w:pPr>
            <w:r w:rsidRPr="00827E9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4"/>
                <w:u w:val="single"/>
                <w:lang w:eastAsia="ru-RU"/>
              </w:rPr>
              <w:t xml:space="preserve">N -Ն </w:t>
            </w:r>
            <w:proofErr w:type="spellStart"/>
            <w:r w:rsidRPr="00827E9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4"/>
                <w:u w:val="single"/>
                <w:lang w:eastAsia="ru-RU"/>
              </w:rPr>
              <w:t>որոշման</w:t>
            </w:r>
            <w:proofErr w:type="spellEnd"/>
          </w:p>
        </w:tc>
      </w:tr>
    </w:tbl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30AA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CF2D96" w:rsidRPr="00130AA3" w:rsidRDefault="00CF2D96" w:rsidP="00CF2D9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130AA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ՀԱՅԱՍՏԱՆԻ ՀԱՆՐԱՊԵՏՈՒԹՅԱՆ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ԼՈՌՈՒ</w:t>
      </w:r>
      <w:r w:rsidRPr="00130AA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ՄԱՐԶԻ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ՏԱՇԻՐ</w:t>
      </w:r>
      <w:r w:rsidRPr="00130AA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ՀԱՄԱՅՆՔԻ ՎԱՐՉԱԿԱՆ ՏԱՐԱԾՔՈՒՄ ԳՏՆՎՈՂ ՔԱՂԱՔԱՑԻԱԿԱՆ ՀՈԳԵՀԱՆԳՍՏԻ (ՀՐԱԺԵՇՏԻ) ԾԻՍԱԿԱՏԱՐՈՒԹՅԱՆ ԾԱՌԱՅՈՒԹՅՈՒՆՆԵՐԻ ԻՐԱԿԱՆԱՑՄԱՆ ԵՎ (ԿԱՄ) ՄԱՏՈՒՑՄԱՆ ՀԱՄԱՐ ՆԱԽԱՏԵՍՎԱԾ ՇԵՆՔԵՐԻՆ ԵՎ ՇԻՆՈՒԹՅՈՒՆՆԵՐԻՆ ՆԵՐԿԱՅԱՑՎՈՂ ՍԱՀՄԱՆԱՓԱԿՈՒՄՆԵՐԸ, ՊԱՀԱՆՋՆԵՐԸ ԵՎ ՊԱՅՄԱՆՆԵՐԸ</w:t>
      </w:r>
    </w:p>
    <w:p w:rsidR="00CF2D96" w:rsidRPr="00130AA3" w:rsidRDefault="00CF2D96" w:rsidP="00CF2D9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30AA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CF2D96" w:rsidRPr="00130AA3" w:rsidRDefault="00CF2D96" w:rsidP="00CF2D9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130AA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ԸՆԴՀԱՆՈՒՐ ԴՐՈՒՅԹՆԵՐ</w:t>
      </w:r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30AA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1.</w:t>
      </w:r>
      <w:r w:rsidRPr="00130AA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Սույնով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սահմանվում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են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Տաշիր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համայնքի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վարչական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տարածքում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գտնվող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քաղաքացիական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հոգեհանգստի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հրաժեշտի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ծիսակատարության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ծառայությունների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իրականացման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և</w:t>
      </w:r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կամ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մատուցման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համար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նախատեսված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շենքերին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և</w:t>
      </w:r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շինություններին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այսուհետ</w:t>
      </w:r>
      <w:proofErr w:type="spellEnd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՝</w:t>
      </w:r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քաղաքացիական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հոգեհանգս</w:t>
      </w:r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սրահ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ներկայացվող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սահմանափակումները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պահանջները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պայմանները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30AA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2.</w:t>
      </w:r>
      <w:r w:rsidRPr="00130AA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Քաղաքացիական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հոգեհանգստի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ծառայություններ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իրականացնելու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և</w:t>
      </w:r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կամ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մատուցելու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թույլտվությունը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տալիս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է</w:t>
      </w:r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Տաշիր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համայնքի</w:t>
      </w:r>
      <w:proofErr w:type="spellEnd"/>
      <w:r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ղեկավար</w:t>
      </w:r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ը</w:t>
      </w:r>
      <w:proofErr w:type="spellEnd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՝</w:t>
      </w:r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ընթացիկ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տարվա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տեղական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տուրքի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վճարման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անդորրագրի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հիման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վրա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եթե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հոգեհանգստի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սրահը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թույլտվության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տրամադրման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պահին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ինչպես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առաջին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այնպես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էլ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հաջորդ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անգամ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համապատասխանում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հավելվածով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սահմանված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սահմանափակումներին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պահանջներին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պայմաններին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30AA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3.</w:t>
      </w:r>
      <w:r w:rsidRPr="00130AA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Առանց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թույլտվության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քաղաքացիական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հոգեհանգ</w:t>
      </w:r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հրաժեշտի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ծիսակատարության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ծառայությունների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իրականացումը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(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մատուցումը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առաջացնում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վարչական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իրավախախտումների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վերաբերյալ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օրենսգրքով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նախատեսված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վարչական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պատասխանատվություն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30AA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CF2D96" w:rsidRPr="00130AA3" w:rsidRDefault="00CF2D96" w:rsidP="00CF2D9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130AA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ՔԱՂԱՔԱՑԻԱԿԱՆ ՀՈԳԵՀԱՆԳՍՏԻ ԻՐԱԿԱՆԱՑՄԱՆ ՍՐԱՀՆԵՐԻՆ ՆԵՐԿԱՅԱՑՎՈՂ ՍԱՀՄԱՆԱՓԱԿՈՒՄՆԵՐԸ, ՊԱՀԱՆՋՆԵՐԸ ԵՎ ՊԱՅՄԱՆՆԵՐԸ</w:t>
      </w:r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30AA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30AA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4.</w:t>
      </w:r>
      <w:r w:rsidRPr="00130AA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Քաղաքացիական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հոգեհանգստի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իրականացման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սրահները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կարող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են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գտնվել</w:t>
      </w:r>
      <w:proofErr w:type="spellEnd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՝</w:t>
      </w:r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ուսումնական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կրթական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մշակութային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առողջապահական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մարզական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սոցիալական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կազմակերպություններից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հիմնարկներից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հաստատություններից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հյուրանոցներից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բազմաբնակարան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շենքերից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կառավարման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ինքնակառավարման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մարմինների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օտարերկրյա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պետությունների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միջազգային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կազմակերպությունների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դրանց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ներկայացուցչությունների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վարչական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շենքերից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զբոսայգիներից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այգիներից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պուրակներից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հանգստի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ժամանցի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նախատեսված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այլ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վայրերից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հանրային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սննդի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օբյեկտներից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նվազագույնը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100մ,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իսկ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անհատական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բնակելի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տներից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նվազագույնը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70մ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հեռավորության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վրա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բացառությամբ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եթե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դրանք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գտնվելու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՝</w:t>
      </w:r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gram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</w:t>
      </w:r>
      <w:proofErr w:type="gram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հիվանդանոցներում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գործող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ախտաբանաանատոմիական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բաժիններում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բաժանմունքներում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gram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</w:t>
      </w:r>
      <w:proofErr w:type="gram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գերեզմանատների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զբաղեցված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հողամասի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սահմանից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մինչև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50մ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հեռավորության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վրա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gram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</w:t>
      </w:r>
      <w:proofErr w:type="gram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միայն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անհատական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բնակելի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տներից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(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հանրային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սննդի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օբյեկտներից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մինչև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կետի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առաջին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ենթակետում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նշված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հեռավորությունների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վրա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առկա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դրանց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սեփականատերերի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գրավոր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համաձայնությունը</w:t>
      </w:r>
      <w:proofErr w:type="spellEnd"/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30AA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lastRenderedPageBreak/>
        <w:t>5.</w:t>
      </w:r>
      <w:r w:rsidRPr="00130AA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Քաղաքացիական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հոգեհանգստի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իրականացման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սրահները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պետք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է</w:t>
      </w:r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բավարարեն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հետևյալ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պահանջներին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և</w:t>
      </w:r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պայմաններին</w:t>
      </w:r>
      <w:proofErr w:type="spellEnd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՝</w:t>
      </w:r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հոգեհանգստի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սրահները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պետք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ունենան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՝</w:t>
      </w:r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gram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</w:t>
      </w:r>
      <w:proofErr w:type="gram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նախասրահ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՝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հանդերձարանով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gram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</w:t>
      </w:r>
      <w:proofErr w:type="gram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հանգուցյալի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մարմնի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(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աճյունի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տեղադրման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նախատեսված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սենյակ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gram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</w:t>
      </w:r>
      <w:proofErr w:type="gram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շուրջօրյա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աշխատանքային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ռեժիմով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դիակների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առանձնացված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վայր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տարածք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),</w:t>
      </w:r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gram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</w:t>
      </w:r>
      <w:proofErr w:type="gram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սանհանգույց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առնվազն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հատ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որից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մեկը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պետք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մատչելի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լինի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տեղաշարժման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դժվարություններ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ունեցող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անձանց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),</w:t>
      </w:r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gram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</w:t>
      </w:r>
      <w:proofErr w:type="gram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օրենսդրությամբ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նախատեսված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առաջին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բժշկական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օգնության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անհրաժեշտ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դեղորայքով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կահավորմամբ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սենյակ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gram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զ</w:t>
      </w:r>
      <w:proofErr w:type="gram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հուղարկավորությունը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ստանձնողների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ընդունման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նախատեսված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առանձին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մուտքով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գրասենյակային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տարածք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հոգեհանգստի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սրահը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պետք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մատչելի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լինի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տեղաշարժման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դժվարություններ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ունեցող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անձանց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՝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առնվազն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մինչև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հանգուցյալի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մարմնի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(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աճյունի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տեղադրման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նախատեսված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սենյակ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զուգարան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առաջին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բժշկական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օգնության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սենյակ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մուտք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գործելու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հոգեհանգստի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սրահում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հանգուցյալի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մարմնի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(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աճյունի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տեղադրման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նախատեսված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երկու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ավելի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սենյակի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առկայության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դեպքում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յուրաքանչյուրը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պետք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ունենա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առանձին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մուտք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նախասրահ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սանհանգույցներ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հոգեհանգստի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սրահով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զբաղեցված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սպասարկման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անհրաժեշտ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հողատարածքը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՝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ներառյալ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կետի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6-րդ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ենթակետով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նախատեսված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տարածքը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պետք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ունենա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առնվազն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երկու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մետր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բարձրությամբ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անթափանց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նյութերով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կառուցված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ցանկապատ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պարիսպ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որում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հոգեհանգստի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ծառայությունները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իրականացվում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(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մատուցվում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միայն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սրահի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ցանկապատված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տարածքում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այնպես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սրահի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տարածքից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դուրս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գտնվող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անձանց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սգո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պարագաները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այդ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թվում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՝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ծաղիկները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ծաղկեպսակները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տեսանելի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չլինեն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՝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բացառությամբ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ավտոկայանատեղիի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կառավարության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2002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մարտի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19-ի N 270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որոշման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պահանջներին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համապատասխան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հասցեի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նշմամբ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ցուցանակներ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որում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ցուցանակները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պետք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լինեն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լուսավորված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6)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հոգեհանգստի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սրահի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տարածքը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պետք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ունենա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յուրաքանչյուր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հանգուցյալի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մարմնի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(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աճյունի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տեղադրման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նախատեսված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մեկ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սենյակի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հաշվարկով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առնվազն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ավտոմեքենայի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նախատեսված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կայանատեղ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7)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հոգեհանգստի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սրահին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կից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պետք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լինի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հանգուցյալի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մարմնի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(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աճյունի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տեղադրման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նախատեսված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մեկ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սենյակի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հաշվարկով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առնվազն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100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մակերեսով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տարածք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՝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հոգեհանգստի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արարողությանը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մասնակցող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անձանց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գտնվելու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՝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ապահովված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աղբամաններով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լուսավորությամբ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ծխելու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նախատեսված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առանձնացված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հատվածով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8)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հոգեհանգստի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սրահը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պետք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ունենա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ջեռուցման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հովացման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օդափոխության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իսկ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հանգուցյալի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մարմնի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(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աճյունի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տեղադրման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նախատեսված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սենյակում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նաև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երաժշտության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ձայնային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համակարգեր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9)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հոգեհանգստի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սրահը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շահագործողը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պետք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ունենա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բժշկի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որակավորում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ունեցող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աշխատակից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համապատասխան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պայմանագիր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Տաշիր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>քաղաքում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գործող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բժշկական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հաստատությունների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՝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հոգեհանգստի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հրաժեշտի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ծիսակատարության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ծառայությունների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(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մատուցման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ողջ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ժամանակահատվածում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բժշկի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ներկայությունը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ապահովելու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՝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անհրաժեշտության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դեպքում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առաջին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բժշկական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օգնություն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ցուցաբերելու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նպատակով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10)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հոգեհանգստի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սրահի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շահագործողը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հոգեհանգստի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սրահում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ծառայությունների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(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մատուցման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ընթացքում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պետք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ապահովի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օրենսդրությամբ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նախատեսված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քաղաքաշինական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հակահրդեհային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սանիտարահիգիենիկ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սանիտարահամաճարակաբանական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նորմերի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կանոնների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պահպանումը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30A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130AA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6.</w:t>
      </w:r>
      <w:r w:rsidRPr="00130AA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Քաղաքացիական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հոգեհանգստի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իրականացման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սրահը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կարող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է</w:t>
      </w:r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ունենալ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նաև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հոգևորականի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համար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նախատեսվա</w:t>
      </w:r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սենյակ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ինչպես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նաև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առանձին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մուտքով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ծաղիկների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սգո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պարագաների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վաճառքի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սրահ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ցուցափեղկերը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մուտքերը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պարտադիր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պետք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լինեն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վարագուրապատված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կամ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մգավորված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ապակիներով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այնպես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վաճառվող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ապրանքների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նմուշները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դրսից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տեսանելի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չլինեն</w:t>
      </w:r>
      <w:proofErr w:type="spellEnd"/>
      <w:r w:rsidRPr="00130AA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CF2D96" w:rsidRPr="00130AA3" w:rsidRDefault="00CF2D96" w:rsidP="00CF2D9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30AA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CF2D96" w:rsidRPr="00130AA3" w:rsidRDefault="00CF2D96" w:rsidP="00CF2D96">
      <w:pPr>
        <w:jc w:val="both"/>
        <w:rPr>
          <w:rFonts w:ascii="GHEA Grapalat" w:hAnsi="GHEA Grapalat"/>
          <w:sz w:val="24"/>
          <w:szCs w:val="24"/>
        </w:rPr>
      </w:pPr>
    </w:p>
    <w:p w:rsidR="00CF2D96" w:rsidRPr="003D6293" w:rsidRDefault="00CF2D96" w:rsidP="00CF2D96">
      <w:pPr>
        <w:pStyle w:val="a3"/>
        <w:jc w:val="both"/>
        <w:rPr>
          <w:rFonts w:ascii="GHEA Grapalat" w:hAnsi="GHEA Grapalat"/>
        </w:rPr>
      </w:pPr>
    </w:p>
    <w:p w:rsidR="00043C72" w:rsidRDefault="00043C72">
      <w:bookmarkStart w:id="0" w:name="_GoBack"/>
      <w:bookmarkEnd w:id="0"/>
    </w:p>
    <w:sectPr w:rsidR="00043C72" w:rsidSect="00827E9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61"/>
    <w:rsid w:val="00043C72"/>
    <w:rsid w:val="0010121A"/>
    <w:rsid w:val="004E64F1"/>
    <w:rsid w:val="008777C8"/>
    <w:rsid w:val="008A4D61"/>
    <w:rsid w:val="00CF2D96"/>
    <w:rsid w:val="00DE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96058-9109-47F4-A26B-C3584301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5296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dcterms:created xsi:type="dcterms:W3CDTF">2024-10-28T15:17:00Z</dcterms:created>
  <dcterms:modified xsi:type="dcterms:W3CDTF">2024-10-28T15:17:00Z</dcterms:modified>
</cp:coreProperties>
</file>