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7AD" w:rsidRPr="00762F3F" w:rsidRDefault="009927AD" w:rsidP="009927AD">
      <w:pPr>
        <w:spacing w:after="0"/>
        <w:jc w:val="center"/>
        <w:rPr>
          <w:rFonts w:ascii="GHEA Grapalat" w:hAnsi="GHEA Grapalat"/>
          <w:b/>
          <w:lang w:val="hy-AM"/>
        </w:rPr>
      </w:pPr>
      <w:r w:rsidRPr="00762F3F">
        <w:rPr>
          <w:rFonts w:ascii="GHEA Grapalat" w:hAnsi="GHEA Grapalat"/>
          <w:b/>
          <w:lang w:val="hy-AM"/>
        </w:rPr>
        <w:t>ՀԻՄԱՎՈՐՈԻՄ</w:t>
      </w:r>
    </w:p>
    <w:p w:rsidR="00B56DF6" w:rsidRPr="00794B4C" w:rsidRDefault="009C55C8" w:rsidP="00B56DF6">
      <w:pPr>
        <w:spacing w:line="276" w:lineRule="auto"/>
        <w:ind w:right="4"/>
        <w:jc w:val="center"/>
        <w:rPr>
          <w:rFonts w:ascii="GHEA Grapalat" w:hAnsi="GHEA Grapalat" w:cs="Sylfaen"/>
          <w:b/>
          <w:bCs/>
          <w:caps/>
          <w:lang w:val="hy-AM"/>
        </w:rPr>
      </w:pPr>
      <w:r w:rsidRPr="008D59FC">
        <w:rPr>
          <w:rFonts w:ascii="GHEA Grapalat" w:hAnsi="GHEA Grapalat"/>
          <w:b/>
          <w:bCs/>
          <w:lang w:val="hy-AM"/>
        </w:rPr>
        <w:t>ՀԱՅԱՍՏԱՆԻ ՀԱՆՐԱՊԵՏՈՒԹՅԱՆ ԿԱՌԱՎԱՐՈՒԹՅԱՆ </w:t>
      </w:r>
      <w:r w:rsidR="00B56DF6" w:rsidRPr="008D59FC">
        <w:rPr>
          <w:rFonts w:ascii="GHEA Grapalat" w:hAnsi="GHEA Grapalat"/>
          <w:b/>
          <w:bCs/>
          <w:lang w:val="hy-AM"/>
        </w:rPr>
        <w:t>2022</w:t>
      </w:r>
      <w:r w:rsidR="00B56DF6" w:rsidRPr="008D59FC">
        <w:rPr>
          <w:rFonts w:ascii="GHEA Grapalat" w:hAnsi="GHEA Grapalat" w:cs="Sylfaen"/>
          <w:b/>
          <w:bCs/>
          <w:caps/>
          <w:lang w:val="hy-AM"/>
        </w:rPr>
        <w:t xml:space="preserve"> ԹՎԱԿԱՆԻ ՄԱՐՏԻ 24-Ի N 398-Լ ՈՐՈՇՄԱՆ ՄԵՋ ՓՈՓՈԽՈՒԹՅՈՒՆՆԵՐ ԵՎ ԼՐԱՑՈՒՄՆԵՐ ԿԱՏԱՐԵԼՈՒ ՄԱՍԻՆ</w:t>
      </w:r>
      <w:r w:rsidR="008220A8" w:rsidRPr="008D59FC">
        <w:rPr>
          <w:rFonts w:ascii="GHEA Grapalat" w:hAnsi="GHEA Grapalat" w:cs="Sylfaen"/>
          <w:b/>
          <w:bCs/>
          <w:caps/>
          <w:lang w:val="hy-AM"/>
        </w:rPr>
        <w:t xml:space="preserve"> </w:t>
      </w:r>
      <w:r w:rsidR="008220A8">
        <w:rPr>
          <w:rFonts w:ascii="GHEA Grapalat" w:hAnsi="GHEA Grapalat" w:cs="Sylfaen"/>
          <w:b/>
          <w:bCs/>
          <w:caps/>
          <w:lang w:val="hy-AM"/>
        </w:rPr>
        <w:t xml:space="preserve">կառավարության որոշման նախագծի </w:t>
      </w:r>
      <w:r w:rsidR="00794B4C">
        <w:rPr>
          <w:rFonts w:ascii="GHEA Grapalat" w:hAnsi="GHEA Grapalat" w:cs="Sylfaen"/>
          <w:b/>
          <w:bCs/>
          <w:caps/>
          <w:lang w:val="hy-AM"/>
        </w:rPr>
        <w:t>ընդունման</w:t>
      </w:r>
    </w:p>
    <w:p w:rsidR="006869B2" w:rsidRPr="00762F3F" w:rsidRDefault="006869B2" w:rsidP="009C55C8">
      <w:pPr>
        <w:jc w:val="center"/>
        <w:rPr>
          <w:rFonts w:ascii="GHEA Grapalat" w:hAnsi="GHEA Grapalat"/>
          <w:lang w:val="hy-AM"/>
        </w:rPr>
      </w:pPr>
    </w:p>
    <w:p w:rsidR="006869B2" w:rsidRPr="00762F3F" w:rsidRDefault="006869B2" w:rsidP="009927AD">
      <w:pPr>
        <w:pStyle w:val="ListParagraph"/>
        <w:numPr>
          <w:ilvl w:val="0"/>
          <w:numId w:val="3"/>
        </w:numPr>
        <w:rPr>
          <w:rFonts w:ascii="GHEA Grapalat" w:hAnsi="GHEA Grapalat"/>
          <w:lang w:val="hy-AM"/>
        </w:rPr>
      </w:pPr>
      <w:r w:rsidRPr="00762F3F">
        <w:rPr>
          <w:rFonts w:ascii="GHEA Grapalat" w:hAnsi="GHEA Grapalat" w:cs="Sylfaen"/>
          <w:b/>
          <w:bCs/>
          <w:lang w:val="hy-AM"/>
        </w:rPr>
        <w:t>Իրավական</w:t>
      </w:r>
      <w:r w:rsidR="00F400EB">
        <w:rPr>
          <w:rFonts w:ascii="GHEA Grapalat" w:hAnsi="GHEA Grapalat" w:cs="Sylfaen"/>
          <w:b/>
          <w:bCs/>
          <w:lang w:val="hy-AM"/>
        </w:rPr>
        <w:t xml:space="preserve"> </w:t>
      </w:r>
      <w:r w:rsidRPr="00762F3F">
        <w:rPr>
          <w:rFonts w:ascii="GHEA Grapalat" w:hAnsi="GHEA Grapalat" w:cs="Sylfaen"/>
          <w:b/>
          <w:bCs/>
          <w:lang w:val="hy-AM"/>
        </w:rPr>
        <w:t>ակտի</w:t>
      </w:r>
      <w:r w:rsidR="00F400EB">
        <w:rPr>
          <w:rFonts w:ascii="GHEA Grapalat" w:hAnsi="GHEA Grapalat" w:cs="Sylfaen"/>
          <w:b/>
          <w:bCs/>
          <w:lang w:val="hy-AM"/>
        </w:rPr>
        <w:t xml:space="preserve"> </w:t>
      </w:r>
      <w:r w:rsidRPr="00762F3F">
        <w:rPr>
          <w:rFonts w:ascii="GHEA Grapalat" w:hAnsi="GHEA Grapalat" w:cs="Sylfaen"/>
          <w:b/>
          <w:bCs/>
          <w:lang w:val="hy-AM"/>
        </w:rPr>
        <w:t>ընդունման</w:t>
      </w:r>
      <w:r w:rsidR="00F400EB">
        <w:rPr>
          <w:rFonts w:ascii="GHEA Grapalat" w:hAnsi="GHEA Grapalat" w:cs="Sylfaen"/>
          <w:b/>
          <w:bCs/>
          <w:lang w:val="hy-AM"/>
        </w:rPr>
        <w:t xml:space="preserve"> </w:t>
      </w:r>
      <w:r w:rsidRPr="00762F3F">
        <w:rPr>
          <w:rFonts w:ascii="GHEA Grapalat" w:hAnsi="GHEA Grapalat" w:cs="Sylfaen"/>
          <w:b/>
          <w:bCs/>
          <w:lang w:val="hy-AM"/>
        </w:rPr>
        <w:t>անհրաժեշտությունը</w:t>
      </w:r>
    </w:p>
    <w:p w:rsidR="00FC15EC" w:rsidRDefault="009D4937" w:rsidP="00F400EB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Ն</w:t>
      </w:r>
      <w:r w:rsidR="00B97EF8">
        <w:rPr>
          <w:rFonts w:ascii="GHEA Grapalat" w:hAnsi="GHEA Grapalat" w:cs="Sylfaen"/>
          <w:lang w:val="hy-AM"/>
        </w:rPr>
        <w:t>ախագծի ընդուն</w:t>
      </w:r>
      <w:r w:rsidR="00963D0D">
        <w:rPr>
          <w:rFonts w:ascii="GHEA Grapalat" w:hAnsi="GHEA Grapalat" w:cs="Sylfaen"/>
          <w:lang w:val="hy-AM"/>
        </w:rPr>
        <w:t>ման</w:t>
      </w:r>
      <w:r w:rsidR="00B97EF8">
        <w:rPr>
          <w:rFonts w:ascii="GHEA Grapalat" w:hAnsi="GHEA Grapalat" w:cs="Sylfaen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անհրաժեշտությունը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բխում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է</w:t>
      </w:r>
      <w:r w:rsidR="008862A3" w:rsidRPr="00762F3F">
        <w:rPr>
          <w:rFonts w:ascii="GHEA Grapalat" w:hAnsi="GHEA Grapalat" w:cs="Sylfaen"/>
          <w:lang w:val="hy-AM"/>
        </w:rPr>
        <w:t xml:space="preserve"> 2022 թվականի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8862A3" w:rsidRPr="00762F3F">
        <w:rPr>
          <w:rFonts w:ascii="GHEA Grapalat" w:hAnsi="GHEA Grapalat" w:cs="Sylfaen"/>
          <w:lang w:val="hy-AM"/>
        </w:rPr>
        <w:t xml:space="preserve">մարտի 24-ի </w:t>
      </w:r>
      <w:r w:rsidR="00A81592" w:rsidRPr="00762F3F">
        <w:rPr>
          <w:rFonts w:ascii="GHEA Grapalat" w:hAnsi="GHEA Grapalat" w:cs="Sylfaen"/>
          <w:lang w:val="hy-AM"/>
        </w:rPr>
        <w:t>N 398-Լ Հ</w:t>
      </w:r>
      <w:r w:rsidR="00EB6BF1" w:rsidRPr="00762F3F">
        <w:rPr>
          <w:rFonts w:ascii="GHEA Grapalat" w:hAnsi="GHEA Grapalat" w:cs="Sylfaen"/>
          <w:lang w:val="hy-AM"/>
        </w:rPr>
        <w:t xml:space="preserve">այաստանի </w:t>
      </w:r>
      <w:r w:rsidR="00A81592" w:rsidRPr="00762F3F">
        <w:rPr>
          <w:rFonts w:ascii="GHEA Grapalat" w:hAnsi="GHEA Grapalat" w:cs="Sylfaen"/>
          <w:lang w:val="hy-AM"/>
        </w:rPr>
        <w:t>Հ</w:t>
      </w:r>
      <w:r w:rsidR="00EB6BF1" w:rsidRPr="00762F3F">
        <w:rPr>
          <w:rFonts w:ascii="GHEA Grapalat" w:hAnsi="GHEA Grapalat" w:cs="Sylfaen"/>
          <w:lang w:val="hy-AM"/>
        </w:rPr>
        <w:t>անրապետության</w:t>
      </w:r>
      <w:r w:rsidR="00A81592" w:rsidRPr="00762F3F">
        <w:rPr>
          <w:rFonts w:ascii="GHEA Grapalat" w:hAnsi="GHEA Grapalat"/>
          <w:lang w:val="hy-AM"/>
        </w:rPr>
        <w:t xml:space="preserve"> </w:t>
      </w:r>
      <w:r w:rsidR="00A81592" w:rsidRPr="00762F3F">
        <w:rPr>
          <w:rFonts w:ascii="GHEA Grapalat" w:hAnsi="GHEA Grapalat" w:cs="Sylfaen"/>
          <w:lang w:val="hy-AM"/>
        </w:rPr>
        <w:t>կառավարության</w:t>
      </w:r>
      <w:r w:rsidR="00A81592" w:rsidRPr="00762F3F">
        <w:rPr>
          <w:rFonts w:ascii="GHEA Grapalat" w:hAnsi="GHEA Grapalat"/>
          <w:lang w:val="hy-AM"/>
        </w:rPr>
        <w:t xml:space="preserve"> </w:t>
      </w:r>
      <w:r w:rsidR="00A81592" w:rsidRPr="162938BF">
        <w:rPr>
          <w:rFonts w:ascii="GHEA Grapalat" w:hAnsi="GHEA Grapalat" w:cs="Sylfaen"/>
          <w:lang w:val="hy-AM"/>
        </w:rPr>
        <w:t>որոշմա</w:t>
      </w:r>
      <w:r w:rsidR="3204CBBF" w:rsidRPr="162938BF">
        <w:rPr>
          <w:rFonts w:ascii="GHEA Grapalat" w:hAnsi="GHEA Grapalat" w:cs="Sylfaen"/>
          <w:lang w:val="hy-AM"/>
        </w:rPr>
        <w:t>մբ</w:t>
      </w:r>
      <w:r w:rsidR="00846A06">
        <w:rPr>
          <w:rFonts w:ascii="GHEA Grapalat" w:hAnsi="GHEA Grapalat" w:cs="Sylfaen"/>
          <w:lang w:val="hy-AM"/>
        </w:rPr>
        <w:t xml:space="preserve"> </w:t>
      </w:r>
      <w:r w:rsidR="00846A06" w:rsidRPr="006B65FE">
        <w:rPr>
          <w:rFonts w:ascii="GHEA Grapalat" w:hAnsi="GHEA Grapalat" w:cs="Sylfaen"/>
          <w:lang w:val="hy-AM"/>
        </w:rPr>
        <w:t>(այսուհետ` որոշում)</w:t>
      </w:r>
      <w:r w:rsidR="762A3C2D" w:rsidRPr="162938BF">
        <w:rPr>
          <w:rFonts w:ascii="GHEA Grapalat" w:hAnsi="GHEA Grapalat" w:cs="Sylfaen"/>
          <w:lang w:val="hy-AM"/>
        </w:rPr>
        <w:t xml:space="preserve"> </w:t>
      </w:r>
      <w:r w:rsidR="00AE7C01" w:rsidRPr="00762F3F">
        <w:rPr>
          <w:rFonts w:ascii="GHEA Grapalat" w:hAnsi="GHEA Grapalat" w:cs="Sylfaen"/>
          <w:lang w:val="hy-AM"/>
        </w:rPr>
        <w:t>հավանության</w:t>
      </w:r>
      <w:r w:rsidR="00AE7C01" w:rsidRPr="00762F3F">
        <w:rPr>
          <w:rFonts w:ascii="GHEA Grapalat" w:hAnsi="GHEA Grapalat"/>
          <w:lang w:val="hy-AM"/>
        </w:rPr>
        <w:t xml:space="preserve"> </w:t>
      </w:r>
      <w:r w:rsidR="00AE7C01" w:rsidRPr="00762F3F">
        <w:rPr>
          <w:rFonts w:ascii="GHEA Grapalat" w:hAnsi="GHEA Grapalat" w:cs="Sylfaen"/>
          <w:lang w:val="hy-AM"/>
        </w:rPr>
        <w:t>արժանացած</w:t>
      </w:r>
      <w:r w:rsidR="00AE7C01" w:rsidRPr="00762F3F">
        <w:rPr>
          <w:rFonts w:ascii="GHEA Grapalat" w:hAnsi="GHEA Grapalat"/>
          <w:lang w:val="hy-AM"/>
        </w:rPr>
        <w:t xml:space="preserve"> </w:t>
      </w:r>
      <w:r w:rsidR="00A81592" w:rsidRPr="00762F3F">
        <w:rPr>
          <w:rFonts w:ascii="GHEA Grapalat" w:hAnsi="GHEA Grapalat" w:cs="Sylfaen"/>
          <w:lang w:val="hy-AM"/>
        </w:rPr>
        <w:t>«Էներգախնայողության</w:t>
      </w:r>
      <w:r w:rsidR="00A81592" w:rsidRPr="00762F3F">
        <w:rPr>
          <w:rFonts w:ascii="GHEA Grapalat" w:hAnsi="GHEA Grapalat"/>
          <w:lang w:val="hy-AM"/>
        </w:rPr>
        <w:t xml:space="preserve"> </w:t>
      </w:r>
      <w:r w:rsidR="00A81592" w:rsidRPr="00762F3F">
        <w:rPr>
          <w:rFonts w:ascii="GHEA Grapalat" w:hAnsi="GHEA Grapalat" w:cs="Sylfaen"/>
          <w:lang w:val="hy-AM"/>
        </w:rPr>
        <w:t>և</w:t>
      </w:r>
      <w:r w:rsidR="00A81592" w:rsidRPr="00762F3F">
        <w:rPr>
          <w:rFonts w:ascii="GHEA Grapalat" w:hAnsi="GHEA Grapalat"/>
          <w:lang w:val="hy-AM"/>
        </w:rPr>
        <w:t xml:space="preserve"> </w:t>
      </w:r>
      <w:r w:rsidR="00A81592" w:rsidRPr="00762F3F">
        <w:rPr>
          <w:rFonts w:ascii="GHEA Grapalat" w:hAnsi="GHEA Grapalat" w:cs="Sylfaen"/>
          <w:lang w:val="hy-AM"/>
        </w:rPr>
        <w:t>վերականգնվող</w:t>
      </w:r>
      <w:r w:rsidR="00A81592" w:rsidRPr="00762F3F">
        <w:rPr>
          <w:rFonts w:ascii="GHEA Grapalat" w:hAnsi="GHEA Grapalat"/>
          <w:lang w:val="hy-AM"/>
        </w:rPr>
        <w:t xml:space="preserve"> </w:t>
      </w:r>
      <w:r w:rsidR="00A81592" w:rsidRPr="00762F3F">
        <w:rPr>
          <w:rFonts w:ascii="GHEA Grapalat" w:hAnsi="GHEA Grapalat" w:cs="Sylfaen"/>
          <w:lang w:val="hy-AM"/>
        </w:rPr>
        <w:t>էներգետիկայի</w:t>
      </w:r>
      <w:r w:rsidR="00A81592" w:rsidRPr="00762F3F">
        <w:rPr>
          <w:rFonts w:ascii="GHEA Grapalat" w:hAnsi="GHEA Grapalat"/>
          <w:lang w:val="hy-AM"/>
        </w:rPr>
        <w:t xml:space="preserve"> 2022-2030 </w:t>
      </w:r>
      <w:r w:rsidR="00A81592" w:rsidRPr="00762F3F">
        <w:rPr>
          <w:rFonts w:ascii="GHEA Grapalat" w:hAnsi="GHEA Grapalat" w:cs="Sylfaen"/>
          <w:lang w:val="hy-AM"/>
        </w:rPr>
        <w:t>թվականների</w:t>
      </w:r>
      <w:r w:rsidR="00A81592" w:rsidRPr="00762F3F">
        <w:rPr>
          <w:rFonts w:ascii="GHEA Grapalat" w:hAnsi="GHEA Grapalat"/>
          <w:lang w:val="hy-AM"/>
        </w:rPr>
        <w:t xml:space="preserve"> </w:t>
      </w:r>
      <w:r w:rsidR="00A81592" w:rsidRPr="00762F3F">
        <w:rPr>
          <w:rFonts w:ascii="GHEA Grapalat" w:hAnsi="GHEA Grapalat" w:cs="Sylfaen"/>
          <w:lang w:val="hy-AM"/>
        </w:rPr>
        <w:t>ծրագրից»</w:t>
      </w:r>
      <w:r w:rsidR="00B93D1E" w:rsidRPr="00762F3F">
        <w:rPr>
          <w:rFonts w:ascii="GHEA Grapalat" w:hAnsi="GHEA Grapalat" w:cs="Sylfaen"/>
          <w:lang w:val="hy-AM"/>
        </w:rPr>
        <w:t xml:space="preserve"> և </w:t>
      </w:r>
      <w:r w:rsidR="00FC15EC">
        <w:rPr>
          <w:rFonts w:ascii="GHEA Grapalat" w:hAnsi="GHEA Grapalat" w:cs="Sylfaen"/>
          <w:lang w:val="hy-AM"/>
        </w:rPr>
        <w:t>«</w:t>
      </w:r>
      <w:r w:rsidR="00B93D1E" w:rsidRPr="00762F3F">
        <w:rPr>
          <w:rFonts w:ascii="GHEA Grapalat" w:hAnsi="GHEA Grapalat" w:cs="Sylfaen"/>
          <w:lang w:val="hy-AM"/>
        </w:rPr>
        <w:t>Էներգախնայողության և վերականգնվող էներգետիկայի 2022-2030 թվականների ծրագրի առաջին փուլի (2022-2024 թվականներ) իրագործումն ապահովող ծրագիր-</w:t>
      </w:r>
      <w:r w:rsidR="00B93D1E" w:rsidRPr="2141D0F1">
        <w:rPr>
          <w:rFonts w:ascii="GHEA Grapalat" w:hAnsi="GHEA Grapalat" w:cs="Sylfaen"/>
          <w:lang w:val="hy-AM"/>
        </w:rPr>
        <w:t>ժամանակացույցի</w:t>
      </w:r>
      <w:r w:rsidR="7525C9CE" w:rsidRPr="2141D0F1">
        <w:rPr>
          <w:rFonts w:ascii="GHEA Grapalat" w:hAnsi="GHEA Grapalat" w:cs="Sylfaen"/>
          <w:lang w:val="hy-AM"/>
        </w:rPr>
        <w:t>ց</w:t>
      </w:r>
      <w:r w:rsidR="00FC15EC">
        <w:rPr>
          <w:rFonts w:ascii="GHEA Grapalat" w:hAnsi="GHEA Grapalat" w:cs="Sylfaen"/>
          <w:lang w:val="hy-AM"/>
        </w:rPr>
        <w:t>»</w:t>
      </w:r>
      <w:r w:rsidR="006554D1" w:rsidRPr="00762F3F">
        <w:rPr>
          <w:rFonts w:ascii="GHEA Grapalat" w:hAnsi="GHEA Grapalat" w:cs="Sylfaen"/>
          <w:lang w:val="hy-AM"/>
        </w:rPr>
        <w:t xml:space="preserve">։ </w:t>
      </w:r>
    </w:p>
    <w:p w:rsidR="00FC15EC" w:rsidRDefault="00B93D1E" w:rsidP="00F400EB">
      <w:pPr>
        <w:jc w:val="both"/>
        <w:rPr>
          <w:rFonts w:ascii="GHEA Grapalat" w:hAnsi="GHEA Grapalat" w:cs="Sylfaen"/>
          <w:lang w:val="hy-AM"/>
        </w:rPr>
      </w:pPr>
      <w:r w:rsidRPr="00762F3F">
        <w:rPr>
          <w:rFonts w:ascii="GHEA Grapalat" w:hAnsi="GHEA Grapalat" w:cs="Sylfaen"/>
          <w:lang w:val="hy-AM"/>
        </w:rPr>
        <w:t xml:space="preserve">Մասնավորապես որոշման հավելված N 1-ով </w:t>
      </w:r>
      <w:r w:rsidR="009271A4">
        <w:rPr>
          <w:rFonts w:ascii="GHEA Grapalat" w:hAnsi="GHEA Grapalat" w:cs="Sylfaen"/>
          <w:lang w:val="hy-AM"/>
        </w:rPr>
        <w:t>ընդունված</w:t>
      </w:r>
      <w:r w:rsidR="00A6564D" w:rsidRPr="00762F3F">
        <w:rPr>
          <w:rFonts w:ascii="GHEA Grapalat" w:hAnsi="GHEA Grapalat" w:cs="Sylfaen"/>
          <w:lang w:val="hy-AM"/>
        </w:rPr>
        <w:t xml:space="preserve"> </w:t>
      </w:r>
      <w:r w:rsidRPr="00762F3F">
        <w:rPr>
          <w:rFonts w:ascii="GHEA Grapalat" w:hAnsi="GHEA Grapalat" w:cs="Sylfaen"/>
          <w:lang w:val="hy-AM"/>
        </w:rPr>
        <w:t>«</w:t>
      </w:r>
      <w:r w:rsidR="006554D1" w:rsidRPr="00762F3F">
        <w:rPr>
          <w:rFonts w:ascii="GHEA Grapalat" w:hAnsi="GHEA Grapalat" w:cs="Sylfaen"/>
          <w:lang w:val="hy-AM"/>
        </w:rPr>
        <w:t>Էներգախնայողության</w:t>
      </w:r>
      <w:r w:rsidR="006554D1" w:rsidRPr="00762F3F">
        <w:rPr>
          <w:rFonts w:ascii="GHEA Grapalat" w:hAnsi="GHEA Grapalat"/>
          <w:lang w:val="hy-AM"/>
        </w:rPr>
        <w:t xml:space="preserve"> </w:t>
      </w:r>
      <w:r w:rsidR="006554D1" w:rsidRPr="00762F3F">
        <w:rPr>
          <w:rFonts w:ascii="GHEA Grapalat" w:hAnsi="GHEA Grapalat" w:cs="Sylfaen"/>
          <w:lang w:val="hy-AM"/>
        </w:rPr>
        <w:t>և</w:t>
      </w:r>
      <w:r w:rsidR="006554D1" w:rsidRPr="00762F3F">
        <w:rPr>
          <w:rFonts w:ascii="GHEA Grapalat" w:hAnsi="GHEA Grapalat"/>
          <w:lang w:val="hy-AM"/>
        </w:rPr>
        <w:t xml:space="preserve"> </w:t>
      </w:r>
      <w:r w:rsidR="006554D1" w:rsidRPr="00762F3F">
        <w:rPr>
          <w:rFonts w:ascii="GHEA Grapalat" w:hAnsi="GHEA Grapalat" w:cs="Sylfaen"/>
          <w:lang w:val="hy-AM"/>
        </w:rPr>
        <w:t>վերականգնվող</w:t>
      </w:r>
      <w:r w:rsidR="006554D1" w:rsidRPr="00762F3F">
        <w:rPr>
          <w:rFonts w:ascii="GHEA Grapalat" w:hAnsi="GHEA Grapalat"/>
          <w:lang w:val="hy-AM"/>
        </w:rPr>
        <w:t xml:space="preserve"> </w:t>
      </w:r>
      <w:r w:rsidR="006554D1" w:rsidRPr="00762F3F">
        <w:rPr>
          <w:rFonts w:ascii="GHEA Grapalat" w:hAnsi="GHEA Grapalat" w:cs="Sylfaen"/>
          <w:lang w:val="hy-AM"/>
        </w:rPr>
        <w:t>էներգետիկայի</w:t>
      </w:r>
      <w:r w:rsidR="006554D1" w:rsidRPr="00762F3F">
        <w:rPr>
          <w:rFonts w:ascii="GHEA Grapalat" w:hAnsi="GHEA Grapalat"/>
          <w:lang w:val="hy-AM"/>
        </w:rPr>
        <w:t xml:space="preserve"> 2022-2030 </w:t>
      </w:r>
      <w:r w:rsidR="006554D1" w:rsidRPr="00762F3F">
        <w:rPr>
          <w:rFonts w:ascii="GHEA Grapalat" w:hAnsi="GHEA Grapalat" w:cs="Sylfaen"/>
          <w:lang w:val="hy-AM"/>
        </w:rPr>
        <w:t>թվականների</w:t>
      </w:r>
      <w:r w:rsidR="006554D1" w:rsidRPr="00762F3F">
        <w:rPr>
          <w:rFonts w:ascii="GHEA Grapalat" w:hAnsi="GHEA Grapalat"/>
          <w:lang w:val="hy-AM"/>
        </w:rPr>
        <w:t xml:space="preserve"> </w:t>
      </w:r>
      <w:r w:rsidR="006554D1" w:rsidRPr="00762F3F">
        <w:rPr>
          <w:rFonts w:ascii="GHEA Grapalat" w:hAnsi="GHEA Grapalat" w:cs="Sylfaen"/>
          <w:lang w:val="hy-AM"/>
        </w:rPr>
        <w:t>ծրագրի</w:t>
      </w:r>
      <w:r w:rsidRPr="00762F3F">
        <w:rPr>
          <w:rFonts w:ascii="GHEA Grapalat" w:hAnsi="GHEA Grapalat" w:cs="Sylfaen"/>
          <w:lang w:val="hy-AM"/>
        </w:rPr>
        <w:t>»</w:t>
      </w:r>
      <w:r w:rsidR="006554D1" w:rsidRPr="00762F3F">
        <w:rPr>
          <w:rFonts w:ascii="GHEA Grapalat" w:hAnsi="GHEA Grapalat" w:cs="Sylfaen"/>
          <w:lang w:val="hy-AM"/>
        </w:rPr>
        <w:t xml:space="preserve"> </w:t>
      </w:r>
      <w:r w:rsidR="00E7234B" w:rsidRPr="00762F3F">
        <w:rPr>
          <w:rFonts w:ascii="GHEA Grapalat" w:hAnsi="GHEA Grapalat" w:cs="Sylfaen"/>
          <w:lang w:val="hy-AM"/>
        </w:rPr>
        <w:t>նախաբան</w:t>
      </w:r>
      <w:r w:rsidR="00EB6BF1" w:rsidRPr="00762F3F">
        <w:rPr>
          <w:rFonts w:ascii="GHEA Grapalat" w:hAnsi="GHEA Grapalat" w:cs="Sylfaen"/>
          <w:lang w:val="hy-AM"/>
        </w:rPr>
        <w:t>ի 3-րդ կետում</w:t>
      </w:r>
      <w:r w:rsidR="00E7234B" w:rsidRPr="00762F3F">
        <w:rPr>
          <w:rFonts w:ascii="GHEA Grapalat" w:hAnsi="GHEA Grapalat" w:cs="Sylfaen"/>
          <w:lang w:val="hy-AM"/>
        </w:rPr>
        <w:t xml:space="preserve"> նշվում է, որ </w:t>
      </w:r>
      <w:r w:rsidR="006554D1" w:rsidRPr="00762F3F">
        <w:rPr>
          <w:rFonts w:ascii="GHEA Grapalat" w:hAnsi="GHEA Grapalat" w:cs="Sylfaen"/>
          <w:lang w:val="hy-AM"/>
        </w:rPr>
        <w:t>«</w:t>
      </w:r>
      <w:r w:rsidR="00E7234B" w:rsidRPr="00762F3F">
        <w:rPr>
          <w:rFonts w:ascii="GHEA Grapalat" w:hAnsi="GHEA Grapalat" w:cs="Sylfaen"/>
          <w:lang w:val="hy-AM"/>
        </w:rPr>
        <w:t xml:space="preserve">Ծրագիրն իրականացվելու է երեք փուլով՝ 1) 2022-2024 թթ., 2) 2025-2027 թթ. և 3) 2028-2030 թթ.՝ ըստ </w:t>
      </w:r>
      <w:r w:rsidR="00EB6BF1" w:rsidRPr="00762F3F">
        <w:rPr>
          <w:rFonts w:ascii="GHEA Grapalat" w:hAnsi="GHEA Grapalat" w:cs="Sylfaen"/>
          <w:lang w:val="hy-AM"/>
        </w:rPr>
        <w:t>Հայաստանի Հանրապետության</w:t>
      </w:r>
      <w:r w:rsidR="00E7234B" w:rsidRPr="00762F3F">
        <w:rPr>
          <w:rFonts w:ascii="GHEA Grapalat" w:hAnsi="GHEA Grapalat" w:cs="Sylfaen"/>
          <w:lang w:val="hy-AM"/>
        </w:rPr>
        <w:t xml:space="preserve"> կառավարության կողմից հավանության տրվելիք </w:t>
      </w:r>
      <w:r w:rsidR="00EB6BF1" w:rsidRPr="00762F3F">
        <w:rPr>
          <w:rFonts w:ascii="GHEA Grapalat" w:hAnsi="GHEA Grapalat" w:cs="Sylfaen"/>
          <w:lang w:val="hy-AM"/>
        </w:rPr>
        <w:t>«</w:t>
      </w:r>
      <w:r w:rsidR="00E7234B" w:rsidRPr="00762F3F">
        <w:rPr>
          <w:rFonts w:ascii="GHEA Grapalat" w:hAnsi="GHEA Grapalat" w:cs="Sylfaen"/>
          <w:lang w:val="hy-AM"/>
        </w:rPr>
        <w:t>Էներգախնայողության և վերականգնվող էներգետիկայի 2022-2030 թվականների ծրագրի</w:t>
      </w:r>
      <w:r w:rsidR="00EB6BF1" w:rsidRPr="00762F3F">
        <w:rPr>
          <w:rFonts w:ascii="GHEA Grapalat" w:hAnsi="GHEA Grapalat" w:cs="Sylfaen"/>
          <w:lang w:val="hy-AM"/>
        </w:rPr>
        <w:t>»</w:t>
      </w:r>
      <w:r w:rsidR="00E7234B" w:rsidRPr="00762F3F">
        <w:rPr>
          <w:rFonts w:ascii="GHEA Grapalat" w:hAnsi="GHEA Grapalat" w:cs="Sylfaen"/>
          <w:lang w:val="hy-AM"/>
        </w:rPr>
        <w:t xml:space="preserve"> առանձին փուլերի իրագործումն ապահովող ծրագիր-ժամանակացույցերի:</w:t>
      </w:r>
      <w:r w:rsidRPr="00762F3F">
        <w:rPr>
          <w:rFonts w:ascii="GHEA Grapalat" w:hAnsi="GHEA Grapalat" w:cs="Sylfaen"/>
          <w:lang w:val="hy-AM"/>
        </w:rPr>
        <w:t xml:space="preserve"> </w:t>
      </w:r>
    </w:p>
    <w:p w:rsidR="00A81592" w:rsidRPr="00762F3F" w:rsidRDefault="00A5023C" w:rsidP="00F400EB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Միևնույն ժամանակ</w:t>
      </w:r>
      <w:r w:rsidR="00A27E12">
        <w:rPr>
          <w:rFonts w:ascii="GHEA Grapalat" w:hAnsi="GHEA Grapalat" w:cs="Sylfaen"/>
          <w:lang w:val="hy-AM"/>
        </w:rPr>
        <w:t xml:space="preserve"> ո</w:t>
      </w:r>
      <w:r w:rsidR="00B93D1E" w:rsidRPr="00762F3F">
        <w:rPr>
          <w:rFonts w:ascii="GHEA Grapalat" w:hAnsi="GHEA Grapalat" w:cs="Sylfaen"/>
          <w:lang w:val="hy-AM"/>
        </w:rPr>
        <w:t>րոշման հավելված N 2</w:t>
      </w:r>
      <w:r w:rsidR="00FF3C84">
        <w:rPr>
          <w:rFonts w:ascii="GHEA Grapalat" w:hAnsi="GHEA Grapalat" w:cs="Sylfaen"/>
          <w:lang w:val="hy-AM"/>
        </w:rPr>
        <w:t xml:space="preserve">-ով </w:t>
      </w:r>
      <w:r w:rsidR="009271A4">
        <w:rPr>
          <w:rFonts w:ascii="GHEA Grapalat" w:hAnsi="GHEA Grapalat" w:cs="Sylfaen"/>
          <w:lang w:val="hy-AM"/>
        </w:rPr>
        <w:t>ընդունված</w:t>
      </w:r>
      <w:r w:rsidR="00FF3C84">
        <w:rPr>
          <w:rFonts w:ascii="GHEA Grapalat" w:hAnsi="GHEA Grapalat" w:cs="Sylfaen"/>
          <w:lang w:val="hy-AM"/>
        </w:rPr>
        <w:t>՝</w:t>
      </w:r>
      <w:r w:rsidR="00B93D1E" w:rsidRPr="00762F3F">
        <w:rPr>
          <w:rFonts w:ascii="GHEA Grapalat" w:hAnsi="GHEA Grapalat" w:cs="Sylfaen"/>
          <w:lang w:val="hy-AM"/>
        </w:rPr>
        <w:t xml:space="preserve"> </w:t>
      </w:r>
      <w:r w:rsidR="008B282C">
        <w:rPr>
          <w:rFonts w:ascii="GHEA Grapalat" w:hAnsi="GHEA Grapalat" w:cs="Sylfaen"/>
          <w:lang w:val="hy-AM"/>
        </w:rPr>
        <w:t>«</w:t>
      </w:r>
      <w:r w:rsidR="00B93D1E" w:rsidRPr="00762F3F">
        <w:rPr>
          <w:rFonts w:ascii="GHEA Grapalat" w:hAnsi="GHEA Grapalat" w:cs="Sylfaen"/>
          <w:lang w:val="hy-AM"/>
        </w:rPr>
        <w:t>Էներգախնայողության և վերականգնվող էներգետիկայի 2022-2030 թվականների ծրագրի առաջին փուլի (2022-2024 թվականներ) իրագործումն ապահովող ծրագիր-ժամանակացույցի</w:t>
      </w:r>
      <w:r w:rsidR="008B282C">
        <w:rPr>
          <w:rFonts w:ascii="GHEA Grapalat" w:hAnsi="GHEA Grapalat" w:cs="Sylfaen"/>
          <w:lang w:val="hy-AM"/>
        </w:rPr>
        <w:t>»</w:t>
      </w:r>
      <w:r w:rsidR="00B93D1E" w:rsidRPr="00762F3F">
        <w:rPr>
          <w:rFonts w:ascii="GHEA Grapalat" w:hAnsi="GHEA Grapalat" w:cs="Sylfaen"/>
          <w:lang w:val="hy-AM"/>
        </w:rPr>
        <w:t xml:space="preserve"> 5.1</w:t>
      </w:r>
      <w:r w:rsidR="00FF3C84">
        <w:rPr>
          <w:rFonts w:ascii="GHEA Grapalat" w:hAnsi="GHEA Grapalat" w:cs="Sylfaen"/>
          <w:lang w:val="hy-AM"/>
        </w:rPr>
        <w:t>- համաձայն</w:t>
      </w:r>
      <w:r w:rsidR="00B93D1E" w:rsidRPr="00762F3F">
        <w:rPr>
          <w:rFonts w:ascii="GHEA Grapalat" w:hAnsi="GHEA Grapalat" w:cs="Sylfaen"/>
          <w:lang w:val="hy-AM"/>
        </w:rPr>
        <w:t xml:space="preserve"> պլանավորված է հետևյալ գործողությունը</w:t>
      </w:r>
      <w:r w:rsidR="00FF3C84">
        <w:rPr>
          <w:rFonts w:ascii="GHEA Grapalat" w:hAnsi="GHEA Grapalat" w:cs="Sylfaen"/>
          <w:lang w:val="hy-AM"/>
        </w:rPr>
        <w:t>՝</w:t>
      </w:r>
      <w:r w:rsidR="00B93D1E" w:rsidRPr="00762F3F">
        <w:rPr>
          <w:rFonts w:ascii="GHEA Grapalat" w:hAnsi="GHEA Grapalat" w:cs="Sylfaen"/>
          <w:lang w:val="hy-AM"/>
        </w:rPr>
        <w:t xml:space="preserve"> «5.1 «Էներգախնայողության և վերականգնվող էներգետիկայի 2022-2030 թվականների ծրագրի երկրորդ փուլի (2025-2027 թթ.) իրագործումն ապահովող ծրագիր-ժամանակացույցին հավանություն տալու մասին» ՀՀ կառավարության որոշման նախագծի ներկայացում ՀՀ վարչապետի աշխատակազմ»:</w:t>
      </w:r>
    </w:p>
    <w:p w:rsidR="00A81592" w:rsidRPr="00762F3F" w:rsidRDefault="00DD00AC" w:rsidP="00F400EB">
      <w:pPr>
        <w:jc w:val="both"/>
        <w:rPr>
          <w:rFonts w:ascii="GHEA Grapalat" w:eastAsia="MS Mincho" w:hAnsi="GHEA Grapalat" w:cs="MS Mincho"/>
          <w:lang w:val="hy-AM"/>
        </w:rPr>
      </w:pPr>
      <w:r w:rsidRPr="00F24CFB">
        <w:rPr>
          <w:rFonts w:ascii="GHEA Grapalat" w:hAnsi="GHEA Grapalat"/>
          <w:lang w:val="hy-AM"/>
        </w:rPr>
        <w:t xml:space="preserve">Վերոգրյալը հաշվի առնելով՝ անհրաժեշտություն է առաջացել </w:t>
      </w:r>
      <w:bookmarkStart w:id="0" w:name="_Hlk176287506"/>
      <w:r>
        <w:rPr>
          <w:rFonts w:ascii="GHEA Grapalat" w:hAnsi="GHEA Grapalat"/>
          <w:lang w:val="hy-AM"/>
        </w:rPr>
        <w:t xml:space="preserve"> </w:t>
      </w:r>
      <w:r w:rsidR="006554D1" w:rsidRPr="00762F3F">
        <w:rPr>
          <w:rFonts w:ascii="GHEA Grapalat" w:hAnsi="GHEA Grapalat"/>
          <w:lang w:val="hy-AM"/>
        </w:rPr>
        <w:t>մշակել հաջորդ՝ 2025-2027թթ</w:t>
      </w:r>
      <w:r w:rsidR="006554D1" w:rsidRPr="00762F3F">
        <w:rPr>
          <w:rFonts w:ascii="MS Mincho" w:eastAsia="MS Mincho" w:hAnsi="MS Mincho" w:cs="MS Mincho"/>
          <w:lang w:val="hy-AM"/>
        </w:rPr>
        <w:t>․</w:t>
      </w:r>
      <w:r w:rsidR="006554D1" w:rsidRPr="00762F3F">
        <w:rPr>
          <w:rFonts w:ascii="GHEA Grapalat" w:eastAsia="MS Mincho" w:hAnsi="GHEA Grapalat" w:cs="MS Mincho"/>
          <w:lang w:val="hy-AM"/>
        </w:rPr>
        <w:t xml:space="preserve"> փուլի </w:t>
      </w:r>
      <w:r w:rsidR="006554D1" w:rsidRPr="00762F3F">
        <w:rPr>
          <w:rFonts w:ascii="GHEA Grapalat" w:hAnsi="GHEA Grapalat" w:cs="Sylfaen"/>
          <w:lang w:val="hy-AM"/>
        </w:rPr>
        <w:t>իրագործումն ապահովող ծրագիր-ժամանակացույց</w:t>
      </w:r>
      <w:bookmarkEnd w:id="0"/>
      <w:r w:rsidR="006554D1" w:rsidRPr="00762F3F">
        <w:rPr>
          <w:rFonts w:ascii="GHEA Grapalat" w:hAnsi="GHEA Grapalat" w:cs="Sylfaen"/>
          <w:lang w:val="hy-AM"/>
        </w:rPr>
        <w:t>։</w:t>
      </w:r>
    </w:p>
    <w:p w:rsidR="006869B2" w:rsidRPr="00762F3F" w:rsidRDefault="006869B2" w:rsidP="001148C7">
      <w:pPr>
        <w:pStyle w:val="ListParagraph"/>
        <w:numPr>
          <w:ilvl w:val="0"/>
          <w:numId w:val="3"/>
        </w:numPr>
        <w:rPr>
          <w:rFonts w:ascii="GHEA Grapalat" w:hAnsi="GHEA Grapalat"/>
          <w:lang w:val="hy-AM"/>
        </w:rPr>
      </w:pPr>
      <w:r w:rsidRPr="00762F3F">
        <w:rPr>
          <w:rFonts w:ascii="GHEA Grapalat" w:hAnsi="GHEA Grapalat" w:cs="Sylfaen"/>
          <w:b/>
          <w:bCs/>
          <w:lang w:val="hy-AM"/>
        </w:rPr>
        <w:t>Ընթացիկ</w:t>
      </w:r>
      <w:r w:rsidR="00F400EB">
        <w:rPr>
          <w:rFonts w:ascii="GHEA Grapalat" w:hAnsi="GHEA Grapalat"/>
          <w:lang w:val="hy-AM"/>
        </w:rPr>
        <w:t xml:space="preserve"> </w:t>
      </w:r>
      <w:r w:rsidRPr="00762F3F">
        <w:rPr>
          <w:rFonts w:ascii="GHEA Grapalat" w:hAnsi="GHEA Grapalat" w:cs="Sylfaen"/>
          <w:b/>
          <w:bCs/>
          <w:lang w:val="hy-AM"/>
        </w:rPr>
        <w:t>իրավիճակը</w:t>
      </w:r>
      <w:r w:rsidR="00F400EB">
        <w:rPr>
          <w:rFonts w:ascii="GHEA Grapalat" w:hAnsi="GHEA Grapalat"/>
          <w:lang w:val="hy-AM"/>
        </w:rPr>
        <w:t xml:space="preserve"> </w:t>
      </w:r>
      <w:r w:rsidRPr="00762F3F">
        <w:rPr>
          <w:rFonts w:ascii="GHEA Grapalat" w:hAnsi="GHEA Grapalat" w:cs="Sylfaen"/>
          <w:b/>
          <w:bCs/>
          <w:lang w:val="hy-AM"/>
        </w:rPr>
        <w:t>և</w:t>
      </w:r>
      <w:r w:rsidR="00F400EB">
        <w:rPr>
          <w:rFonts w:ascii="GHEA Grapalat" w:hAnsi="GHEA Grapalat"/>
          <w:lang w:val="hy-AM"/>
        </w:rPr>
        <w:t xml:space="preserve"> </w:t>
      </w:r>
      <w:r w:rsidRPr="00762F3F">
        <w:rPr>
          <w:rFonts w:ascii="GHEA Grapalat" w:hAnsi="GHEA Grapalat" w:cs="Sylfaen"/>
          <w:b/>
          <w:bCs/>
          <w:lang w:val="hy-AM"/>
        </w:rPr>
        <w:t>խնդիրները</w:t>
      </w:r>
    </w:p>
    <w:p w:rsidR="004D0DA1" w:rsidRPr="00762F3F" w:rsidRDefault="008862A3" w:rsidP="00F400EB">
      <w:pPr>
        <w:jc w:val="both"/>
        <w:rPr>
          <w:rFonts w:ascii="GHEA Grapalat" w:hAnsi="GHEA Grapalat" w:cs="Sylfaen"/>
          <w:lang w:val="hy-AM"/>
        </w:rPr>
      </w:pPr>
      <w:r w:rsidRPr="00762F3F">
        <w:rPr>
          <w:rFonts w:ascii="GHEA Grapalat" w:hAnsi="GHEA Grapalat" w:cs="Sylfaen"/>
          <w:lang w:val="hy-AM"/>
        </w:rPr>
        <w:lastRenderedPageBreak/>
        <w:t>24 մարտի 2022 թվականի</w:t>
      </w:r>
      <w:r w:rsidR="00F400EB">
        <w:rPr>
          <w:rFonts w:ascii="GHEA Grapalat" w:hAnsi="GHEA Grapalat" w:cs="Sylfaen"/>
          <w:lang w:val="hy-AM"/>
        </w:rPr>
        <w:t xml:space="preserve"> </w:t>
      </w:r>
      <w:r w:rsidRPr="00762F3F">
        <w:rPr>
          <w:rFonts w:ascii="GHEA Grapalat" w:hAnsi="GHEA Grapalat" w:cs="Sylfaen"/>
          <w:lang w:val="hy-AM"/>
        </w:rPr>
        <w:t>ընդունված «Էներգախնայողության</w:t>
      </w:r>
      <w:r w:rsidRPr="00762F3F">
        <w:rPr>
          <w:rFonts w:ascii="GHEA Grapalat" w:hAnsi="GHEA Grapalat"/>
          <w:lang w:val="hy-AM"/>
        </w:rPr>
        <w:t xml:space="preserve"> </w:t>
      </w:r>
      <w:r w:rsidRPr="00762F3F">
        <w:rPr>
          <w:rFonts w:ascii="GHEA Grapalat" w:hAnsi="GHEA Grapalat" w:cs="Sylfaen"/>
          <w:lang w:val="hy-AM"/>
        </w:rPr>
        <w:t>և</w:t>
      </w:r>
      <w:r w:rsidRPr="00762F3F">
        <w:rPr>
          <w:rFonts w:ascii="GHEA Grapalat" w:hAnsi="GHEA Grapalat"/>
          <w:lang w:val="hy-AM"/>
        </w:rPr>
        <w:t xml:space="preserve"> </w:t>
      </w:r>
      <w:r w:rsidRPr="00762F3F">
        <w:rPr>
          <w:rFonts w:ascii="GHEA Grapalat" w:hAnsi="GHEA Grapalat" w:cs="Sylfaen"/>
          <w:lang w:val="hy-AM"/>
        </w:rPr>
        <w:t>վերականգնվող</w:t>
      </w:r>
      <w:r w:rsidRPr="00762F3F">
        <w:rPr>
          <w:rFonts w:ascii="GHEA Grapalat" w:hAnsi="GHEA Grapalat"/>
          <w:lang w:val="hy-AM"/>
        </w:rPr>
        <w:t xml:space="preserve"> </w:t>
      </w:r>
      <w:r w:rsidRPr="00762F3F">
        <w:rPr>
          <w:rFonts w:ascii="GHEA Grapalat" w:hAnsi="GHEA Grapalat" w:cs="Sylfaen"/>
          <w:lang w:val="hy-AM"/>
        </w:rPr>
        <w:t>էներգետիկայի</w:t>
      </w:r>
      <w:r w:rsidRPr="00762F3F">
        <w:rPr>
          <w:rFonts w:ascii="GHEA Grapalat" w:hAnsi="GHEA Grapalat"/>
          <w:lang w:val="hy-AM"/>
        </w:rPr>
        <w:t xml:space="preserve"> 2022-2030 </w:t>
      </w:r>
      <w:r w:rsidRPr="00762F3F">
        <w:rPr>
          <w:rFonts w:ascii="GHEA Grapalat" w:hAnsi="GHEA Grapalat" w:cs="Sylfaen"/>
          <w:lang w:val="hy-AM"/>
        </w:rPr>
        <w:t>թվականների</w:t>
      </w:r>
      <w:r w:rsidRPr="00762F3F">
        <w:rPr>
          <w:rFonts w:ascii="GHEA Grapalat" w:hAnsi="GHEA Grapalat"/>
          <w:lang w:val="hy-AM"/>
        </w:rPr>
        <w:t xml:space="preserve"> </w:t>
      </w:r>
      <w:r w:rsidRPr="00762F3F">
        <w:rPr>
          <w:rFonts w:ascii="GHEA Grapalat" w:hAnsi="GHEA Grapalat" w:cs="Sylfaen"/>
          <w:lang w:val="hy-AM"/>
        </w:rPr>
        <w:t>ծրագրի» առաջին եռամյա փուլի (2022-2024</w:t>
      </w:r>
      <w:r w:rsidR="00EB6BF1" w:rsidRPr="00762F3F">
        <w:rPr>
          <w:rFonts w:ascii="GHEA Grapalat" w:hAnsi="GHEA Grapalat" w:cs="Sylfaen"/>
          <w:lang w:val="hy-AM"/>
        </w:rPr>
        <w:t xml:space="preserve"> թվականներ</w:t>
      </w:r>
      <w:r w:rsidR="00F400EB">
        <w:rPr>
          <w:rFonts w:ascii="GHEA Grapalat" w:eastAsia="MS Mincho" w:hAnsi="GHEA Grapalat" w:cs="MS Mincho"/>
          <w:lang w:val="hy-AM"/>
        </w:rPr>
        <w:t>)</w:t>
      </w:r>
      <w:r w:rsidRPr="00762F3F">
        <w:rPr>
          <w:rFonts w:ascii="GHEA Grapalat" w:hAnsi="GHEA Grapalat" w:cs="Sylfaen"/>
          <w:lang w:val="hy-AM"/>
        </w:rPr>
        <w:t xml:space="preserve"> միջոցառումների զգալի մասը իրականացված է, մասնավորապես՝ </w:t>
      </w:r>
    </w:p>
    <w:tbl>
      <w:tblPr>
        <w:tblW w:w="54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4"/>
        <w:gridCol w:w="6730"/>
        <w:gridCol w:w="3317"/>
      </w:tblGrid>
      <w:tr w:rsidR="004D0DA1" w:rsidRPr="00762F3F" w:rsidTr="009927AD">
        <w:trPr>
          <w:tblHeader/>
        </w:trPr>
        <w:tc>
          <w:tcPr>
            <w:tcW w:w="175" w:type="pct"/>
            <w:shd w:val="clear" w:color="auto" w:fill="D9D9D9" w:themeFill="background1" w:themeFillShade="D9"/>
            <w:noWrap/>
            <w:hideMark/>
          </w:tcPr>
          <w:p w:rsidR="004D0DA1" w:rsidRPr="00762F3F" w:rsidRDefault="004D0DA1" w:rsidP="004D0DA1">
            <w:pPr>
              <w:spacing w:after="0" w:line="240" w:lineRule="auto"/>
              <w:ind w:left="-108" w:right="-108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3232" w:type="pct"/>
            <w:shd w:val="clear" w:color="auto" w:fill="D9D9D9" w:themeFill="background1" w:themeFillShade="D9"/>
          </w:tcPr>
          <w:p w:rsidR="004D0DA1" w:rsidRPr="00762F3F" w:rsidRDefault="004D0DA1" w:rsidP="004D0DA1">
            <w:pPr>
              <w:tabs>
                <w:tab w:val="left" w:pos="1455"/>
              </w:tabs>
              <w:spacing w:after="0" w:line="240" w:lineRule="auto"/>
              <w:ind w:left="-72" w:right="-63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Գործողություն</w:t>
            </w:r>
          </w:p>
        </w:tc>
        <w:tc>
          <w:tcPr>
            <w:tcW w:w="1593" w:type="pct"/>
            <w:shd w:val="clear" w:color="auto" w:fill="D9D9D9" w:themeFill="background1" w:themeFillShade="D9"/>
          </w:tcPr>
          <w:p w:rsidR="004D0DA1" w:rsidRPr="00762F3F" w:rsidRDefault="004D0DA1" w:rsidP="004D0DA1">
            <w:pPr>
              <w:tabs>
                <w:tab w:val="left" w:pos="1455"/>
              </w:tabs>
              <w:spacing w:after="0" w:line="240" w:lineRule="auto"/>
              <w:ind w:left="-72" w:right="-63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Կարգավիճակը 2024թ</w:t>
            </w:r>
            <w:r w:rsidRPr="00762F3F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սեպտեմբերի դրությամբ</w:t>
            </w:r>
          </w:p>
        </w:tc>
      </w:tr>
      <w:tr w:rsidR="00857093" w:rsidRPr="00F400EB" w:rsidTr="00857093">
        <w:tc>
          <w:tcPr>
            <w:tcW w:w="175" w:type="pct"/>
            <w:tcBorders>
              <w:right w:val="single" w:sz="4" w:space="0" w:color="auto"/>
            </w:tcBorders>
            <w:noWrap/>
          </w:tcPr>
          <w:p w:rsidR="00857093" w:rsidRPr="00762F3F" w:rsidRDefault="00857093" w:rsidP="00857093">
            <w:pPr>
              <w:tabs>
                <w:tab w:val="left" w:pos="142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1.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Վերականգնվող էներգետիկ հզորությունների հետագա զարգացում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857093" w:rsidRPr="00762F3F" w:rsidTr="00857093">
        <w:tc>
          <w:tcPr>
            <w:tcW w:w="175" w:type="pct"/>
            <w:noWrap/>
          </w:tcPr>
          <w:p w:rsidR="00857093" w:rsidRPr="00762F3F" w:rsidRDefault="00857093" w:rsidP="00857093">
            <w:pPr>
              <w:tabs>
                <w:tab w:val="left" w:pos="142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1.1</w:t>
            </w:r>
          </w:p>
        </w:tc>
        <w:tc>
          <w:tcPr>
            <w:tcW w:w="3232" w:type="pct"/>
            <w:tcBorders>
              <w:top w:val="single" w:sz="4" w:space="0" w:color="auto"/>
            </w:tcBorders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Էներգիայի կուտակիչ մարտկոցների համակարգերի կառուցապատման բիզնես մոդելների հայեցակարգի մշակում</w:t>
            </w:r>
          </w:p>
        </w:tc>
        <w:tc>
          <w:tcPr>
            <w:tcW w:w="1593" w:type="pct"/>
            <w:tcBorders>
              <w:top w:val="single" w:sz="4" w:space="0" w:color="auto"/>
            </w:tcBorders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Ավարտված</w:t>
            </w:r>
          </w:p>
        </w:tc>
      </w:tr>
      <w:tr w:rsidR="00857093" w:rsidRPr="00762F3F" w:rsidTr="009927AD">
        <w:tc>
          <w:tcPr>
            <w:tcW w:w="175" w:type="pct"/>
            <w:noWrap/>
          </w:tcPr>
          <w:p w:rsidR="00857093" w:rsidRPr="00762F3F" w:rsidRDefault="00857093" w:rsidP="00857093">
            <w:pPr>
              <w:tabs>
                <w:tab w:val="left" w:pos="142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1.2</w:t>
            </w:r>
          </w:p>
        </w:tc>
        <w:tc>
          <w:tcPr>
            <w:tcW w:w="3232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Էներգիայի կուտակիչ մարտկոցների համակարգերի պարագայում կիրառվող սակագնային քաղաքականության ուսումնասիրություն</w:t>
            </w:r>
          </w:p>
        </w:tc>
        <w:tc>
          <w:tcPr>
            <w:tcW w:w="1593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Ավարտված</w:t>
            </w:r>
          </w:p>
        </w:tc>
      </w:tr>
      <w:tr w:rsidR="00857093" w:rsidRPr="00762F3F" w:rsidTr="009927AD">
        <w:tc>
          <w:tcPr>
            <w:tcW w:w="175" w:type="pct"/>
            <w:noWrap/>
          </w:tcPr>
          <w:p w:rsidR="00857093" w:rsidRPr="00762F3F" w:rsidRDefault="00857093" w:rsidP="00857093">
            <w:pPr>
              <w:tabs>
                <w:tab w:val="left" w:pos="142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1.3</w:t>
            </w:r>
          </w:p>
        </w:tc>
        <w:tc>
          <w:tcPr>
            <w:tcW w:w="3232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Գումարային 500 ՄՎտ հզորությամբ հողմային կայանների կառուցման նպատակով՝ քամու ներուժի ուսումնասիրություն և գնահատում</w:t>
            </w:r>
          </w:p>
        </w:tc>
        <w:tc>
          <w:tcPr>
            <w:tcW w:w="1593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Ընթացքում է</w:t>
            </w:r>
          </w:p>
        </w:tc>
      </w:tr>
      <w:tr w:rsidR="00857093" w:rsidRPr="00F400EB" w:rsidTr="009927AD">
        <w:tc>
          <w:tcPr>
            <w:tcW w:w="175" w:type="pct"/>
            <w:noWrap/>
          </w:tcPr>
          <w:p w:rsidR="00857093" w:rsidRPr="00762F3F" w:rsidRDefault="00857093" w:rsidP="00857093">
            <w:pPr>
              <w:tabs>
                <w:tab w:val="left" w:pos="142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1.4</w:t>
            </w:r>
          </w:p>
        </w:tc>
        <w:tc>
          <w:tcPr>
            <w:tcW w:w="3232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 xml:space="preserve">120 ՄՎտ հզորությամբ արևային ֆոտովոլտային կայանների կառուցման մրցութային փաթեթների նախապատրաստում </w:t>
            </w:r>
          </w:p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3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Չեղարկված է էլեկտրաէներգետիկ</w:t>
            </w:r>
            <w:r w:rsidR="001A5D4B">
              <w:rPr>
                <w:rFonts w:ascii="GHEA Grapalat" w:hAnsi="GHEA Grapalat"/>
                <w:sz w:val="20"/>
                <w:szCs w:val="20"/>
                <w:lang w:val="hy-AM"/>
              </w:rPr>
              <w:t>ական</w:t>
            </w: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 xml:space="preserve"> շուկայի ազատականացմամբ պայմանավորված </w:t>
            </w:r>
            <w:r w:rsidRPr="00762F3F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(21.12.23 N 2286-Լ)</w:t>
            </w:r>
          </w:p>
        </w:tc>
      </w:tr>
      <w:tr w:rsidR="00857093" w:rsidRPr="00762F3F" w:rsidTr="009927AD">
        <w:tc>
          <w:tcPr>
            <w:tcW w:w="175" w:type="pct"/>
            <w:noWrap/>
          </w:tcPr>
          <w:p w:rsidR="00857093" w:rsidRPr="00762F3F" w:rsidRDefault="00857093" w:rsidP="00857093">
            <w:pPr>
              <w:tabs>
                <w:tab w:val="left" w:pos="142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1.5</w:t>
            </w:r>
          </w:p>
        </w:tc>
        <w:tc>
          <w:tcPr>
            <w:tcW w:w="3232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Ինքնավար արևային կայանների պարագայում կիրառվող կարգավորումների ուսումնասիրություն և վերանայում</w:t>
            </w:r>
          </w:p>
        </w:tc>
        <w:tc>
          <w:tcPr>
            <w:tcW w:w="1593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Ավարտված է</w:t>
            </w:r>
          </w:p>
        </w:tc>
      </w:tr>
      <w:tr w:rsidR="00857093" w:rsidRPr="00762F3F" w:rsidTr="009927AD">
        <w:tc>
          <w:tcPr>
            <w:tcW w:w="175" w:type="pct"/>
            <w:noWrap/>
          </w:tcPr>
          <w:p w:rsidR="00857093" w:rsidRPr="00762F3F" w:rsidRDefault="00857093" w:rsidP="00857093">
            <w:pPr>
              <w:tabs>
                <w:tab w:val="left" w:pos="142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1.6</w:t>
            </w:r>
          </w:p>
        </w:tc>
        <w:tc>
          <w:tcPr>
            <w:tcW w:w="3232" w:type="pct"/>
          </w:tcPr>
          <w:p w:rsidR="00857093" w:rsidRPr="00762F3F" w:rsidRDefault="00857093" w:rsidP="00857093">
            <w:pPr>
              <w:tabs>
                <w:tab w:val="left" w:pos="1455"/>
              </w:tabs>
              <w:spacing w:after="0" w:line="240" w:lineRule="auto"/>
              <w:ind w:left="-72" w:right="-6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Ավելցուկային էլեկտրական Էներգիայի կուտակման համար ջրածնային էներգիայի տեխնոլոգիաների օգտագործման հնարավորության գնահատում</w:t>
            </w:r>
          </w:p>
        </w:tc>
        <w:tc>
          <w:tcPr>
            <w:tcW w:w="1593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Ընթացքում է</w:t>
            </w:r>
          </w:p>
        </w:tc>
      </w:tr>
      <w:tr w:rsidR="00857093" w:rsidRPr="00762F3F" w:rsidTr="009927AD">
        <w:tc>
          <w:tcPr>
            <w:tcW w:w="175" w:type="pct"/>
            <w:noWrap/>
          </w:tcPr>
          <w:p w:rsidR="00857093" w:rsidRPr="00762F3F" w:rsidRDefault="00857093" w:rsidP="00857093">
            <w:pPr>
              <w:tabs>
                <w:tab w:val="left" w:pos="142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2.</w:t>
            </w:r>
          </w:p>
        </w:tc>
        <w:tc>
          <w:tcPr>
            <w:tcW w:w="4825" w:type="pct"/>
            <w:gridSpan w:val="2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Էներգախնայողություն</w:t>
            </w:r>
          </w:p>
        </w:tc>
      </w:tr>
      <w:tr w:rsidR="00857093" w:rsidRPr="00F400EB" w:rsidTr="009927AD">
        <w:tc>
          <w:tcPr>
            <w:tcW w:w="175" w:type="pct"/>
            <w:noWrap/>
          </w:tcPr>
          <w:p w:rsidR="00857093" w:rsidRPr="00762F3F" w:rsidRDefault="00857093" w:rsidP="00857093">
            <w:pPr>
              <w:tabs>
                <w:tab w:val="left" w:pos="142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2.1</w:t>
            </w:r>
          </w:p>
        </w:tc>
        <w:tc>
          <w:tcPr>
            <w:tcW w:w="3232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Տնային տնեսությունների հատվածի, տրանսպորտի և հանրակրթության ոլորտներում էներգասպառման ելակետային տարվա (2022/2024 թ) տվյալների հստակեցման նպատակով ներկայացուցչկան հետազոտությունների իրականացում</w:t>
            </w:r>
          </w:p>
        </w:tc>
        <w:tc>
          <w:tcPr>
            <w:tcW w:w="1593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Մասնակի իրականացված է՝ հանրակրթական դպրոցների մասով </w:t>
            </w:r>
          </w:p>
        </w:tc>
      </w:tr>
      <w:tr w:rsidR="00857093" w:rsidRPr="00F400EB" w:rsidTr="009927AD">
        <w:tc>
          <w:tcPr>
            <w:tcW w:w="175" w:type="pct"/>
            <w:noWrap/>
          </w:tcPr>
          <w:p w:rsidR="00857093" w:rsidRPr="00762F3F" w:rsidRDefault="00857093" w:rsidP="00857093">
            <w:pPr>
              <w:tabs>
                <w:tab w:val="left" w:pos="142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2.2</w:t>
            </w:r>
          </w:p>
        </w:tc>
        <w:tc>
          <w:tcPr>
            <w:tcW w:w="3232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«Կանաչ» պարտատոմսերի թողարկման նպատակով ուսումնասիրության իրականացում</w:t>
            </w:r>
          </w:p>
        </w:tc>
        <w:tc>
          <w:tcPr>
            <w:tcW w:w="1593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 xml:space="preserve">Չեղարկված է ՀՀ Ֆինանսաների նախարարության առաջարկի հիման վրա </w:t>
            </w:r>
            <w:r w:rsidRPr="00762F3F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(21.12.23 N 2286-Լ)</w:t>
            </w:r>
          </w:p>
        </w:tc>
      </w:tr>
      <w:tr w:rsidR="00857093" w:rsidRPr="00762F3F" w:rsidTr="009927AD">
        <w:tc>
          <w:tcPr>
            <w:tcW w:w="175" w:type="pct"/>
            <w:noWrap/>
          </w:tcPr>
          <w:p w:rsidR="00857093" w:rsidRPr="00762F3F" w:rsidRDefault="00857093" w:rsidP="00857093">
            <w:pPr>
              <w:tabs>
                <w:tab w:val="left" w:pos="142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2.3</w:t>
            </w:r>
          </w:p>
        </w:tc>
        <w:tc>
          <w:tcPr>
            <w:tcW w:w="3232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Բազմաբնակարան շենքերի ընդհանուր օգտագործման տարածքների ջերմամեկուսացման միջոցառումների ծրագրի մշակում</w:t>
            </w:r>
          </w:p>
        </w:tc>
        <w:tc>
          <w:tcPr>
            <w:tcW w:w="1593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 xml:space="preserve">Չեղարկված է </w:t>
            </w:r>
            <w:r w:rsidRPr="00762F3F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(21.12.23 N 2286-Լ)</w:t>
            </w:r>
          </w:p>
        </w:tc>
      </w:tr>
      <w:tr w:rsidR="00857093" w:rsidRPr="00762F3F" w:rsidTr="009927AD">
        <w:tc>
          <w:tcPr>
            <w:tcW w:w="175" w:type="pct"/>
            <w:noWrap/>
          </w:tcPr>
          <w:p w:rsidR="00857093" w:rsidRPr="00762F3F" w:rsidRDefault="00857093" w:rsidP="00857093">
            <w:pPr>
              <w:tabs>
                <w:tab w:val="left" w:pos="142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2.4</w:t>
            </w:r>
          </w:p>
        </w:tc>
        <w:tc>
          <w:tcPr>
            <w:tcW w:w="3232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Երևանում հանրային տրանսպորտի նոր երթուղային ցանցի ներդրում</w:t>
            </w:r>
          </w:p>
        </w:tc>
        <w:tc>
          <w:tcPr>
            <w:tcW w:w="1593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Ընթացքի մեջ է</w:t>
            </w:r>
          </w:p>
        </w:tc>
      </w:tr>
      <w:tr w:rsidR="00857093" w:rsidRPr="00F400EB" w:rsidTr="00D22DAB">
        <w:tc>
          <w:tcPr>
            <w:tcW w:w="175" w:type="pct"/>
            <w:noWrap/>
          </w:tcPr>
          <w:p w:rsidR="00857093" w:rsidRPr="00762F3F" w:rsidRDefault="00857093" w:rsidP="00857093">
            <w:pPr>
              <w:tabs>
                <w:tab w:val="left" w:pos="142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2.5</w:t>
            </w:r>
          </w:p>
        </w:tc>
        <w:tc>
          <w:tcPr>
            <w:tcW w:w="3232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Հայաստանում էլեկտրամոբիլների լիցքավորման ցանցի ներդրման և ընդլայնման հայեցակարգի մշակում</w:t>
            </w:r>
          </w:p>
        </w:tc>
        <w:tc>
          <w:tcPr>
            <w:tcW w:w="1593" w:type="pct"/>
            <w:shd w:val="clear" w:color="auto" w:fill="auto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Ընթացքի մեջ է, «ՀՀ-ում էլեկտրական շարժունակության զարգացման ռազմավարությունը հաստատելու մասին» Կառավարության որոշման և «ՀՀ էլեկտրական շարժունակության զարգացման քաղաքականության» նախագծերը մշակվել են, գտնվում են e-draft.am համակարգում</w:t>
            </w:r>
          </w:p>
        </w:tc>
      </w:tr>
      <w:tr w:rsidR="00857093" w:rsidRPr="00762F3F" w:rsidTr="009927AD">
        <w:tc>
          <w:tcPr>
            <w:tcW w:w="175" w:type="pct"/>
            <w:noWrap/>
          </w:tcPr>
          <w:p w:rsidR="00857093" w:rsidRPr="00762F3F" w:rsidRDefault="00857093" w:rsidP="00857093">
            <w:pPr>
              <w:tabs>
                <w:tab w:val="left" w:pos="142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2.6</w:t>
            </w:r>
          </w:p>
        </w:tc>
        <w:tc>
          <w:tcPr>
            <w:tcW w:w="3232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ՀՀ հանրակրթական դպրոցներում էներգախնայողության և էներգարդյունավետության բարձրացման ծրագրի (մինչև 2030 թ</w:t>
            </w:r>
            <w:r w:rsidRPr="00762F3F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) նախագծի մշակում</w:t>
            </w:r>
          </w:p>
        </w:tc>
        <w:tc>
          <w:tcPr>
            <w:tcW w:w="1593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Ընթացքի մեջ է</w:t>
            </w:r>
          </w:p>
        </w:tc>
      </w:tr>
      <w:tr w:rsidR="00857093" w:rsidRPr="00762F3F" w:rsidTr="009927AD">
        <w:tc>
          <w:tcPr>
            <w:tcW w:w="175" w:type="pct"/>
            <w:noWrap/>
          </w:tcPr>
          <w:p w:rsidR="00857093" w:rsidRPr="00762F3F" w:rsidRDefault="00857093" w:rsidP="00857093">
            <w:pPr>
              <w:tabs>
                <w:tab w:val="left" w:pos="142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2.7</w:t>
            </w:r>
          </w:p>
        </w:tc>
        <w:tc>
          <w:tcPr>
            <w:tcW w:w="3232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Հանրային օբյեկտներում էներգախնայողության և էներգաարդյունավետության բարձրացման ծրագիր</w:t>
            </w:r>
          </w:p>
        </w:tc>
        <w:tc>
          <w:tcPr>
            <w:tcW w:w="1593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Ընթացքի մեջ է</w:t>
            </w:r>
          </w:p>
        </w:tc>
      </w:tr>
      <w:tr w:rsidR="00857093" w:rsidRPr="00762F3F" w:rsidTr="009927AD">
        <w:tc>
          <w:tcPr>
            <w:tcW w:w="175" w:type="pct"/>
            <w:noWrap/>
          </w:tcPr>
          <w:p w:rsidR="00857093" w:rsidRPr="00762F3F" w:rsidRDefault="00857093" w:rsidP="00857093">
            <w:pPr>
              <w:tabs>
                <w:tab w:val="left" w:pos="142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2.8</w:t>
            </w:r>
          </w:p>
        </w:tc>
        <w:tc>
          <w:tcPr>
            <w:tcW w:w="3232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Հաղորդակցության ռազմավարության և գործողությունների պլանի մշակում</w:t>
            </w:r>
          </w:p>
        </w:tc>
        <w:tc>
          <w:tcPr>
            <w:tcW w:w="1593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Ավարտված է</w:t>
            </w:r>
          </w:p>
        </w:tc>
      </w:tr>
      <w:tr w:rsidR="00857093" w:rsidRPr="00762F3F" w:rsidTr="009927AD">
        <w:tc>
          <w:tcPr>
            <w:tcW w:w="175" w:type="pct"/>
            <w:noWrap/>
          </w:tcPr>
          <w:p w:rsidR="00857093" w:rsidRPr="00762F3F" w:rsidRDefault="00857093" w:rsidP="00857093">
            <w:pPr>
              <w:tabs>
                <w:tab w:val="left" w:pos="142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3.</w:t>
            </w:r>
          </w:p>
        </w:tc>
        <w:tc>
          <w:tcPr>
            <w:tcW w:w="4825" w:type="pct"/>
            <w:gridSpan w:val="2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Էլեկտրական էներգիայի օգտագործման խթանում</w:t>
            </w:r>
          </w:p>
        </w:tc>
      </w:tr>
      <w:tr w:rsidR="00857093" w:rsidRPr="00F400EB" w:rsidTr="009927AD">
        <w:tc>
          <w:tcPr>
            <w:tcW w:w="175" w:type="pct"/>
            <w:noWrap/>
          </w:tcPr>
          <w:p w:rsidR="00857093" w:rsidRPr="00762F3F" w:rsidRDefault="00857093" w:rsidP="00857093">
            <w:pPr>
              <w:tabs>
                <w:tab w:val="left" w:pos="142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62F3F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232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Էլեկտրական էներգիայով սնվող սարքավորումների օգտագործման ընդլայնմանը միտված մաքսային կարգավորումների փոփոխությունների նախագծի մշակում</w:t>
            </w:r>
          </w:p>
        </w:tc>
        <w:tc>
          <w:tcPr>
            <w:tcW w:w="1593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Ընթացք չի տրվել </w:t>
            </w:r>
            <w:r w:rsidR="00985B9D" w:rsidRPr="00762F3F">
              <w:rPr>
                <w:rFonts w:ascii="GHEA Grapalat" w:hAnsi="GHEA Grapalat"/>
                <w:sz w:val="20"/>
                <w:szCs w:val="20"/>
                <w:lang w:val="hy-AM"/>
              </w:rPr>
              <w:t>ՀՀ ՖՆ</w:t>
            </w: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85B9D" w:rsidRPr="00762F3F">
              <w:rPr>
                <w:rFonts w:ascii="GHEA Grapalat" w:hAnsi="GHEA Grapalat"/>
                <w:sz w:val="20"/>
                <w:szCs w:val="20"/>
                <w:lang w:val="hy-AM"/>
              </w:rPr>
              <w:t>2023թ. մարտի 23-ի h.</w:t>
            </w: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 xml:space="preserve"> 01/2-1/5048-2023 </w:t>
            </w:r>
            <w:r w:rsidR="00985B9D" w:rsidRPr="00762F3F">
              <w:rPr>
                <w:rFonts w:ascii="GHEA Grapalat" w:hAnsi="GHEA Grapalat"/>
                <w:sz w:val="20"/>
                <w:szCs w:val="20"/>
                <w:lang w:val="hy-AM"/>
              </w:rPr>
              <w:t>գրությամբ</w:t>
            </w:r>
          </w:p>
        </w:tc>
      </w:tr>
      <w:tr w:rsidR="00857093" w:rsidRPr="00F400EB" w:rsidTr="009927AD">
        <w:tc>
          <w:tcPr>
            <w:tcW w:w="175" w:type="pct"/>
            <w:noWrap/>
          </w:tcPr>
          <w:p w:rsidR="00857093" w:rsidRPr="00762F3F" w:rsidRDefault="00857093" w:rsidP="00857093">
            <w:pPr>
              <w:tabs>
                <w:tab w:val="left" w:pos="142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62F3F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232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Էլեկտրական էներգիայի վերջնական սպառման ավելացմանը՝ ի հաշիվ բնական գազի վերջնական սպառման նվազեցման, միտված սակագնային կարգավորումների մշակում և ներդրում</w:t>
            </w:r>
          </w:p>
        </w:tc>
        <w:tc>
          <w:tcPr>
            <w:tcW w:w="1593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Առաջարկվել է  չեղարկել </w:t>
            </w:r>
            <w:r w:rsidR="00985B9D" w:rsidRPr="00762F3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</w:t>
            </w: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ՀԾԿՀ  2024թ. հունիսի 5-ի հ.ԳԲ/34.3-Մ2-6/2414-2024 առաջարկով </w:t>
            </w:r>
          </w:p>
        </w:tc>
      </w:tr>
      <w:tr w:rsidR="00857093" w:rsidRPr="00762F3F" w:rsidTr="009927AD">
        <w:tc>
          <w:tcPr>
            <w:tcW w:w="175" w:type="pct"/>
            <w:noWrap/>
          </w:tcPr>
          <w:p w:rsidR="00857093" w:rsidRPr="00762F3F" w:rsidRDefault="00857093" w:rsidP="00857093">
            <w:pPr>
              <w:tabs>
                <w:tab w:val="left" w:pos="142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3.3</w:t>
            </w:r>
          </w:p>
        </w:tc>
        <w:tc>
          <w:tcPr>
            <w:tcW w:w="3232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Էլեկտրական էներգիայով սնուցվող արդիական ջեռուցման համակարգերի ներդրման պետական աջակցության ծրագրի մշակում</w:t>
            </w:r>
          </w:p>
        </w:tc>
        <w:tc>
          <w:tcPr>
            <w:tcW w:w="1593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Ընթացք չի տրվել</w:t>
            </w:r>
          </w:p>
        </w:tc>
      </w:tr>
      <w:tr w:rsidR="00857093" w:rsidRPr="00F400EB" w:rsidTr="009927AD">
        <w:tc>
          <w:tcPr>
            <w:tcW w:w="175" w:type="pct"/>
            <w:noWrap/>
          </w:tcPr>
          <w:p w:rsidR="00857093" w:rsidRPr="00762F3F" w:rsidRDefault="00857093" w:rsidP="00857093">
            <w:pPr>
              <w:tabs>
                <w:tab w:val="left" w:pos="142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4.</w:t>
            </w:r>
          </w:p>
        </w:tc>
        <w:tc>
          <w:tcPr>
            <w:tcW w:w="4825" w:type="pct"/>
            <w:gridSpan w:val="2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Կայուն զարգացման նպատակների շրջանակի հետագա տեղայնացում</w:t>
            </w:r>
          </w:p>
        </w:tc>
      </w:tr>
      <w:tr w:rsidR="00857093" w:rsidRPr="00F400EB" w:rsidTr="009927AD">
        <w:tc>
          <w:tcPr>
            <w:tcW w:w="175" w:type="pct"/>
            <w:noWrap/>
          </w:tcPr>
          <w:p w:rsidR="00857093" w:rsidRPr="00762F3F" w:rsidRDefault="00857093" w:rsidP="00857093">
            <w:pPr>
              <w:tabs>
                <w:tab w:val="left" w:pos="142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4.1</w:t>
            </w:r>
          </w:p>
        </w:tc>
        <w:tc>
          <w:tcPr>
            <w:tcW w:w="3232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Կայուն զարգացման նպատակների շրջականի տեղայնացման (ազգայնացման) ուղղությամբ աշխատանքների իրականացում կայուն զարգացման 7-րդ նպատակի գծով</w:t>
            </w:r>
          </w:p>
        </w:tc>
        <w:tc>
          <w:tcPr>
            <w:tcW w:w="1593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Ընթացքի մեջ է և պարբերական, շարունակելի</w:t>
            </w:r>
          </w:p>
        </w:tc>
      </w:tr>
      <w:tr w:rsidR="00857093" w:rsidRPr="00F400EB" w:rsidTr="009927AD">
        <w:tc>
          <w:tcPr>
            <w:tcW w:w="175" w:type="pct"/>
            <w:noWrap/>
          </w:tcPr>
          <w:p w:rsidR="00857093" w:rsidRPr="00762F3F" w:rsidRDefault="00857093" w:rsidP="00857093">
            <w:pPr>
              <w:tabs>
                <w:tab w:val="left" w:pos="142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5.</w:t>
            </w:r>
          </w:p>
        </w:tc>
        <w:tc>
          <w:tcPr>
            <w:tcW w:w="3232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Էներգախնայողության և վերականգնվող էներգետիկայի 2022-2030 թվականների ծրագրի իրականացման հաջորդ փուլերի պլանավորում</w:t>
            </w:r>
          </w:p>
        </w:tc>
        <w:tc>
          <w:tcPr>
            <w:tcW w:w="1593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857093" w:rsidRPr="00F400EB" w:rsidTr="009927AD">
        <w:tc>
          <w:tcPr>
            <w:tcW w:w="175" w:type="pct"/>
            <w:noWrap/>
          </w:tcPr>
          <w:p w:rsidR="00857093" w:rsidRPr="00762F3F" w:rsidRDefault="00857093" w:rsidP="00857093">
            <w:pPr>
              <w:tabs>
                <w:tab w:val="left" w:pos="142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5.1</w:t>
            </w:r>
          </w:p>
        </w:tc>
        <w:tc>
          <w:tcPr>
            <w:tcW w:w="3232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«Էներգախնայողության և վերականգնվող էներգետիկայի 2022-2030 թվականների ծրագրի երկրորդ փուլի (2025-2027 թթ.) իրագործումն ապահովող ծրագիր-ժամանակացույցին հավանություն տալու մասին» ՀՀ կառավարության որոշման նախագծի ներկայացում ՀՀ վարչապետի աշխատակազմ</w:t>
            </w:r>
          </w:p>
        </w:tc>
        <w:tc>
          <w:tcPr>
            <w:tcW w:w="1593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Իրականացվում է ՀՀ կառավարության հաստատմանը  ներկայացվող ծրագրի նախագծով</w:t>
            </w:r>
          </w:p>
        </w:tc>
      </w:tr>
      <w:tr w:rsidR="00857093" w:rsidRPr="00762F3F" w:rsidTr="009927AD">
        <w:tc>
          <w:tcPr>
            <w:tcW w:w="175" w:type="pct"/>
            <w:noWrap/>
          </w:tcPr>
          <w:p w:rsidR="00857093" w:rsidRPr="00762F3F" w:rsidRDefault="00857093" w:rsidP="00857093">
            <w:pPr>
              <w:tabs>
                <w:tab w:val="left" w:pos="142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5.2</w:t>
            </w:r>
          </w:p>
        </w:tc>
        <w:tc>
          <w:tcPr>
            <w:tcW w:w="3232" w:type="pct"/>
          </w:tcPr>
          <w:p w:rsidR="00857093" w:rsidRPr="00762F3F" w:rsidRDefault="00857093" w:rsidP="00857093">
            <w:pPr>
              <w:tabs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«Էներգախնայողության և վերականգնվող էներգետիկայի 2022-2030 թվականների ծրագրի երրորդ փուլի (2028-2030 թթ.) իրագործումն ապահովող ծրագիր-ժամանակացույցին հավանություն տալու մասին» ՀՀ կառավարության որոշման նախագծի ներկայացում ՀՀ վարչապետի աշխատակազմ</w:t>
            </w:r>
          </w:p>
        </w:tc>
        <w:tc>
          <w:tcPr>
            <w:tcW w:w="1593" w:type="pct"/>
          </w:tcPr>
          <w:p w:rsidR="00857093" w:rsidRPr="00762F3F" w:rsidRDefault="00857093" w:rsidP="00857093">
            <w:pPr>
              <w:tabs>
                <w:tab w:val="left" w:pos="142"/>
                <w:tab w:val="left" w:pos="1455"/>
              </w:tabs>
              <w:spacing w:after="0" w:line="240" w:lineRule="auto"/>
              <w:ind w:left="-72" w:right="-6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2F3F">
              <w:rPr>
                <w:rFonts w:ascii="GHEA Grapalat" w:hAnsi="GHEA Grapalat"/>
                <w:sz w:val="20"/>
                <w:szCs w:val="20"/>
                <w:lang w:val="hy-AM"/>
              </w:rPr>
              <w:t>Չի մեկնարկել</w:t>
            </w:r>
          </w:p>
        </w:tc>
      </w:tr>
    </w:tbl>
    <w:p w:rsidR="004D0DA1" w:rsidRPr="00762F3F" w:rsidRDefault="004D0DA1" w:rsidP="006869B2">
      <w:pPr>
        <w:rPr>
          <w:rFonts w:ascii="GHEA Grapalat" w:hAnsi="GHEA Grapalat" w:cs="Sylfaen"/>
          <w:b/>
          <w:bCs/>
          <w:lang w:val="hy-AM"/>
        </w:rPr>
      </w:pPr>
    </w:p>
    <w:p w:rsidR="006869B2" w:rsidRPr="00762F3F" w:rsidRDefault="006869B2" w:rsidP="001148C7">
      <w:pPr>
        <w:pStyle w:val="ListParagraph"/>
        <w:numPr>
          <w:ilvl w:val="0"/>
          <w:numId w:val="3"/>
        </w:numPr>
        <w:rPr>
          <w:rFonts w:ascii="GHEA Grapalat" w:hAnsi="GHEA Grapalat" w:cs="Sylfaen"/>
          <w:b/>
          <w:bCs/>
          <w:lang w:val="hy-AM"/>
        </w:rPr>
      </w:pPr>
      <w:r w:rsidRPr="00762F3F">
        <w:rPr>
          <w:rFonts w:ascii="GHEA Grapalat" w:hAnsi="GHEA Grapalat" w:cs="Sylfaen"/>
          <w:b/>
          <w:bCs/>
          <w:lang w:val="hy-AM"/>
        </w:rPr>
        <w:t>Կարգավորման</w:t>
      </w:r>
      <w:r w:rsidR="00F400EB">
        <w:rPr>
          <w:rFonts w:ascii="GHEA Grapalat" w:hAnsi="GHEA Grapalat"/>
          <w:lang w:val="hy-AM"/>
        </w:rPr>
        <w:t xml:space="preserve"> </w:t>
      </w:r>
      <w:r w:rsidRPr="00762F3F">
        <w:rPr>
          <w:rFonts w:ascii="GHEA Grapalat" w:hAnsi="GHEA Grapalat" w:cs="Sylfaen"/>
          <w:b/>
          <w:bCs/>
          <w:lang w:val="hy-AM"/>
        </w:rPr>
        <w:t>նպատակը</w:t>
      </w:r>
      <w:r w:rsidR="00F400EB">
        <w:rPr>
          <w:rFonts w:ascii="GHEA Grapalat" w:hAnsi="GHEA Grapalat"/>
          <w:lang w:val="hy-AM"/>
        </w:rPr>
        <w:t xml:space="preserve"> </w:t>
      </w:r>
      <w:r w:rsidRPr="00762F3F">
        <w:rPr>
          <w:rFonts w:ascii="GHEA Grapalat" w:hAnsi="GHEA Grapalat" w:cs="Sylfaen"/>
          <w:b/>
          <w:bCs/>
          <w:lang w:val="hy-AM"/>
        </w:rPr>
        <w:t>և</w:t>
      </w:r>
      <w:r w:rsidR="00F400EB">
        <w:rPr>
          <w:rFonts w:ascii="GHEA Grapalat" w:hAnsi="GHEA Grapalat"/>
          <w:lang w:val="hy-AM"/>
        </w:rPr>
        <w:t xml:space="preserve"> </w:t>
      </w:r>
      <w:r w:rsidRPr="00762F3F">
        <w:rPr>
          <w:rFonts w:ascii="GHEA Grapalat" w:hAnsi="GHEA Grapalat" w:cs="Sylfaen"/>
          <w:b/>
          <w:bCs/>
          <w:lang w:val="hy-AM"/>
        </w:rPr>
        <w:t>բնույթը</w:t>
      </w:r>
    </w:p>
    <w:p w:rsidR="006869B2" w:rsidRPr="00762F3F" w:rsidRDefault="000C0BEB" w:rsidP="00F400EB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Է</w:t>
      </w:r>
      <w:r w:rsidRPr="00762F3F">
        <w:rPr>
          <w:rFonts w:ascii="GHEA Grapalat" w:hAnsi="GHEA Grapalat" w:cs="Sylfaen"/>
          <w:lang w:val="hy-AM"/>
        </w:rPr>
        <w:t>ներգախնայողության</w:t>
      </w:r>
      <w:r w:rsidRPr="00762F3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և </w:t>
      </w:r>
      <w:r>
        <w:rPr>
          <w:rFonts w:ascii="GHEA Grapalat" w:hAnsi="GHEA Grapalat" w:cs="Sylfaen"/>
          <w:lang w:val="hy-AM"/>
        </w:rPr>
        <w:t>վ</w:t>
      </w:r>
      <w:r w:rsidR="006869B2" w:rsidRPr="00762F3F">
        <w:rPr>
          <w:rFonts w:ascii="GHEA Grapalat" w:hAnsi="GHEA Grapalat" w:cs="Sylfaen"/>
          <w:lang w:val="hy-AM"/>
        </w:rPr>
        <w:t>երականգնվող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էներգետիկայի</w:t>
      </w:r>
      <w:r w:rsidR="006869B2" w:rsidRPr="00762F3F">
        <w:rPr>
          <w:rFonts w:ascii="GHEA Grapalat" w:hAnsi="GHEA Grapalat"/>
          <w:lang w:val="hy-AM"/>
        </w:rPr>
        <w:t xml:space="preserve"> 2022-2030</w:t>
      </w:r>
      <w:r w:rsidR="001148C7" w:rsidRPr="00762F3F">
        <w:rPr>
          <w:rFonts w:ascii="GHEA Grapalat" w:hAnsi="GHEA Grapalat" w:cs="Sylfaen"/>
          <w:lang w:val="hy-AM"/>
        </w:rPr>
        <w:t xml:space="preserve"> թվականների ծ</w:t>
      </w:r>
      <w:r w:rsidR="006869B2" w:rsidRPr="00762F3F">
        <w:rPr>
          <w:rFonts w:ascii="GHEA Grapalat" w:hAnsi="GHEA Grapalat" w:cs="Sylfaen"/>
          <w:lang w:val="hy-AM"/>
        </w:rPr>
        <w:t>րագրի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ընդունմամբ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սահմանվ</w:t>
      </w:r>
      <w:r w:rsidR="004D0DA1" w:rsidRPr="00762F3F">
        <w:rPr>
          <w:rFonts w:ascii="GHEA Grapalat" w:hAnsi="GHEA Grapalat" w:cs="Sylfaen"/>
          <w:lang w:val="hy-AM"/>
        </w:rPr>
        <w:t xml:space="preserve">ել </w:t>
      </w:r>
      <w:r w:rsidR="006869B2" w:rsidRPr="00762F3F">
        <w:rPr>
          <w:rFonts w:ascii="GHEA Grapalat" w:hAnsi="GHEA Grapalat" w:cs="Sylfaen"/>
          <w:lang w:val="hy-AM"/>
        </w:rPr>
        <w:t>և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հաստա</w:t>
      </w:r>
      <w:r w:rsidR="004D0DA1" w:rsidRPr="00762F3F">
        <w:rPr>
          <w:rFonts w:ascii="GHEA Grapalat" w:hAnsi="GHEA Grapalat" w:cs="Sylfaen"/>
          <w:lang w:val="hy-AM"/>
        </w:rPr>
        <w:t xml:space="preserve">տվել </w:t>
      </w:r>
      <w:r w:rsidR="001148C7" w:rsidRPr="00762F3F">
        <w:rPr>
          <w:rFonts w:ascii="GHEA Grapalat" w:hAnsi="GHEA Grapalat" w:cs="Sylfaen"/>
          <w:lang w:val="hy-AM"/>
        </w:rPr>
        <w:t xml:space="preserve">են </w:t>
      </w:r>
      <w:r w:rsidR="006869B2" w:rsidRPr="00762F3F">
        <w:rPr>
          <w:rFonts w:ascii="GHEA Grapalat" w:hAnsi="GHEA Grapalat" w:cs="Sylfaen"/>
          <w:lang w:val="hy-AM"/>
        </w:rPr>
        <w:t>վերականգնվող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էներգետիկայի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և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էներգախնայողության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բնագավառում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ցուցանիշներ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ու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թիրախներ</w:t>
      </w:r>
      <w:r w:rsidR="006869B2" w:rsidRPr="00762F3F">
        <w:rPr>
          <w:rFonts w:ascii="GHEA Grapalat" w:hAnsi="GHEA Grapalat"/>
          <w:lang w:val="hy-AM"/>
        </w:rPr>
        <w:t>:</w:t>
      </w:r>
      <w:r w:rsidR="004D0DA1" w:rsidRPr="00762F3F">
        <w:rPr>
          <w:rFonts w:ascii="GHEA Grapalat" w:hAnsi="GHEA Grapalat"/>
          <w:lang w:val="hy-AM"/>
        </w:rPr>
        <w:t xml:space="preserve"> Դրանց իրականացման համար անհրաժեշտ են կանոնակարգված օրենսդրական բարեփոխումներ, նորարարական լուծումների տեխնիկատնտեսական հիմնավորումներ, իրազեկման և կրթական ծրագրեր, ներդրումային ծրագրերի ուղղորդում, կանոնակարգում, ինչպես նաև գնահատում և հաշվետվողականություն։  </w:t>
      </w:r>
      <w:r w:rsidR="002370FA">
        <w:rPr>
          <w:rFonts w:ascii="GHEA Grapalat" w:hAnsi="GHEA Grapalat"/>
          <w:lang w:val="hy-AM"/>
        </w:rPr>
        <w:t>Նախագ</w:t>
      </w:r>
      <w:r w:rsidR="00AD2559">
        <w:rPr>
          <w:rFonts w:ascii="GHEA Grapalat" w:hAnsi="GHEA Grapalat"/>
          <w:lang w:val="hy-AM"/>
        </w:rPr>
        <w:t xml:space="preserve">ծով առաջարկվող՝ </w:t>
      </w:r>
      <w:r w:rsidR="002428BE">
        <w:rPr>
          <w:rFonts w:ascii="GHEA Grapalat" w:hAnsi="GHEA Grapalat" w:cs="Sylfaen"/>
          <w:lang w:val="hy-AM"/>
        </w:rPr>
        <w:t>Է</w:t>
      </w:r>
      <w:r w:rsidR="002428BE" w:rsidRPr="00762F3F">
        <w:rPr>
          <w:rFonts w:ascii="GHEA Grapalat" w:hAnsi="GHEA Grapalat" w:cs="Sylfaen"/>
          <w:lang w:val="hy-AM"/>
        </w:rPr>
        <w:t>ներգախնայողության</w:t>
      </w:r>
      <w:r w:rsidR="002428BE" w:rsidRPr="00762F3F">
        <w:rPr>
          <w:rFonts w:ascii="GHEA Grapalat" w:hAnsi="GHEA Grapalat"/>
          <w:lang w:val="hy-AM"/>
        </w:rPr>
        <w:t xml:space="preserve"> </w:t>
      </w:r>
      <w:r w:rsidR="002428BE">
        <w:rPr>
          <w:rFonts w:ascii="GHEA Grapalat" w:hAnsi="GHEA Grapalat"/>
          <w:lang w:val="hy-AM"/>
        </w:rPr>
        <w:t xml:space="preserve">և </w:t>
      </w:r>
      <w:r w:rsidR="002428BE">
        <w:rPr>
          <w:rFonts w:ascii="GHEA Grapalat" w:hAnsi="GHEA Grapalat" w:cs="Sylfaen"/>
          <w:lang w:val="hy-AM"/>
        </w:rPr>
        <w:t>վ</w:t>
      </w:r>
      <w:r w:rsidR="004D0DA1" w:rsidRPr="00762F3F">
        <w:rPr>
          <w:rFonts w:ascii="GHEA Grapalat" w:hAnsi="GHEA Grapalat" w:cs="Sylfaen"/>
          <w:lang w:val="hy-AM"/>
        </w:rPr>
        <w:t>երականգնվող</w:t>
      </w:r>
      <w:r w:rsidR="004D0DA1" w:rsidRPr="00762F3F">
        <w:rPr>
          <w:rFonts w:ascii="GHEA Grapalat" w:hAnsi="GHEA Grapalat"/>
          <w:lang w:val="hy-AM"/>
        </w:rPr>
        <w:t xml:space="preserve"> </w:t>
      </w:r>
      <w:r w:rsidR="004D0DA1" w:rsidRPr="00762F3F">
        <w:rPr>
          <w:rFonts w:ascii="GHEA Grapalat" w:hAnsi="GHEA Grapalat" w:cs="Sylfaen"/>
          <w:lang w:val="hy-AM"/>
        </w:rPr>
        <w:t>էներգետիկայի</w:t>
      </w:r>
      <w:r w:rsidR="004D0DA1" w:rsidRPr="00762F3F">
        <w:rPr>
          <w:rFonts w:ascii="GHEA Grapalat" w:hAnsi="GHEA Grapalat"/>
          <w:lang w:val="hy-AM"/>
        </w:rPr>
        <w:t xml:space="preserve"> 2022-2030</w:t>
      </w:r>
      <w:r w:rsidR="001148C7" w:rsidRPr="00762F3F">
        <w:rPr>
          <w:rFonts w:ascii="GHEA Grapalat" w:hAnsi="GHEA Grapalat" w:cs="Sylfaen"/>
          <w:lang w:val="hy-AM"/>
        </w:rPr>
        <w:t xml:space="preserve"> թվականների ծ</w:t>
      </w:r>
      <w:r w:rsidR="004D0DA1" w:rsidRPr="00762F3F">
        <w:rPr>
          <w:rFonts w:ascii="GHEA Grapalat" w:hAnsi="GHEA Grapalat" w:cs="Sylfaen"/>
          <w:lang w:val="hy-AM"/>
        </w:rPr>
        <w:t>րագրի</w:t>
      </w:r>
      <w:r w:rsidR="004D0DA1" w:rsidRPr="00762F3F">
        <w:rPr>
          <w:rFonts w:ascii="GHEA Grapalat" w:hAnsi="GHEA Grapalat"/>
          <w:lang w:val="hy-AM"/>
        </w:rPr>
        <w:t xml:space="preserve"> </w:t>
      </w:r>
      <w:r w:rsidR="001148C7" w:rsidRPr="00762F3F">
        <w:rPr>
          <w:rFonts w:ascii="GHEA Grapalat" w:hAnsi="GHEA Grapalat"/>
          <w:lang w:val="hy-AM"/>
        </w:rPr>
        <w:t>երկրորդ փուլի</w:t>
      </w:r>
      <w:r w:rsidR="004D0DA1" w:rsidRPr="00762F3F">
        <w:rPr>
          <w:rFonts w:ascii="GHEA Grapalat" w:hAnsi="GHEA Grapalat"/>
          <w:lang w:val="hy-AM"/>
        </w:rPr>
        <w:t xml:space="preserve"> </w:t>
      </w:r>
      <w:r w:rsidR="001148C7" w:rsidRPr="00762F3F">
        <w:rPr>
          <w:rFonts w:ascii="GHEA Grapalat" w:hAnsi="GHEA Grapalat"/>
          <w:lang w:val="hy-AM"/>
        </w:rPr>
        <w:t>(</w:t>
      </w:r>
      <w:r w:rsidR="004D0DA1" w:rsidRPr="00762F3F">
        <w:rPr>
          <w:rFonts w:ascii="GHEA Grapalat" w:hAnsi="GHEA Grapalat"/>
          <w:lang w:val="hy-AM"/>
        </w:rPr>
        <w:t>2025-2027</w:t>
      </w:r>
      <w:r w:rsidR="001148C7" w:rsidRPr="00762F3F">
        <w:rPr>
          <w:rFonts w:ascii="GHEA Grapalat" w:hAnsi="GHEA Grapalat"/>
          <w:lang w:val="hy-AM"/>
        </w:rPr>
        <w:t xml:space="preserve"> </w:t>
      </w:r>
      <w:r w:rsidR="00807D13">
        <w:rPr>
          <w:rFonts w:ascii="GHEA Grapalat" w:hAnsi="GHEA Grapalat"/>
          <w:lang w:val="hy-AM"/>
        </w:rPr>
        <w:t>թթ</w:t>
      </w:r>
      <w:r w:rsidR="00807D13">
        <w:rPr>
          <w:rFonts w:ascii="MS Mincho" w:eastAsia="MS Mincho" w:hAnsi="MS Mincho" w:cs="MS Mincho"/>
          <w:lang w:val="hy-AM"/>
        </w:rPr>
        <w:t>․</w:t>
      </w:r>
      <w:r w:rsidR="001148C7" w:rsidRPr="00762F3F">
        <w:rPr>
          <w:rFonts w:ascii="GHEA Grapalat" w:hAnsi="GHEA Grapalat"/>
          <w:lang w:val="hy-AM"/>
        </w:rPr>
        <w:t>)</w:t>
      </w:r>
      <w:r w:rsidR="004D0DA1" w:rsidRPr="00762F3F">
        <w:rPr>
          <w:rFonts w:ascii="GHEA Grapalat" w:hAnsi="GHEA Grapalat"/>
          <w:lang w:val="hy-AM"/>
        </w:rPr>
        <w:t xml:space="preserve"> իրագործումն ապահովող ծրագիր-ժամանակացույցը ներկայացնում է </w:t>
      </w:r>
      <w:r w:rsidR="5E4A46FD" w:rsidRPr="59E1FFE6">
        <w:rPr>
          <w:rFonts w:ascii="GHEA Grapalat" w:hAnsi="GHEA Grapalat"/>
          <w:lang w:val="hy-AM"/>
        </w:rPr>
        <w:t>Էն</w:t>
      </w:r>
      <w:r w:rsidR="00090BEF">
        <w:rPr>
          <w:rFonts w:ascii="GHEA Grapalat" w:hAnsi="GHEA Grapalat"/>
          <w:lang w:val="hy-AM"/>
        </w:rPr>
        <w:t>ե</w:t>
      </w:r>
      <w:r w:rsidR="5E4A46FD" w:rsidRPr="59E1FFE6">
        <w:rPr>
          <w:rFonts w:ascii="GHEA Grapalat" w:hAnsi="GHEA Grapalat"/>
          <w:lang w:val="hy-AM"/>
        </w:rPr>
        <w:t xml:space="preserve">րգախնայողության, </w:t>
      </w:r>
      <w:r w:rsidR="68D7CD68" w:rsidRPr="75677BE5">
        <w:rPr>
          <w:rFonts w:ascii="GHEA Grapalat" w:hAnsi="GHEA Grapalat"/>
          <w:lang w:val="hy-AM"/>
        </w:rPr>
        <w:t xml:space="preserve">այդ </w:t>
      </w:r>
      <w:r w:rsidR="68D7CD68" w:rsidRPr="2BE0A61A">
        <w:rPr>
          <w:rFonts w:ascii="GHEA Grapalat" w:hAnsi="GHEA Grapalat"/>
          <w:lang w:val="hy-AM"/>
        </w:rPr>
        <w:t xml:space="preserve">թվում՝ </w:t>
      </w:r>
      <w:r w:rsidR="001148C7" w:rsidRPr="2BE0A61A">
        <w:rPr>
          <w:rFonts w:ascii="GHEA Grapalat" w:hAnsi="GHEA Grapalat"/>
          <w:lang w:val="hy-AM"/>
        </w:rPr>
        <w:t>տնային</w:t>
      </w:r>
      <w:r w:rsidR="001148C7" w:rsidRPr="00762F3F">
        <w:rPr>
          <w:rFonts w:ascii="GHEA Grapalat" w:hAnsi="GHEA Grapalat"/>
          <w:lang w:val="hy-AM"/>
        </w:rPr>
        <w:t xml:space="preserve"> տնտեսությունների, </w:t>
      </w:r>
      <w:r w:rsidR="004D0DA1" w:rsidRPr="00762F3F">
        <w:rPr>
          <w:rFonts w:ascii="GHEA Grapalat" w:hAnsi="GHEA Grapalat"/>
          <w:lang w:val="hy-AM"/>
        </w:rPr>
        <w:t>շենքերի, տրանսպորտի, գյուղատնտեսության և արդյունաբերության</w:t>
      </w:r>
      <w:r w:rsidR="0047206D">
        <w:rPr>
          <w:rFonts w:ascii="GHEA Grapalat" w:hAnsi="GHEA Grapalat"/>
          <w:lang w:val="hy-AM"/>
        </w:rPr>
        <w:t xml:space="preserve"> </w:t>
      </w:r>
      <w:r w:rsidR="2284563F" w:rsidRPr="2BE0A61A">
        <w:rPr>
          <w:rFonts w:ascii="GHEA Grapalat" w:hAnsi="GHEA Grapalat"/>
          <w:lang w:val="hy-AM"/>
        </w:rPr>
        <w:t>հատվածների, ՄԱԿ-ի Կայուն զարգացման նպատակների շրջանակի հետագա տեղայնացման բնագավառների</w:t>
      </w:r>
      <w:r w:rsidR="004D0DA1" w:rsidRPr="00762F3F">
        <w:rPr>
          <w:rFonts w:ascii="GHEA Grapalat" w:hAnsi="GHEA Grapalat"/>
          <w:lang w:val="hy-AM"/>
        </w:rPr>
        <w:t xml:space="preserve">  միջոցառումների ցանկ, ներառյալ ակնկալվող արդյունքներն ու ազդեցությունները, իրականացման ժամկետները, կատարող և համակատարող կառույցները և անհրաժեշտ ֆինանսական միջոցների նախնական կարիքը։</w:t>
      </w:r>
    </w:p>
    <w:p w:rsidR="006869B2" w:rsidRPr="00762F3F" w:rsidRDefault="006869B2" w:rsidP="00F400EB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lang w:val="hy-AM"/>
        </w:rPr>
      </w:pPr>
      <w:r w:rsidRPr="00762F3F">
        <w:rPr>
          <w:rFonts w:ascii="GHEA Grapalat" w:hAnsi="GHEA Grapalat" w:cs="Sylfaen"/>
          <w:b/>
          <w:bCs/>
          <w:lang w:val="hy-AM"/>
        </w:rPr>
        <w:t>Նախագծի</w:t>
      </w:r>
      <w:r w:rsidR="00F400EB">
        <w:rPr>
          <w:rFonts w:ascii="GHEA Grapalat" w:hAnsi="GHEA Grapalat"/>
          <w:lang w:val="hy-AM"/>
        </w:rPr>
        <w:t xml:space="preserve"> </w:t>
      </w:r>
      <w:r w:rsidRPr="00762F3F">
        <w:rPr>
          <w:rFonts w:ascii="GHEA Grapalat" w:hAnsi="GHEA Grapalat" w:cs="Sylfaen"/>
          <w:b/>
          <w:bCs/>
          <w:lang w:val="hy-AM"/>
        </w:rPr>
        <w:t>մշակման</w:t>
      </w:r>
      <w:r w:rsidR="00F400EB">
        <w:rPr>
          <w:rFonts w:ascii="GHEA Grapalat" w:hAnsi="GHEA Grapalat"/>
          <w:lang w:val="hy-AM"/>
        </w:rPr>
        <w:t xml:space="preserve"> </w:t>
      </w:r>
      <w:r w:rsidRPr="00762F3F">
        <w:rPr>
          <w:rFonts w:ascii="GHEA Grapalat" w:hAnsi="GHEA Grapalat" w:cs="Sylfaen"/>
          <w:b/>
          <w:bCs/>
          <w:lang w:val="hy-AM"/>
        </w:rPr>
        <w:t>գործընթացում</w:t>
      </w:r>
      <w:r w:rsidR="00F400EB">
        <w:rPr>
          <w:rFonts w:ascii="GHEA Grapalat" w:hAnsi="GHEA Grapalat"/>
          <w:lang w:val="hy-AM"/>
        </w:rPr>
        <w:t xml:space="preserve"> </w:t>
      </w:r>
      <w:r w:rsidRPr="00762F3F">
        <w:rPr>
          <w:rFonts w:ascii="GHEA Grapalat" w:hAnsi="GHEA Grapalat" w:cs="Sylfaen"/>
          <w:b/>
          <w:bCs/>
          <w:lang w:val="hy-AM"/>
        </w:rPr>
        <w:t>ներգրաված</w:t>
      </w:r>
      <w:r w:rsidR="00F400EB">
        <w:rPr>
          <w:rFonts w:ascii="GHEA Grapalat" w:hAnsi="GHEA Grapalat"/>
          <w:lang w:val="hy-AM"/>
        </w:rPr>
        <w:t xml:space="preserve"> </w:t>
      </w:r>
      <w:r w:rsidRPr="00762F3F">
        <w:rPr>
          <w:rFonts w:ascii="GHEA Grapalat" w:hAnsi="GHEA Grapalat" w:cs="Sylfaen"/>
          <w:b/>
          <w:bCs/>
          <w:lang w:val="hy-AM"/>
        </w:rPr>
        <w:t>ինստիտուտները</w:t>
      </w:r>
      <w:r w:rsidR="00F400EB">
        <w:rPr>
          <w:rFonts w:ascii="GHEA Grapalat" w:hAnsi="GHEA Grapalat" w:cs="Sylfaen"/>
          <w:b/>
          <w:bCs/>
          <w:lang w:val="hy-AM"/>
        </w:rPr>
        <w:t xml:space="preserve"> </w:t>
      </w:r>
      <w:r w:rsidRPr="00762F3F">
        <w:rPr>
          <w:rFonts w:ascii="GHEA Grapalat" w:hAnsi="GHEA Grapalat" w:cs="Sylfaen"/>
          <w:b/>
          <w:bCs/>
          <w:lang w:val="hy-AM"/>
        </w:rPr>
        <w:t>և</w:t>
      </w:r>
      <w:r w:rsidR="00F400EB">
        <w:rPr>
          <w:rFonts w:ascii="GHEA Grapalat" w:hAnsi="GHEA Grapalat" w:cs="Sylfaen"/>
          <w:b/>
          <w:bCs/>
          <w:lang w:val="hy-AM"/>
        </w:rPr>
        <w:t xml:space="preserve"> </w:t>
      </w:r>
      <w:r w:rsidRPr="00762F3F">
        <w:rPr>
          <w:rFonts w:ascii="GHEA Grapalat" w:hAnsi="GHEA Grapalat" w:cs="Sylfaen"/>
          <w:b/>
          <w:bCs/>
          <w:lang w:val="hy-AM"/>
        </w:rPr>
        <w:t>անձինք</w:t>
      </w:r>
    </w:p>
    <w:p w:rsidR="006869B2" w:rsidRPr="00762F3F" w:rsidRDefault="006869B2" w:rsidP="00F400EB">
      <w:pPr>
        <w:jc w:val="both"/>
        <w:rPr>
          <w:rFonts w:ascii="GHEA Grapalat" w:hAnsi="GHEA Grapalat"/>
          <w:lang w:val="hy-AM"/>
        </w:rPr>
      </w:pPr>
      <w:r w:rsidRPr="00762F3F">
        <w:rPr>
          <w:rFonts w:ascii="GHEA Grapalat" w:hAnsi="GHEA Grapalat" w:cs="Sylfaen"/>
          <w:lang w:val="hy-AM"/>
        </w:rPr>
        <w:t>Նախագիծը</w:t>
      </w:r>
      <w:r w:rsidRPr="00762F3F">
        <w:rPr>
          <w:rFonts w:ascii="GHEA Grapalat" w:hAnsi="GHEA Grapalat"/>
          <w:lang w:val="hy-AM"/>
        </w:rPr>
        <w:t xml:space="preserve"> </w:t>
      </w:r>
      <w:r w:rsidRPr="00762F3F">
        <w:rPr>
          <w:rFonts w:ascii="GHEA Grapalat" w:hAnsi="GHEA Grapalat" w:cs="Sylfaen"/>
          <w:lang w:val="hy-AM"/>
        </w:rPr>
        <w:t>մշակվել</w:t>
      </w:r>
      <w:r w:rsidRPr="00762F3F">
        <w:rPr>
          <w:rFonts w:ascii="GHEA Grapalat" w:hAnsi="GHEA Grapalat"/>
          <w:lang w:val="hy-AM"/>
        </w:rPr>
        <w:t xml:space="preserve"> </w:t>
      </w:r>
      <w:r w:rsidRPr="00762F3F">
        <w:rPr>
          <w:rFonts w:ascii="GHEA Grapalat" w:hAnsi="GHEA Grapalat" w:cs="Sylfaen"/>
          <w:lang w:val="hy-AM"/>
        </w:rPr>
        <w:t>է</w:t>
      </w:r>
      <w:r w:rsidRPr="00762F3F">
        <w:rPr>
          <w:rFonts w:ascii="GHEA Grapalat" w:hAnsi="GHEA Grapalat"/>
          <w:lang w:val="hy-AM"/>
        </w:rPr>
        <w:t xml:space="preserve"> </w:t>
      </w:r>
      <w:r w:rsidRPr="00762F3F">
        <w:rPr>
          <w:rFonts w:ascii="GHEA Grapalat" w:hAnsi="GHEA Grapalat" w:cs="Sylfaen"/>
          <w:lang w:val="hy-AM"/>
        </w:rPr>
        <w:t>ՀՀ</w:t>
      </w:r>
      <w:r w:rsidRPr="00762F3F">
        <w:rPr>
          <w:rFonts w:ascii="GHEA Grapalat" w:hAnsi="GHEA Grapalat"/>
          <w:lang w:val="hy-AM"/>
        </w:rPr>
        <w:t xml:space="preserve"> </w:t>
      </w:r>
      <w:r w:rsidRPr="00762F3F">
        <w:rPr>
          <w:rFonts w:ascii="GHEA Grapalat" w:hAnsi="GHEA Grapalat" w:cs="Sylfaen"/>
          <w:lang w:val="hy-AM"/>
        </w:rPr>
        <w:t>տարածքային</w:t>
      </w:r>
      <w:r w:rsidRPr="00762F3F">
        <w:rPr>
          <w:rFonts w:ascii="GHEA Grapalat" w:hAnsi="GHEA Grapalat"/>
          <w:lang w:val="hy-AM"/>
        </w:rPr>
        <w:t xml:space="preserve"> </w:t>
      </w:r>
      <w:r w:rsidRPr="00762F3F">
        <w:rPr>
          <w:rFonts w:ascii="GHEA Grapalat" w:hAnsi="GHEA Grapalat" w:cs="Sylfaen"/>
          <w:lang w:val="hy-AM"/>
        </w:rPr>
        <w:t>կառավարման</w:t>
      </w:r>
      <w:r w:rsidRPr="00762F3F">
        <w:rPr>
          <w:rFonts w:ascii="GHEA Grapalat" w:hAnsi="GHEA Grapalat"/>
          <w:lang w:val="hy-AM"/>
        </w:rPr>
        <w:t xml:space="preserve"> </w:t>
      </w:r>
      <w:r w:rsidRPr="00762F3F">
        <w:rPr>
          <w:rFonts w:ascii="GHEA Grapalat" w:hAnsi="GHEA Grapalat" w:cs="Sylfaen"/>
          <w:lang w:val="hy-AM"/>
        </w:rPr>
        <w:t>և</w:t>
      </w:r>
      <w:r w:rsidRPr="00762F3F">
        <w:rPr>
          <w:rFonts w:ascii="GHEA Grapalat" w:hAnsi="GHEA Grapalat"/>
          <w:lang w:val="hy-AM"/>
        </w:rPr>
        <w:t xml:space="preserve"> </w:t>
      </w:r>
      <w:r w:rsidRPr="00762F3F">
        <w:rPr>
          <w:rFonts w:ascii="GHEA Grapalat" w:hAnsi="GHEA Grapalat" w:cs="Sylfaen"/>
          <w:lang w:val="hy-AM"/>
        </w:rPr>
        <w:t>ենթակառուցվածքների</w:t>
      </w:r>
      <w:r w:rsidRPr="00762F3F">
        <w:rPr>
          <w:rFonts w:ascii="GHEA Grapalat" w:hAnsi="GHEA Grapalat"/>
          <w:lang w:val="hy-AM"/>
        </w:rPr>
        <w:t xml:space="preserve"> </w:t>
      </w:r>
      <w:r w:rsidRPr="00762F3F">
        <w:rPr>
          <w:rFonts w:ascii="GHEA Grapalat" w:hAnsi="GHEA Grapalat" w:cs="Sylfaen"/>
          <w:lang w:val="hy-AM"/>
        </w:rPr>
        <w:t>նախարարության</w:t>
      </w:r>
      <w:r w:rsidRPr="00762F3F">
        <w:rPr>
          <w:rFonts w:ascii="GHEA Grapalat" w:hAnsi="GHEA Grapalat"/>
          <w:lang w:val="hy-AM"/>
        </w:rPr>
        <w:t xml:space="preserve"> </w:t>
      </w:r>
      <w:r w:rsidRPr="00762F3F">
        <w:rPr>
          <w:rFonts w:ascii="GHEA Grapalat" w:hAnsi="GHEA Grapalat" w:cs="Sylfaen"/>
          <w:lang w:val="hy-AM"/>
        </w:rPr>
        <w:t>կողմից՝</w:t>
      </w:r>
      <w:r w:rsidRPr="00762F3F">
        <w:rPr>
          <w:rFonts w:ascii="GHEA Grapalat" w:hAnsi="GHEA Grapalat"/>
          <w:lang w:val="hy-AM"/>
        </w:rPr>
        <w:t xml:space="preserve"> </w:t>
      </w:r>
      <w:r w:rsidR="004D0DA1" w:rsidRPr="00762F3F">
        <w:rPr>
          <w:rFonts w:ascii="GHEA Grapalat" w:hAnsi="GHEA Grapalat" w:cs="Sylfaen"/>
          <w:lang w:val="hy-AM"/>
        </w:rPr>
        <w:t>ԱՄՆ ՄԶԳ Հայաստանի Էներգետիկ Անվտանգության ծրագրի աջակցությամբ</w:t>
      </w:r>
      <w:r w:rsidRPr="00762F3F">
        <w:rPr>
          <w:rFonts w:ascii="GHEA Grapalat" w:hAnsi="GHEA Grapalat" w:cs="Sylfaen"/>
          <w:lang w:val="hy-AM"/>
        </w:rPr>
        <w:t>։</w:t>
      </w:r>
    </w:p>
    <w:p w:rsidR="006869B2" w:rsidRPr="00762F3F" w:rsidRDefault="006869B2" w:rsidP="001148C7">
      <w:pPr>
        <w:pStyle w:val="ListParagraph"/>
        <w:numPr>
          <w:ilvl w:val="0"/>
          <w:numId w:val="3"/>
        </w:numPr>
        <w:rPr>
          <w:rFonts w:ascii="GHEA Grapalat" w:hAnsi="GHEA Grapalat"/>
          <w:lang w:val="hy-AM"/>
        </w:rPr>
      </w:pPr>
      <w:r w:rsidRPr="00762F3F">
        <w:rPr>
          <w:rFonts w:ascii="GHEA Grapalat" w:hAnsi="GHEA Grapalat" w:cs="Sylfaen"/>
          <w:b/>
          <w:bCs/>
          <w:lang w:val="hy-AM"/>
        </w:rPr>
        <w:t>Ակնկալվող</w:t>
      </w:r>
      <w:r w:rsidR="00F400EB">
        <w:rPr>
          <w:rFonts w:ascii="GHEA Grapalat" w:hAnsi="GHEA Grapalat" w:cs="Sylfaen"/>
          <w:b/>
          <w:bCs/>
          <w:lang w:val="hy-AM"/>
        </w:rPr>
        <w:t xml:space="preserve"> </w:t>
      </w:r>
      <w:r w:rsidRPr="00762F3F">
        <w:rPr>
          <w:rFonts w:ascii="GHEA Grapalat" w:hAnsi="GHEA Grapalat" w:cs="Sylfaen"/>
          <w:b/>
          <w:bCs/>
          <w:lang w:val="hy-AM"/>
        </w:rPr>
        <w:t>արդյունքները</w:t>
      </w:r>
    </w:p>
    <w:p w:rsidR="006869B2" w:rsidRPr="00762F3F" w:rsidRDefault="006A64EB" w:rsidP="00F400EB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Նախագծի ընդունման </w:t>
      </w:r>
      <w:r w:rsidR="006869B2" w:rsidRPr="00762F3F">
        <w:rPr>
          <w:rFonts w:ascii="GHEA Grapalat" w:hAnsi="GHEA Grapalat" w:cs="Sylfaen"/>
          <w:lang w:val="hy-AM"/>
        </w:rPr>
        <w:t>արդյունքում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կբարելավվեն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տնտեսությունում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էներգախնայողությունն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ու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էներգաարդյունավետությունը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բնորոշող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ցուցանիշները</w:t>
      </w:r>
      <w:r w:rsidR="006869B2" w:rsidRPr="00762F3F">
        <w:rPr>
          <w:rFonts w:ascii="GHEA Grapalat" w:hAnsi="GHEA Grapalat"/>
          <w:lang w:val="hy-AM"/>
        </w:rPr>
        <w:t xml:space="preserve">, </w:t>
      </w:r>
      <w:r w:rsidR="00C60C44" w:rsidRPr="00762F3F">
        <w:rPr>
          <w:rFonts w:ascii="GHEA Grapalat" w:hAnsi="GHEA Grapalat"/>
          <w:lang w:val="hy-AM"/>
        </w:rPr>
        <w:t xml:space="preserve">կնվազեն շենքերի ջեռուցման և էներգասպառող սարքավորումների տեսակարար էներգատարությունը, գյուղմթերքի և արդյունաբերական արտադրության միավորի էներգատարությունը, ֆինանսական ծախսերի և ջերմոցային գազերի արտանետումները, </w:t>
      </w:r>
      <w:r w:rsidR="006869B2" w:rsidRPr="00762F3F">
        <w:rPr>
          <w:rFonts w:ascii="GHEA Grapalat" w:hAnsi="GHEA Grapalat" w:cs="Sylfaen"/>
          <w:lang w:val="hy-AM"/>
        </w:rPr>
        <w:t>նշանակալիորեն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կընդլայնվի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4D0DA1" w:rsidRPr="00762F3F">
        <w:rPr>
          <w:rFonts w:ascii="GHEA Grapalat" w:hAnsi="GHEA Grapalat"/>
          <w:lang w:val="hy-AM"/>
        </w:rPr>
        <w:t xml:space="preserve">էներգաարդյունավետության հետ ինտեգրված </w:t>
      </w:r>
      <w:r w:rsidR="006869B2" w:rsidRPr="00762F3F">
        <w:rPr>
          <w:rFonts w:ascii="GHEA Grapalat" w:hAnsi="GHEA Grapalat" w:cs="Sylfaen"/>
          <w:lang w:val="hy-AM"/>
        </w:rPr>
        <w:t>վերականգնվող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էներգիայի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աղբյուրների</w:t>
      </w:r>
      <w:r w:rsidR="006869B2" w:rsidRPr="00762F3F">
        <w:rPr>
          <w:rFonts w:ascii="GHEA Grapalat" w:hAnsi="GHEA Grapalat"/>
          <w:lang w:val="hy-AM"/>
        </w:rPr>
        <w:t xml:space="preserve"> (</w:t>
      </w:r>
      <w:r w:rsidR="006869B2" w:rsidRPr="00762F3F">
        <w:rPr>
          <w:rFonts w:ascii="GHEA Grapalat" w:hAnsi="GHEA Grapalat" w:cs="Sylfaen"/>
          <w:lang w:val="hy-AM"/>
        </w:rPr>
        <w:t>մասնավորապես</w:t>
      </w:r>
      <w:r w:rsidR="006869B2" w:rsidRPr="00762F3F">
        <w:rPr>
          <w:rFonts w:ascii="GHEA Grapalat" w:hAnsi="GHEA Grapalat"/>
          <w:lang w:val="hy-AM"/>
        </w:rPr>
        <w:t xml:space="preserve">, </w:t>
      </w:r>
      <w:r w:rsidR="006869B2" w:rsidRPr="00762F3F">
        <w:rPr>
          <w:rFonts w:ascii="GHEA Grapalat" w:hAnsi="GHEA Grapalat" w:cs="Sylfaen"/>
          <w:lang w:val="hy-AM"/>
        </w:rPr>
        <w:t>արևային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էներգիայի</w:t>
      </w:r>
      <w:r w:rsidR="006869B2" w:rsidRPr="00762F3F">
        <w:rPr>
          <w:rFonts w:ascii="GHEA Grapalat" w:hAnsi="GHEA Grapalat"/>
          <w:lang w:val="hy-AM"/>
        </w:rPr>
        <w:t xml:space="preserve">) </w:t>
      </w:r>
      <w:r w:rsidR="006869B2" w:rsidRPr="00762F3F">
        <w:rPr>
          <w:rFonts w:ascii="GHEA Grapalat" w:hAnsi="GHEA Grapalat" w:cs="Sylfaen"/>
          <w:lang w:val="hy-AM"/>
        </w:rPr>
        <w:t>օգտագործմամբ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էլեկտրաէներգիայի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արտադրությունը՝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նպաստելով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էներգետիկ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անկախության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ու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անվտանգության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մակարդակի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բարձրացմանը</w:t>
      </w:r>
      <w:r w:rsidR="006869B2" w:rsidRPr="00762F3F">
        <w:rPr>
          <w:rFonts w:ascii="GHEA Grapalat" w:hAnsi="GHEA Grapalat"/>
          <w:lang w:val="hy-AM"/>
        </w:rPr>
        <w:t xml:space="preserve">, </w:t>
      </w:r>
      <w:r w:rsidR="006869B2" w:rsidRPr="00762F3F">
        <w:rPr>
          <w:rFonts w:ascii="GHEA Grapalat" w:hAnsi="GHEA Grapalat" w:cs="Sylfaen"/>
          <w:lang w:val="hy-AM"/>
        </w:rPr>
        <w:t>կ</w:t>
      </w:r>
      <w:r w:rsidR="000F78E5">
        <w:rPr>
          <w:rFonts w:ascii="GHEA Grapalat" w:hAnsi="GHEA Grapalat" w:cs="Sylfaen"/>
          <w:lang w:val="hy-AM"/>
        </w:rPr>
        <w:t>բ</w:t>
      </w:r>
      <w:r w:rsidR="006869B2" w:rsidRPr="00762F3F">
        <w:rPr>
          <w:rFonts w:ascii="GHEA Grapalat" w:hAnsi="GHEA Grapalat" w:cs="Sylfaen"/>
          <w:lang w:val="hy-AM"/>
        </w:rPr>
        <w:t>արձրանա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Հայաստանի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էներգետիկ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համակարգի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հուսալիությունը։</w:t>
      </w:r>
    </w:p>
    <w:p w:rsidR="006869B2" w:rsidRPr="00762F3F" w:rsidRDefault="006869B2" w:rsidP="00F400EB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lang w:val="hy-AM"/>
        </w:rPr>
      </w:pPr>
      <w:r w:rsidRPr="00762F3F">
        <w:rPr>
          <w:rFonts w:ascii="GHEA Grapalat" w:hAnsi="GHEA Grapalat" w:cs="Sylfaen"/>
          <w:b/>
          <w:bCs/>
          <w:lang w:val="hy-AM"/>
        </w:rPr>
        <w:t>Տեղեկատվություն</w:t>
      </w:r>
      <w:r w:rsidRPr="00762F3F">
        <w:rPr>
          <w:rFonts w:ascii="GHEA Grapalat" w:hAnsi="GHEA Grapalat"/>
          <w:b/>
          <w:bCs/>
          <w:lang w:val="hy-AM"/>
        </w:rPr>
        <w:t xml:space="preserve"> </w:t>
      </w:r>
      <w:r w:rsidRPr="00762F3F">
        <w:rPr>
          <w:rFonts w:ascii="GHEA Grapalat" w:hAnsi="GHEA Grapalat" w:cs="Sylfaen"/>
          <w:b/>
          <w:bCs/>
          <w:lang w:val="hy-AM"/>
        </w:rPr>
        <w:t>լրացուցիչ</w:t>
      </w:r>
      <w:r w:rsidRPr="00762F3F">
        <w:rPr>
          <w:rFonts w:ascii="GHEA Grapalat" w:hAnsi="GHEA Grapalat"/>
          <w:b/>
          <w:bCs/>
          <w:lang w:val="hy-AM"/>
        </w:rPr>
        <w:t xml:space="preserve"> </w:t>
      </w:r>
      <w:r w:rsidRPr="00762F3F">
        <w:rPr>
          <w:rFonts w:ascii="GHEA Grapalat" w:hAnsi="GHEA Grapalat" w:cs="Sylfaen"/>
          <w:b/>
          <w:bCs/>
          <w:lang w:val="hy-AM"/>
        </w:rPr>
        <w:t>ֆինանսական</w:t>
      </w:r>
      <w:r w:rsidRPr="00762F3F">
        <w:rPr>
          <w:rFonts w:ascii="GHEA Grapalat" w:hAnsi="GHEA Grapalat"/>
          <w:b/>
          <w:bCs/>
          <w:lang w:val="hy-AM"/>
        </w:rPr>
        <w:t xml:space="preserve"> </w:t>
      </w:r>
      <w:r w:rsidRPr="00762F3F">
        <w:rPr>
          <w:rFonts w:ascii="GHEA Grapalat" w:hAnsi="GHEA Grapalat" w:cs="Sylfaen"/>
          <w:b/>
          <w:bCs/>
          <w:lang w:val="hy-AM"/>
        </w:rPr>
        <w:t>միջոցների</w:t>
      </w:r>
      <w:r w:rsidRPr="00762F3F">
        <w:rPr>
          <w:rFonts w:ascii="GHEA Grapalat" w:hAnsi="GHEA Grapalat"/>
          <w:b/>
          <w:bCs/>
          <w:lang w:val="hy-AM"/>
        </w:rPr>
        <w:t xml:space="preserve"> </w:t>
      </w:r>
      <w:r w:rsidRPr="00762F3F">
        <w:rPr>
          <w:rFonts w:ascii="GHEA Grapalat" w:hAnsi="GHEA Grapalat" w:cs="Sylfaen"/>
          <w:b/>
          <w:bCs/>
          <w:lang w:val="hy-AM"/>
        </w:rPr>
        <w:t>անհրաժեշտության</w:t>
      </w:r>
      <w:r w:rsidRPr="00762F3F">
        <w:rPr>
          <w:rFonts w:ascii="GHEA Grapalat" w:hAnsi="GHEA Grapalat"/>
          <w:b/>
          <w:bCs/>
          <w:lang w:val="hy-AM"/>
        </w:rPr>
        <w:t xml:space="preserve"> </w:t>
      </w:r>
      <w:r w:rsidRPr="00762F3F">
        <w:rPr>
          <w:rFonts w:ascii="GHEA Grapalat" w:hAnsi="GHEA Grapalat" w:cs="Sylfaen"/>
          <w:b/>
          <w:bCs/>
          <w:lang w:val="hy-AM"/>
        </w:rPr>
        <w:t>և</w:t>
      </w:r>
      <w:r w:rsidRPr="00762F3F">
        <w:rPr>
          <w:rFonts w:ascii="GHEA Grapalat" w:hAnsi="GHEA Grapalat"/>
          <w:b/>
          <w:bCs/>
          <w:lang w:val="hy-AM"/>
        </w:rPr>
        <w:t xml:space="preserve"> </w:t>
      </w:r>
      <w:r w:rsidRPr="00762F3F">
        <w:rPr>
          <w:rFonts w:ascii="GHEA Grapalat" w:hAnsi="GHEA Grapalat" w:cs="Sylfaen"/>
          <w:b/>
          <w:bCs/>
          <w:lang w:val="hy-AM"/>
        </w:rPr>
        <w:t>պետական</w:t>
      </w:r>
      <w:r w:rsidRPr="00762F3F">
        <w:rPr>
          <w:rFonts w:ascii="GHEA Grapalat" w:hAnsi="GHEA Grapalat"/>
          <w:b/>
          <w:bCs/>
          <w:lang w:val="hy-AM"/>
        </w:rPr>
        <w:t xml:space="preserve"> </w:t>
      </w:r>
      <w:r w:rsidRPr="00762F3F">
        <w:rPr>
          <w:rFonts w:ascii="GHEA Grapalat" w:hAnsi="GHEA Grapalat" w:cs="Sylfaen"/>
          <w:b/>
          <w:bCs/>
          <w:lang w:val="hy-AM"/>
        </w:rPr>
        <w:t>բյուջեի</w:t>
      </w:r>
      <w:r w:rsidRPr="00762F3F">
        <w:rPr>
          <w:rFonts w:ascii="GHEA Grapalat" w:hAnsi="GHEA Grapalat"/>
          <w:b/>
          <w:bCs/>
          <w:lang w:val="hy-AM"/>
        </w:rPr>
        <w:t xml:space="preserve"> </w:t>
      </w:r>
      <w:r w:rsidRPr="00762F3F">
        <w:rPr>
          <w:rFonts w:ascii="GHEA Grapalat" w:hAnsi="GHEA Grapalat" w:cs="Sylfaen"/>
          <w:b/>
          <w:bCs/>
          <w:lang w:val="hy-AM"/>
        </w:rPr>
        <w:t>եկամուտներում</w:t>
      </w:r>
      <w:r w:rsidRPr="00762F3F">
        <w:rPr>
          <w:rFonts w:ascii="GHEA Grapalat" w:hAnsi="GHEA Grapalat"/>
          <w:b/>
          <w:bCs/>
          <w:lang w:val="hy-AM"/>
        </w:rPr>
        <w:t xml:space="preserve"> </w:t>
      </w:r>
      <w:r w:rsidRPr="00762F3F">
        <w:rPr>
          <w:rFonts w:ascii="GHEA Grapalat" w:hAnsi="GHEA Grapalat" w:cs="Sylfaen"/>
          <w:b/>
          <w:bCs/>
          <w:lang w:val="hy-AM"/>
        </w:rPr>
        <w:t>և</w:t>
      </w:r>
      <w:r w:rsidRPr="00762F3F">
        <w:rPr>
          <w:rFonts w:ascii="GHEA Grapalat" w:hAnsi="GHEA Grapalat"/>
          <w:b/>
          <w:bCs/>
          <w:lang w:val="hy-AM"/>
        </w:rPr>
        <w:t xml:space="preserve"> </w:t>
      </w:r>
      <w:r w:rsidRPr="00762F3F">
        <w:rPr>
          <w:rFonts w:ascii="GHEA Grapalat" w:hAnsi="GHEA Grapalat" w:cs="Sylfaen"/>
          <w:b/>
          <w:bCs/>
          <w:lang w:val="hy-AM"/>
        </w:rPr>
        <w:t>ծախսերում</w:t>
      </w:r>
      <w:r w:rsidRPr="00762F3F">
        <w:rPr>
          <w:rFonts w:ascii="GHEA Grapalat" w:hAnsi="GHEA Grapalat"/>
          <w:b/>
          <w:bCs/>
          <w:lang w:val="hy-AM"/>
        </w:rPr>
        <w:t xml:space="preserve"> </w:t>
      </w:r>
      <w:r w:rsidRPr="00762F3F">
        <w:rPr>
          <w:rFonts w:ascii="GHEA Grapalat" w:hAnsi="GHEA Grapalat" w:cs="Sylfaen"/>
          <w:b/>
          <w:bCs/>
          <w:lang w:val="hy-AM"/>
        </w:rPr>
        <w:t>սպասվելիք</w:t>
      </w:r>
      <w:r w:rsidRPr="00762F3F">
        <w:rPr>
          <w:rFonts w:ascii="GHEA Grapalat" w:hAnsi="GHEA Grapalat"/>
          <w:b/>
          <w:bCs/>
          <w:lang w:val="hy-AM"/>
        </w:rPr>
        <w:t xml:space="preserve"> </w:t>
      </w:r>
      <w:r w:rsidRPr="00762F3F">
        <w:rPr>
          <w:rFonts w:ascii="GHEA Grapalat" w:hAnsi="GHEA Grapalat" w:cs="Sylfaen"/>
          <w:b/>
          <w:bCs/>
          <w:lang w:val="hy-AM"/>
        </w:rPr>
        <w:t>փոփոխությունների</w:t>
      </w:r>
      <w:r w:rsidRPr="00762F3F">
        <w:rPr>
          <w:rFonts w:ascii="GHEA Grapalat" w:hAnsi="GHEA Grapalat"/>
          <w:b/>
          <w:bCs/>
          <w:lang w:val="hy-AM"/>
        </w:rPr>
        <w:t xml:space="preserve"> </w:t>
      </w:r>
      <w:r w:rsidRPr="00762F3F">
        <w:rPr>
          <w:rFonts w:ascii="GHEA Grapalat" w:hAnsi="GHEA Grapalat" w:cs="Sylfaen"/>
          <w:b/>
          <w:bCs/>
          <w:lang w:val="hy-AM"/>
        </w:rPr>
        <w:t>մասին</w:t>
      </w:r>
    </w:p>
    <w:p w:rsidR="006869B2" w:rsidRPr="00762F3F" w:rsidRDefault="001C3BCE" w:rsidP="00F400EB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Ն</w:t>
      </w:r>
      <w:r w:rsidR="006869B2" w:rsidRPr="00762F3F">
        <w:rPr>
          <w:rFonts w:ascii="GHEA Grapalat" w:hAnsi="GHEA Grapalat" w:cs="Sylfaen"/>
          <w:lang w:val="hy-AM"/>
        </w:rPr>
        <w:t>ախագծի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ընդունմամբ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Հայաստանի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Հանրապետության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պետական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բյուջեում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ծախսերի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և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եկամուտների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ավելացում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կամ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նվազեցում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չի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առաջանում</w:t>
      </w:r>
      <w:r w:rsidR="006869B2" w:rsidRPr="00762F3F">
        <w:rPr>
          <w:rFonts w:ascii="GHEA Grapalat" w:hAnsi="GHEA Grapalat"/>
          <w:lang w:val="hy-AM"/>
        </w:rPr>
        <w:t>:</w:t>
      </w:r>
    </w:p>
    <w:p w:rsidR="0027651A" w:rsidRPr="008D59FC" w:rsidRDefault="006869B2" w:rsidP="00F400EB">
      <w:pPr>
        <w:pStyle w:val="ListParagraph"/>
        <w:numPr>
          <w:ilvl w:val="0"/>
          <w:numId w:val="3"/>
        </w:numPr>
        <w:jc w:val="both"/>
        <w:rPr>
          <w:rFonts w:ascii="GHEA Grapalat" w:hAnsi="GHEA Grapalat" w:cs="Sylfaen"/>
          <w:b/>
          <w:bCs/>
          <w:lang w:val="hy-AM"/>
        </w:rPr>
      </w:pPr>
      <w:r w:rsidRPr="008D59FC">
        <w:rPr>
          <w:rFonts w:ascii="GHEA Grapalat" w:hAnsi="GHEA Grapalat" w:cs="Sylfaen"/>
          <w:b/>
          <w:bCs/>
          <w:lang w:val="hy-AM"/>
        </w:rPr>
        <w:t>Կապը</w:t>
      </w:r>
      <w:r w:rsidRPr="008D59FC">
        <w:rPr>
          <w:rFonts w:ascii="GHEA Grapalat" w:hAnsi="GHEA Grapalat"/>
          <w:b/>
          <w:bCs/>
          <w:lang w:val="hy-AM"/>
        </w:rPr>
        <w:t xml:space="preserve"> </w:t>
      </w:r>
      <w:r w:rsidRPr="008D59FC">
        <w:rPr>
          <w:rFonts w:ascii="GHEA Grapalat" w:hAnsi="GHEA Grapalat" w:cs="Sylfaen"/>
          <w:b/>
          <w:bCs/>
          <w:lang w:val="hy-AM"/>
        </w:rPr>
        <w:t>ռազմավարական</w:t>
      </w:r>
      <w:r w:rsidRPr="008D59FC">
        <w:rPr>
          <w:rFonts w:ascii="GHEA Grapalat" w:hAnsi="GHEA Grapalat"/>
          <w:b/>
          <w:bCs/>
          <w:lang w:val="hy-AM"/>
        </w:rPr>
        <w:t xml:space="preserve"> </w:t>
      </w:r>
      <w:r w:rsidRPr="008D59FC">
        <w:rPr>
          <w:rFonts w:ascii="GHEA Grapalat" w:hAnsi="GHEA Grapalat" w:cs="Sylfaen"/>
          <w:b/>
          <w:bCs/>
          <w:lang w:val="hy-AM"/>
        </w:rPr>
        <w:t>փաստաթղթերի</w:t>
      </w:r>
      <w:r w:rsidRPr="008D59FC">
        <w:rPr>
          <w:rFonts w:ascii="GHEA Grapalat" w:hAnsi="GHEA Grapalat"/>
          <w:b/>
          <w:bCs/>
          <w:lang w:val="hy-AM"/>
        </w:rPr>
        <w:t xml:space="preserve"> </w:t>
      </w:r>
      <w:r w:rsidRPr="008D59FC">
        <w:rPr>
          <w:rFonts w:ascii="GHEA Grapalat" w:hAnsi="GHEA Grapalat" w:cs="Sylfaen"/>
          <w:b/>
          <w:bCs/>
          <w:lang w:val="hy-AM"/>
        </w:rPr>
        <w:t>հետ</w:t>
      </w:r>
    </w:p>
    <w:p w:rsidR="006869B2" w:rsidRPr="00762F3F" w:rsidRDefault="00F46D9D" w:rsidP="00F400EB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Ն</w:t>
      </w:r>
      <w:r w:rsidR="006869B2" w:rsidRPr="00762F3F">
        <w:rPr>
          <w:rFonts w:ascii="GHEA Grapalat" w:hAnsi="GHEA Grapalat" w:cs="Sylfaen"/>
          <w:lang w:val="hy-AM"/>
        </w:rPr>
        <w:t>ախագիծը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բխում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է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Հայաստանի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Հանրապետության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կառավարության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C60C44" w:rsidRPr="00762F3F">
        <w:rPr>
          <w:rFonts w:ascii="GHEA Grapalat" w:hAnsi="GHEA Grapalat" w:cs="Sylfaen"/>
          <w:lang w:val="hy-AM"/>
        </w:rPr>
        <w:t>2022 թվականի</w:t>
      </w:r>
      <w:r w:rsidR="00F400EB">
        <w:rPr>
          <w:rFonts w:ascii="GHEA Grapalat" w:hAnsi="GHEA Grapalat" w:cs="Sylfaen"/>
          <w:lang w:val="hy-AM"/>
        </w:rPr>
        <w:t xml:space="preserve"> </w:t>
      </w:r>
      <w:r w:rsidR="00C60C44" w:rsidRPr="00762F3F">
        <w:rPr>
          <w:rFonts w:ascii="GHEA Grapalat" w:hAnsi="GHEA Grapalat" w:cs="Sylfaen"/>
          <w:lang w:val="hy-AM"/>
        </w:rPr>
        <w:t xml:space="preserve">մարտի 24-ին N 398-Լ որոշման 1-ին կետով </w:t>
      </w:r>
      <w:r w:rsidR="00AE7C01" w:rsidRPr="00762F3F">
        <w:rPr>
          <w:rFonts w:ascii="GHEA Grapalat" w:hAnsi="GHEA Grapalat" w:cs="Sylfaen"/>
          <w:lang w:val="hy-AM"/>
        </w:rPr>
        <w:t>հավանության</w:t>
      </w:r>
      <w:r w:rsidR="00AE7C01" w:rsidRPr="00762F3F">
        <w:rPr>
          <w:rFonts w:ascii="GHEA Grapalat" w:hAnsi="GHEA Grapalat"/>
          <w:lang w:val="hy-AM"/>
        </w:rPr>
        <w:t xml:space="preserve"> </w:t>
      </w:r>
      <w:r w:rsidR="00AE7C01" w:rsidRPr="00762F3F">
        <w:rPr>
          <w:rFonts w:ascii="GHEA Grapalat" w:hAnsi="GHEA Grapalat" w:cs="Sylfaen"/>
          <w:lang w:val="hy-AM"/>
        </w:rPr>
        <w:t>արժանացած</w:t>
      </w:r>
      <w:r w:rsidR="00AE7C01" w:rsidRPr="00762F3F">
        <w:rPr>
          <w:rFonts w:ascii="GHEA Grapalat" w:hAnsi="GHEA Grapalat"/>
          <w:lang w:val="hy-AM"/>
        </w:rPr>
        <w:t xml:space="preserve"> </w:t>
      </w:r>
      <w:r w:rsidR="00C60C44" w:rsidRPr="00762F3F">
        <w:rPr>
          <w:rFonts w:ascii="GHEA Grapalat" w:hAnsi="GHEA Grapalat" w:cs="Sylfaen"/>
          <w:lang w:val="hy-AM"/>
        </w:rPr>
        <w:t>«Էներգախնայողության</w:t>
      </w:r>
      <w:r w:rsidR="00C60C44" w:rsidRPr="00762F3F">
        <w:rPr>
          <w:rFonts w:ascii="GHEA Grapalat" w:hAnsi="GHEA Grapalat"/>
          <w:lang w:val="hy-AM"/>
        </w:rPr>
        <w:t xml:space="preserve"> </w:t>
      </w:r>
      <w:r w:rsidR="00C60C44" w:rsidRPr="00762F3F">
        <w:rPr>
          <w:rFonts w:ascii="GHEA Grapalat" w:hAnsi="GHEA Grapalat" w:cs="Sylfaen"/>
          <w:lang w:val="hy-AM"/>
        </w:rPr>
        <w:t>և</w:t>
      </w:r>
      <w:r w:rsidR="00C60C44" w:rsidRPr="00762F3F">
        <w:rPr>
          <w:rFonts w:ascii="GHEA Grapalat" w:hAnsi="GHEA Grapalat"/>
          <w:lang w:val="hy-AM"/>
        </w:rPr>
        <w:t xml:space="preserve"> </w:t>
      </w:r>
      <w:r w:rsidR="00C60C44" w:rsidRPr="00762F3F">
        <w:rPr>
          <w:rFonts w:ascii="GHEA Grapalat" w:hAnsi="GHEA Grapalat" w:cs="Sylfaen"/>
          <w:lang w:val="hy-AM"/>
        </w:rPr>
        <w:t>վերականգնվող</w:t>
      </w:r>
      <w:r w:rsidR="00C60C44" w:rsidRPr="00762F3F">
        <w:rPr>
          <w:rFonts w:ascii="GHEA Grapalat" w:hAnsi="GHEA Grapalat"/>
          <w:lang w:val="hy-AM"/>
        </w:rPr>
        <w:t xml:space="preserve"> </w:t>
      </w:r>
      <w:r w:rsidR="00C60C44" w:rsidRPr="00762F3F">
        <w:rPr>
          <w:rFonts w:ascii="GHEA Grapalat" w:hAnsi="GHEA Grapalat" w:cs="Sylfaen"/>
          <w:lang w:val="hy-AM"/>
        </w:rPr>
        <w:t>էներգետիկայի</w:t>
      </w:r>
      <w:r w:rsidR="00C60C44" w:rsidRPr="00762F3F">
        <w:rPr>
          <w:rFonts w:ascii="GHEA Grapalat" w:hAnsi="GHEA Grapalat"/>
          <w:lang w:val="hy-AM"/>
        </w:rPr>
        <w:t xml:space="preserve"> 2022-2030 </w:t>
      </w:r>
      <w:r w:rsidR="00C60C44" w:rsidRPr="00762F3F">
        <w:rPr>
          <w:rFonts w:ascii="GHEA Grapalat" w:hAnsi="GHEA Grapalat" w:cs="Sylfaen"/>
          <w:lang w:val="hy-AM"/>
        </w:rPr>
        <w:t>թվականների</w:t>
      </w:r>
      <w:r w:rsidR="00C60C44" w:rsidRPr="00762F3F">
        <w:rPr>
          <w:rFonts w:ascii="GHEA Grapalat" w:hAnsi="GHEA Grapalat"/>
          <w:lang w:val="hy-AM"/>
        </w:rPr>
        <w:t xml:space="preserve"> </w:t>
      </w:r>
      <w:r w:rsidR="00C60C44" w:rsidRPr="00762F3F">
        <w:rPr>
          <w:rFonts w:ascii="GHEA Grapalat" w:hAnsi="GHEA Grapalat" w:cs="Sylfaen"/>
          <w:lang w:val="hy-AM"/>
        </w:rPr>
        <w:t xml:space="preserve">ծրագրի», </w:t>
      </w:r>
      <w:r w:rsidR="006869B2" w:rsidRPr="00762F3F">
        <w:rPr>
          <w:rFonts w:ascii="GHEA Grapalat" w:hAnsi="GHEA Grapalat"/>
          <w:lang w:val="hy-AM"/>
        </w:rPr>
        <w:t xml:space="preserve">2021 </w:t>
      </w:r>
      <w:r w:rsidR="006869B2" w:rsidRPr="00762F3F">
        <w:rPr>
          <w:rFonts w:ascii="GHEA Grapalat" w:hAnsi="GHEA Grapalat" w:cs="Sylfaen"/>
          <w:lang w:val="hy-AM"/>
        </w:rPr>
        <w:t>թվականի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օգոստոսի</w:t>
      </w:r>
      <w:r w:rsidR="006869B2" w:rsidRPr="00762F3F">
        <w:rPr>
          <w:rFonts w:ascii="GHEA Grapalat" w:hAnsi="GHEA Grapalat"/>
          <w:lang w:val="hy-AM"/>
        </w:rPr>
        <w:t xml:space="preserve"> 18–</w:t>
      </w:r>
      <w:r w:rsidR="006869B2" w:rsidRPr="00762F3F">
        <w:rPr>
          <w:rFonts w:ascii="GHEA Grapalat" w:hAnsi="GHEA Grapalat" w:cs="Sylfaen"/>
          <w:lang w:val="hy-AM"/>
        </w:rPr>
        <w:t>ի</w:t>
      </w:r>
      <w:r w:rsidR="006869B2" w:rsidRPr="00762F3F">
        <w:rPr>
          <w:rFonts w:ascii="GHEA Grapalat" w:hAnsi="GHEA Grapalat"/>
          <w:lang w:val="hy-AM"/>
        </w:rPr>
        <w:t xml:space="preserve"> 1363–</w:t>
      </w:r>
      <w:r w:rsidR="006869B2" w:rsidRPr="00762F3F">
        <w:rPr>
          <w:rFonts w:ascii="GHEA Grapalat" w:hAnsi="GHEA Grapalat" w:cs="Sylfaen"/>
          <w:lang w:val="hy-AM"/>
        </w:rPr>
        <w:t>Ա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որոշմամբ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հավանության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արժանացած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Հայաստանի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Հանրապետության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կառավարության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ծրագրի</w:t>
      </w:r>
      <w:r w:rsidR="006869B2" w:rsidRPr="00762F3F">
        <w:rPr>
          <w:rFonts w:ascii="GHEA Grapalat" w:hAnsi="GHEA Grapalat"/>
          <w:lang w:val="hy-AM"/>
        </w:rPr>
        <w:t xml:space="preserve"> (2021-2026</w:t>
      </w:r>
      <w:r w:rsidR="006869B2" w:rsidRPr="00762F3F">
        <w:rPr>
          <w:rFonts w:ascii="GHEA Grapalat" w:hAnsi="GHEA Grapalat" w:cs="Sylfaen"/>
          <w:lang w:val="hy-AM"/>
        </w:rPr>
        <w:t>թթ</w:t>
      </w:r>
      <w:r w:rsidR="006869B2" w:rsidRPr="00762F3F">
        <w:rPr>
          <w:rFonts w:ascii="GHEA Grapalat" w:hAnsi="GHEA Grapalat"/>
          <w:lang w:val="hy-AM"/>
        </w:rPr>
        <w:t xml:space="preserve">) </w:t>
      </w:r>
      <w:r w:rsidR="006869B2" w:rsidRPr="00762F3F">
        <w:rPr>
          <w:rFonts w:ascii="GHEA Grapalat" w:hAnsi="GHEA Grapalat" w:cs="Sylfaen"/>
          <w:lang w:val="hy-AM"/>
        </w:rPr>
        <w:t>և</w:t>
      </w:r>
      <w:r w:rsidR="006869B2" w:rsidRPr="00762F3F">
        <w:rPr>
          <w:rFonts w:ascii="GHEA Grapalat" w:hAnsi="GHEA Grapalat"/>
          <w:lang w:val="hy-AM"/>
        </w:rPr>
        <w:t xml:space="preserve"> «</w:t>
      </w:r>
      <w:r w:rsidR="006869B2" w:rsidRPr="00762F3F">
        <w:rPr>
          <w:rFonts w:ascii="GHEA Grapalat" w:hAnsi="GHEA Grapalat" w:cs="Sylfaen"/>
          <w:lang w:val="hy-AM"/>
        </w:rPr>
        <w:t>Հայաստանի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Հանրապետության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էներգետիկայի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բնագավառի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զարգացման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ռազմավարական</w:t>
      </w:r>
      <w:r w:rsidR="006869B2" w:rsidRPr="00762F3F">
        <w:rPr>
          <w:rFonts w:ascii="GHEA Grapalat" w:hAnsi="GHEA Grapalat"/>
          <w:lang w:val="hy-AM"/>
        </w:rPr>
        <w:t xml:space="preserve"> </w:t>
      </w:r>
      <w:r w:rsidR="006869B2" w:rsidRPr="00762F3F">
        <w:rPr>
          <w:rFonts w:ascii="GHEA Grapalat" w:hAnsi="GHEA Grapalat" w:cs="Sylfaen"/>
          <w:lang w:val="hy-AM"/>
        </w:rPr>
        <w:t>ծրագրի</w:t>
      </w:r>
      <w:r w:rsidR="006869B2" w:rsidRPr="00762F3F">
        <w:rPr>
          <w:rFonts w:ascii="GHEA Grapalat" w:hAnsi="GHEA Grapalat"/>
          <w:lang w:val="hy-AM"/>
        </w:rPr>
        <w:t xml:space="preserve"> (</w:t>
      </w:r>
      <w:r w:rsidR="006869B2" w:rsidRPr="00762F3F">
        <w:rPr>
          <w:rFonts w:ascii="GHEA Grapalat" w:hAnsi="GHEA Grapalat" w:cs="Sylfaen"/>
          <w:lang w:val="hy-AM"/>
        </w:rPr>
        <w:t>մինչև</w:t>
      </w:r>
      <w:r w:rsidR="006869B2" w:rsidRPr="00762F3F">
        <w:rPr>
          <w:rFonts w:ascii="GHEA Grapalat" w:hAnsi="GHEA Grapalat"/>
          <w:lang w:val="hy-AM"/>
        </w:rPr>
        <w:t xml:space="preserve"> 2040 </w:t>
      </w:r>
      <w:r w:rsidR="006869B2" w:rsidRPr="00762F3F">
        <w:rPr>
          <w:rFonts w:ascii="GHEA Grapalat" w:hAnsi="GHEA Grapalat" w:cs="Sylfaen"/>
          <w:lang w:val="hy-AM"/>
        </w:rPr>
        <w:t>թվականը</w:t>
      </w:r>
      <w:r w:rsidR="006869B2" w:rsidRPr="00762F3F">
        <w:rPr>
          <w:rFonts w:ascii="GHEA Grapalat" w:hAnsi="GHEA Grapalat"/>
          <w:lang w:val="hy-AM"/>
        </w:rPr>
        <w:t xml:space="preserve">)» </w:t>
      </w:r>
      <w:r w:rsidR="006869B2" w:rsidRPr="00762F3F">
        <w:rPr>
          <w:rFonts w:ascii="GHEA Grapalat" w:hAnsi="GHEA Grapalat" w:cs="Sylfaen"/>
          <w:lang w:val="hy-AM"/>
        </w:rPr>
        <w:t>դրույթներից</w:t>
      </w:r>
      <w:r w:rsidR="006869B2" w:rsidRPr="00762F3F">
        <w:rPr>
          <w:rFonts w:ascii="GHEA Grapalat" w:hAnsi="GHEA Grapalat"/>
          <w:lang w:val="hy-AM"/>
        </w:rPr>
        <w:t>:</w:t>
      </w:r>
    </w:p>
    <w:p w:rsidR="006869B2" w:rsidRPr="00762F3F" w:rsidRDefault="006869B2" w:rsidP="00F400EB">
      <w:pPr>
        <w:jc w:val="both"/>
        <w:rPr>
          <w:rFonts w:ascii="GHEA Grapalat" w:hAnsi="GHEA Grapalat"/>
          <w:lang w:val="hy-AM"/>
        </w:rPr>
      </w:pPr>
      <w:r w:rsidRPr="00762F3F">
        <w:rPr>
          <w:rFonts w:ascii="GHEA Grapalat" w:hAnsi="GHEA Grapalat"/>
          <w:lang w:val="hy-AM"/>
        </w:rPr>
        <w:t> </w:t>
      </w:r>
    </w:p>
    <w:p w:rsidR="000155DE" w:rsidRPr="00762F3F" w:rsidRDefault="000155DE">
      <w:pPr>
        <w:rPr>
          <w:rFonts w:ascii="GHEA Grapalat" w:hAnsi="GHEA Grapalat" w:cs="Sylfaen"/>
          <w:lang w:val="hy-AM"/>
        </w:rPr>
      </w:pPr>
    </w:p>
    <w:sectPr w:rsidR="000155DE" w:rsidRPr="00762F3F" w:rsidSect="00617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30C19"/>
    <w:multiLevelType w:val="hybridMultilevel"/>
    <w:tmpl w:val="BF745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D7B04"/>
    <w:multiLevelType w:val="hybridMultilevel"/>
    <w:tmpl w:val="E460D56A"/>
    <w:lvl w:ilvl="0" w:tplc="9C26F17C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66057C"/>
    <w:multiLevelType w:val="multilevel"/>
    <w:tmpl w:val="1E06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869B2"/>
    <w:rsid w:val="00000115"/>
    <w:rsid w:val="000155DE"/>
    <w:rsid w:val="0004725A"/>
    <w:rsid w:val="0005488A"/>
    <w:rsid w:val="00071380"/>
    <w:rsid w:val="00090BEF"/>
    <w:rsid w:val="000A3269"/>
    <w:rsid w:val="000B3E73"/>
    <w:rsid w:val="000C0BEB"/>
    <w:rsid w:val="000F78E5"/>
    <w:rsid w:val="00100A80"/>
    <w:rsid w:val="001102CD"/>
    <w:rsid w:val="001148C7"/>
    <w:rsid w:val="00120C6F"/>
    <w:rsid w:val="00133283"/>
    <w:rsid w:val="00136999"/>
    <w:rsid w:val="00136B14"/>
    <w:rsid w:val="00170286"/>
    <w:rsid w:val="001A5D4B"/>
    <w:rsid w:val="001C3BCE"/>
    <w:rsid w:val="001C562F"/>
    <w:rsid w:val="001F7CFA"/>
    <w:rsid w:val="00207B0E"/>
    <w:rsid w:val="002370FA"/>
    <w:rsid w:val="002428BE"/>
    <w:rsid w:val="0027651A"/>
    <w:rsid w:val="002905B2"/>
    <w:rsid w:val="002B1BF7"/>
    <w:rsid w:val="002C3EE2"/>
    <w:rsid w:val="002F0AD5"/>
    <w:rsid w:val="0034763C"/>
    <w:rsid w:val="00390795"/>
    <w:rsid w:val="003D1CC5"/>
    <w:rsid w:val="003D2537"/>
    <w:rsid w:val="00402FF0"/>
    <w:rsid w:val="00417A7D"/>
    <w:rsid w:val="0047206D"/>
    <w:rsid w:val="004835DD"/>
    <w:rsid w:val="004D0DA1"/>
    <w:rsid w:val="004F5D63"/>
    <w:rsid w:val="004F6236"/>
    <w:rsid w:val="00510FAB"/>
    <w:rsid w:val="0051285E"/>
    <w:rsid w:val="0055048E"/>
    <w:rsid w:val="005753BE"/>
    <w:rsid w:val="005B0EEC"/>
    <w:rsid w:val="005B2D76"/>
    <w:rsid w:val="005C3EAD"/>
    <w:rsid w:val="005D3437"/>
    <w:rsid w:val="005E22B0"/>
    <w:rsid w:val="005E7A21"/>
    <w:rsid w:val="005F1957"/>
    <w:rsid w:val="00617DE9"/>
    <w:rsid w:val="00621393"/>
    <w:rsid w:val="006333F5"/>
    <w:rsid w:val="006554D1"/>
    <w:rsid w:val="006869B2"/>
    <w:rsid w:val="00693B07"/>
    <w:rsid w:val="006A64EB"/>
    <w:rsid w:val="006B65FE"/>
    <w:rsid w:val="006C34C4"/>
    <w:rsid w:val="006D71B0"/>
    <w:rsid w:val="007004B5"/>
    <w:rsid w:val="00740079"/>
    <w:rsid w:val="0074698A"/>
    <w:rsid w:val="00762F3F"/>
    <w:rsid w:val="00794B4C"/>
    <w:rsid w:val="007A0ED6"/>
    <w:rsid w:val="007C075E"/>
    <w:rsid w:val="007E0C55"/>
    <w:rsid w:val="00807D13"/>
    <w:rsid w:val="008220A8"/>
    <w:rsid w:val="00831D28"/>
    <w:rsid w:val="00846A06"/>
    <w:rsid w:val="008562BF"/>
    <w:rsid w:val="00857093"/>
    <w:rsid w:val="0086279D"/>
    <w:rsid w:val="00862B80"/>
    <w:rsid w:val="008862A3"/>
    <w:rsid w:val="008A5F64"/>
    <w:rsid w:val="008B282C"/>
    <w:rsid w:val="008C34D4"/>
    <w:rsid w:val="008D59FC"/>
    <w:rsid w:val="008F7F65"/>
    <w:rsid w:val="009133C4"/>
    <w:rsid w:val="009271A4"/>
    <w:rsid w:val="009528DA"/>
    <w:rsid w:val="00963D0D"/>
    <w:rsid w:val="0097355E"/>
    <w:rsid w:val="00977106"/>
    <w:rsid w:val="00985B9D"/>
    <w:rsid w:val="009927AD"/>
    <w:rsid w:val="0099555D"/>
    <w:rsid w:val="009C55C8"/>
    <w:rsid w:val="009C5DC3"/>
    <w:rsid w:val="009D4937"/>
    <w:rsid w:val="009D50B5"/>
    <w:rsid w:val="009F1453"/>
    <w:rsid w:val="009F1A96"/>
    <w:rsid w:val="00A27E12"/>
    <w:rsid w:val="00A472D3"/>
    <w:rsid w:val="00A5023C"/>
    <w:rsid w:val="00A57C2F"/>
    <w:rsid w:val="00A60E5B"/>
    <w:rsid w:val="00A635C9"/>
    <w:rsid w:val="00A64E56"/>
    <w:rsid w:val="00A6564D"/>
    <w:rsid w:val="00A74F43"/>
    <w:rsid w:val="00A81592"/>
    <w:rsid w:val="00AA16AD"/>
    <w:rsid w:val="00AA2329"/>
    <w:rsid w:val="00AC0A2D"/>
    <w:rsid w:val="00AD2559"/>
    <w:rsid w:val="00AE27B8"/>
    <w:rsid w:val="00AE7C01"/>
    <w:rsid w:val="00AF2D3E"/>
    <w:rsid w:val="00B04CA1"/>
    <w:rsid w:val="00B56DF6"/>
    <w:rsid w:val="00B61D5E"/>
    <w:rsid w:val="00B73D15"/>
    <w:rsid w:val="00B93D1E"/>
    <w:rsid w:val="00B97EF8"/>
    <w:rsid w:val="00BA0366"/>
    <w:rsid w:val="00C60C44"/>
    <w:rsid w:val="00C81138"/>
    <w:rsid w:val="00CC351B"/>
    <w:rsid w:val="00CF0C2F"/>
    <w:rsid w:val="00CF5688"/>
    <w:rsid w:val="00D112D6"/>
    <w:rsid w:val="00D11304"/>
    <w:rsid w:val="00D22DAB"/>
    <w:rsid w:val="00D337E4"/>
    <w:rsid w:val="00D42205"/>
    <w:rsid w:val="00D6551B"/>
    <w:rsid w:val="00D912DF"/>
    <w:rsid w:val="00DB7291"/>
    <w:rsid w:val="00DD00AC"/>
    <w:rsid w:val="00DF1A3D"/>
    <w:rsid w:val="00E21258"/>
    <w:rsid w:val="00E26CC6"/>
    <w:rsid w:val="00E40CD7"/>
    <w:rsid w:val="00E57D73"/>
    <w:rsid w:val="00E7234B"/>
    <w:rsid w:val="00EB5CB7"/>
    <w:rsid w:val="00EB6BF1"/>
    <w:rsid w:val="00EB7E60"/>
    <w:rsid w:val="00EE0A54"/>
    <w:rsid w:val="00EE23C9"/>
    <w:rsid w:val="00F139BD"/>
    <w:rsid w:val="00F24CFB"/>
    <w:rsid w:val="00F400EB"/>
    <w:rsid w:val="00F4539F"/>
    <w:rsid w:val="00F46D9D"/>
    <w:rsid w:val="00FB54B0"/>
    <w:rsid w:val="00FC15EC"/>
    <w:rsid w:val="00FC1F16"/>
    <w:rsid w:val="00FE16C7"/>
    <w:rsid w:val="00FF3C84"/>
    <w:rsid w:val="048947AA"/>
    <w:rsid w:val="08FC9A8D"/>
    <w:rsid w:val="0D567F72"/>
    <w:rsid w:val="0E8CAFB9"/>
    <w:rsid w:val="10EE04E7"/>
    <w:rsid w:val="14BFE037"/>
    <w:rsid w:val="15B8782D"/>
    <w:rsid w:val="160584EA"/>
    <w:rsid w:val="162938BF"/>
    <w:rsid w:val="1CF0D63F"/>
    <w:rsid w:val="1EF39301"/>
    <w:rsid w:val="201F9F4B"/>
    <w:rsid w:val="2141D0F1"/>
    <w:rsid w:val="2284563F"/>
    <w:rsid w:val="22EA6152"/>
    <w:rsid w:val="25A9F84A"/>
    <w:rsid w:val="277F92DA"/>
    <w:rsid w:val="2BE0A61A"/>
    <w:rsid w:val="3204CBBF"/>
    <w:rsid w:val="37378344"/>
    <w:rsid w:val="3BCC76C8"/>
    <w:rsid w:val="4057C077"/>
    <w:rsid w:val="497E2225"/>
    <w:rsid w:val="4AC891ED"/>
    <w:rsid w:val="4DB6975E"/>
    <w:rsid w:val="4F39195D"/>
    <w:rsid w:val="537A2DE5"/>
    <w:rsid w:val="5888F52B"/>
    <w:rsid w:val="59E1FFE6"/>
    <w:rsid w:val="5B48FDFA"/>
    <w:rsid w:val="5CCB77C5"/>
    <w:rsid w:val="5E4A46FD"/>
    <w:rsid w:val="6632E587"/>
    <w:rsid w:val="675C9D39"/>
    <w:rsid w:val="68D7CD68"/>
    <w:rsid w:val="6A992233"/>
    <w:rsid w:val="6ACE9F13"/>
    <w:rsid w:val="6E3A7F36"/>
    <w:rsid w:val="6FEEB410"/>
    <w:rsid w:val="7525C9CE"/>
    <w:rsid w:val="75677BE5"/>
    <w:rsid w:val="762A3C2D"/>
    <w:rsid w:val="78F635AF"/>
    <w:rsid w:val="7968A41D"/>
    <w:rsid w:val="7999510C"/>
    <w:rsid w:val="7B13B918"/>
    <w:rsid w:val="7DB3E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E9"/>
  </w:style>
  <w:style w:type="paragraph" w:styleId="Heading1">
    <w:name w:val="heading 1"/>
    <w:basedOn w:val="Normal"/>
    <w:next w:val="Normal"/>
    <w:link w:val="Heading1Char"/>
    <w:uiPriority w:val="9"/>
    <w:qFormat/>
    <w:rsid w:val="00686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9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9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9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9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9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9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9B2"/>
    <w:rPr>
      <w:i/>
      <w:iCs/>
      <w:color w:val="404040" w:themeColor="text1" w:themeTint="BF"/>
    </w:rPr>
  </w:style>
  <w:style w:type="paragraph" w:styleId="ListParagraph">
    <w:name w:val="List Paragraph"/>
    <w:aliases w:val="List_Paragraph,Multilevel para_II,Akapit z listą BS,Bullet1,Bullets,List Paragraph 1,References,List Paragraph (numbered (a)),IBL List Paragraph,List Paragraph nowy,Numbered List Paragraph,Абзац списка1,Dot pt,F5 List Paragraph"/>
    <w:basedOn w:val="Normal"/>
    <w:link w:val="ListParagraphChar"/>
    <w:qFormat/>
    <w:rsid w:val="006869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9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9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9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69B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69B2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_Paragraph Char,Multilevel para_II Char,Akapit z listą BS Char,Bullet1 Char,Bullets Char,List Paragraph 1 Char,References Char,List Paragraph (numbered (a)) Char,IBL List Paragraph Char,List Paragraph nowy Char,Абзац списка1 Char"/>
    <w:link w:val="ListParagraph"/>
    <w:qFormat/>
    <w:locked/>
    <w:rsid w:val="00120C6F"/>
  </w:style>
  <w:style w:type="paragraph" w:styleId="Caption">
    <w:name w:val="caption"/>
    <w:basedOn w:val="Normal"/>
    <w:next w:val="Normal"/>
    <w:uiPriority w:val="35"/>
    <w:unhideWhenUsed/>
    <w:qFormat/>
    <w:rsid w:val="00120C6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33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3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3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3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3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D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9543">
          <w:marLeft w:val="0"/>
          <w:marRight w:val="0"/>
          <w:marTop w:val="0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31" w:color="DBDBDB"/>
            <w:right w:val="none" w:sz="0" w:space="0" w:color="auto"/>
          </w:divBdr>
          <w:divsChild>
            <w:div w:id="8505303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4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1383">
                      <w:marLeft w:val="0"/>
                      <w:marRight w:val="0"/>
                      <w:marTop w:val="6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9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6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1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758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1982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5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7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2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31" w:color="DBDBDB"/>
            <w:right w:val="none" w:sz="0" w:space="0" w:color="auto"/>
          </w:divBdr>
          <w:divsChild>
            <w:div w:id="13600803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3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1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6319401">
                      <w:marLeft w:val="0"/>
                      <w:marRight w:val="0"/>
                      <w:marTop w:val="6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8185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7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2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605732">
          <w:marLeft w:val="0"/>
          <w:marRight w:val="0"/>
          <w:marTop w:val="0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Astghine Pasoyan;Nune Sakanyan</dc:creator>
  <cp:keywords/>
  <dc:description/>
  <cp:lastModifiedBy>n.arustamyan</cp:lastModifiedBy>
  <cp:revision>4</cp:revision>
  <dcterms:created xsi:type="dcterms:W3CDTF">2024-09-05T09:44:00Z</dcterms:created>
  <dcterms:modified xsi:type="dcterms:W3CDTF">2024-09-06T07:09:00Z</dcterms:modified>
</cp:coreProperties>
</file>