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374" w:rsidRDefault="00763374" w:rsidP="00E3180D">
      <w:pPr>
        <w:tabs>
          <w:tab w:val="left" w:pos="0"/>
        </w:tabs>
        <w:spacing w:after="0"/>
        <w:ind w:firstLine="72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ՆԱԽԱԳԻԾ</w:t>
      </w:r>
    </w:p>
    <w:p w:rsidR="00E3180D" w:rsidRDefault="00E3180D" w:rsidP="00E3180D">
      <w:pPr>
        <w:tabs>
          <w:tab w:val="left" w:pos="0"/>
        </w:tabs>
        <w:spacing w:after="0"/>
        <w:ind w:firstLine="720"/>
        <w:jc w:val="right"/>
        <w:rPr>
          <w:rFonts w:ascii="GHEA Grapalat" w:hAnsi="GHEA Grapalat"/>
          <w:b/>
          <w:sz w:val="24"/>
          <w:szCs w:val="24"/>
        </w:rPr>
      </w:pPr>
    </w:p>
    <w:p w:rsidR="00763374" w:rsidRDefault="00763374" w:rsidP="00E3180D">
      <w:pPr>
        <w:shd w:val="clear" w:color="auto" w:fill="FFFFFF"/>
        <w:tabs>
          <w:tab w:val="left" w:pos="0"/>
        </w:tabs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:rsidR="00763374" w:rsidRDefault="00763374" w:rsidP="00E3180D">
      <w:pPr>
        <w:shd w:val="clear" w:color="auto" w:fill="FFFFFF"/>
        <w:tabs>
          <w:tab w:val="left" w:pos="0"/>
        </w:tabs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ՕՐԵՆՔԸ</w:t>
      </w:r>
    </w:p>
    <w:p w:rsidR="00763374" w:rsidRDefault="00763374" w:rsidP="00E3180D">
      <w:pPr>
        <w:shd w:val="clear" w:color="auto" w:fill="FFFFFF"/>
        <w:tabs>
          <w:tab w:val="left" w:pos="0"/>
        </w:tabs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:rsidR="00763374" w:rsidRDefault="00763374" w:rsidP="00E3180D">
      <w:pPr>
        <w:shd w:val="clear" w:color="auto" w:fill="FFFFFF"/>
        <w:tabs>
          <w:tab w:val="left" w:pos="0"/>
        </w:tabs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</w:t>
      </w:r>
      <w:r w:rsidR="00752003" w:rsidRPr="00752003">
        <w:rPr>
          <w:rFonts w:ascii="GHEA Grapalat" w:hAnsi="GHEA Grapalat"/>
          <w:b/>
          <w:sz w:val="24"/>
          <w:szCs w:val="24"/>
        </w:rPr>
        <w:t>ԽԱՂԱՅԻՆ ԳՈՐԾՈՒՆԵՈՒԹՅԱՆ ԿԱՐԳԱՎՈՐՄԱՆ ՄԱՍԻՆ</w:t>
      </w:r>
      <w:r>
        <w:rPr>
          <w:rFonts w:ascii="GHEA Grapalat" w:hAnsi="GHEA Grapalat"/>
          <w:b/>
          <w:sz w:val="24"/>
          <w:szCs w:val="24"/>
        </w:rPr>
        <w:t xml:space="preserve">» ՕՐԵՆՔՈՒՄ </w:t>
      </w:r>
      <w:r w:rsidRPr="007D796B">
        <w:rPr>
          <w:rFonts w:ascii="GHEA Grapalat" w:hAnsi="GHEA Grapalat"/>
          <w:b/>
          <w:sz w:val="24"/>
          <w:szCs w:val="24"/>
        </w:rPr>
        <w:t>ՓՈՓՈԽՈՒԹՅՈՒՆ</w:t>
      </w:r>
      <w:r w:rsidRPr="00494D05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ԿԱՏԱՐԵԼՈՒ ՄԱՍԻՆ</w:t>
      </w:r>
    </w:p>
    <w:p w:rsidR="00763374" w:rsidRDefault="00763374" w:rsidP="003332AF">
      <w:pPr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</w:rPr>
      </w:pPr>
    </w:p>
    <w:p w:rsidR="00763374" w:rsidRDefault="00763374" w:rsidP="00DD4F66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>
        <w:rPr>
          <w:rFonts w:ascii="GHEA Grapalat" w:hAnsi="GHEA Grapalat"/>
          <w:b/>
          <w:bCs/>
          <w:spacing w:val="-6"/>
          <w:sz w:val="24"/>
          <w:szCs w:val="24"/>
        </w:rPr>
        <w:t>Հոդված 1.</w:t>
      </w:r>
      <w:r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r w:rsidR="00752003">
        <w:rPr>
          <w:rFonts w:ascii="GHEA Grapalat" w:hAnsi="GHEA Grapalat"/>
          <w:bCs/>
          <w:spacing w:val="-6"/>
          <w:sz w:val="24"/>
          <w:szCs w:val="24"/>
          <w:lang w:val="hy-AM"/>
        </w:rPr>
        <w:t>«Խ</w:t>
      </w:r>
      <w:r w:rsidR="00752003" w:rsidRPr="00752003">
        <w:rPr>
          <w:rFonts w:ascii="GHEA Grapalat" w:hAnsi="GHEA Grapalat"/>
          <w:bCs/>
          <w:spacing w:val="-6"/>
          <w:sz w:val="24"/>
          <w:szCs w:val="24"/>
          <w:lang w:val="hy-AM"/>
        </w:rPr>
        <w:t>աղային գործունեության կարգավորման մասին</w:t>
      </w:r>
      <w:r w:rsidR="00752003">
        <w:rPr>
          <w:rFonts w:ascii="GHEA Grapalat" w:hAnsi="GHEA Grapalat"/>
          <w:bCs/>
          <w:spacing w:val="-6"/>
          <w:sz w:val="24"/>
          <w:szCs w:val="24"/>
          <w:lang w:val="hy-AM"/>
        </w:rPr>
        <w:t>»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752003" w:rsidRPr="00752003">
        <w:rPr>
          <w:rFonts w:ascii="GHEA Grapalat" w:hAnsi="GHEA Grapalat"/>
          <w:bCs/>
          <w:spacing w:val="-6"/>
          <w:sz w:val="24"/>
          <w:szCs w:val="24"/>
          <w:lang w:val="hy-AM"/>
        </w:rPr>
        <w:t>2024 թվականի հունիսի 12-ի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752003" w:rsidRPr="00752003">
        <w:rPr>
          <w:rFonts w:ascii="GHEA Grapalat" w:hAnsi="GHEA Grapalat"/>
          <w:bCs/>
          <w:spacing w:val="-6"/>
          <w:sz w:val="24"/>
          <w:szCs w:val="24"/>
          <w:lang w:val="hy-AM"/>
        </w:rPr>
        <w:t>ՀՕ-263-Ն</w:t>
      </w:r>
      <w:r w:rsidR="00CC643E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օրենքի</w:t>
      </w:r>
      <w:r w:rsidR="00E46802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(այսուհետ՝ Օրենք)</w:t>
      </w:r>
      <w:r w:rsidR="00DD4F66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752003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4-րդ հոդվածի </w:t>
      </w:r>
      <w:r w:rsidR="00517DC1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1-ին մասի </w:t>
      </w:r>
      <w:r w:rsidR="00752003">
        <w:rPr>
          <w:rFonts w:ascii="GHEA Grapalat" w:hAnsi="GHEA Grapalat"/>
          <w:bCs/>
          <w:spacing w:val="-6"/>
          <w:sz w:val="24"/>
          <w:szCs w:val="24"/>
          <w:lang w:val="hy-AM"/>
        </w:rPr>
        <w:t>29</w:t>
      </w:r>
      <w:r w:rsidR="00517DC1" w:rsidRPr="00517DC1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-րդ կետում </w:t>
      </w:r>
      <w:r w:rsidR="00517DC1">
        <w:rPr>
          <w:rFonts w:ascii="GHEA Grapalat" w:hAnsi="GHEA Grapalat"/>
          <w:bCs/>
          <w:spacing w:val="-6"/>
          <w:sz w:val="24"/>
          <w:szCs w:val="24"/>
          <w:lang w:val="hy-AM"/>
        </w:rPr>
        <w:t>«</w:t>
      </w:r>
      <w:r w:rsidR="00EF174F" w:rsidRPr="00EF174F">
        <w:rPr>
          <w:rFonts w:ascii="GHEA Grapalat" w:hAnsi="GHEA Grapalat"/>
          <w:bCs/>
          <w:spacing w:val="-6"/>
          <w:sz w:val="24"/>
          <w:szCs w:val="24"/>
          <w:lang w:val="hy-AM"/>
        </w:rPr>
        <w:t>Հայաստանի</w:t>
      </w:r>
      <w:r w:rsidR="00EF174F" w:rsidRPr="00EF174F">
        <w:rPr>
          <w:rFonts w:ascii="GHEA Grapalat" w:hAnsi="GHEA Grapalat" w:hint="eastAsia"/>
          <w:bCs/>
          <w:spacing w:val="-6"/>
          <w:sz w:val="24"/>
          <w:szCs w:val="24"/>
          <w:lang w:val="hy-AM"/>
        </w:rPr>
        <w:t xml:space="preserve"> </w:t>
      </w:r>
      <w:r w:rsidR="00EF174F" w:rsidRPr="00EF174F">
        <w:rPr>
          <w:rFonts w:ascii="GHEA Grapalat" w:hAnsi="GHEA Grapalat"/>
          <w:bCs/>
          <w:spacing w:val="-6"/>
          <w:sz w:val="24"/>
          <w:szCs w:val="24"/>
          <w:lang w:val="hy-AM"/>
        </w:rPr>
        <w:t>Հանրապետության</w:t>
      </w:r>
      <w:r w:rsidR="00EF174F" w:rsidRPr="00EF174F">
        <w:rPr>
          <w:rFonts w:ascii="GHEA Grapalat" w:hAnsi="GHEA Grapalat" w:hint="eastAsia"/>
          <w:bCs/>
          <w:spacing w:val="-6"/>
          <w:sz w:val="24"/>
          <w:szCs w:val="24"/>
          <w:lang w:val="hy-AM"/>
        </w:rPr>
        <w:t xml:space="preserve"> </w:t>
      </w:r>
      <w:r w:rsidR="00EF174F" w:rsidRPr="00EF174F">
        <w:rPr>
          <w:rFonts w:ascii="GHEA Grapalat" w:hAnsi="GHEA Grapalat"/>
          <w:bCs/>
          <w:spacing w:val="-6"/>
          <w:sz w:val="24"/>
          <w:szCs w:val="24"/>
          <w:lang w:val="hy-AM"/>
        </w:rPr>
        <w:t>ֆինանսների</w:t>
      </w:r>
      <w:r w:rsidR="00EF174F" w:rsidRPr="00EF174F">
        <w:rPr>
          <w:rFonts w:ascii="GHEA Grapalat" w:hAnsi="GHEA Grapalat" w:hint="eastAsia"/>
          <w:bCs/>
          <w:spacing w:val="-6"/>
          <w:sz w:val="24"/>
          <w:szCs w:val="24"/>
          <w:lang w:val="hy-AM"/>
        </w:rPr>
        <w:t xml:space="preserve"> </w:t>
      </w:r>
      <w:r w:rsidR="00EF174F" w:rsidRPr="00EF174F">
        <w:rPr>
          <w:rFonts w:ascii="GHEA Grapalat" w:hAnsi="GHEA Grapalat"/>
          <w:bCs/>
          <w:spacing w:val="-6"/>
          <w:sz w:val="24"/>
          <w:szCs w:val="24"/>
          <w:lang w:val="hy-AM"/>
        </w:rPr>
        <w:t>նախարարություն</w:t>
      </w:r>
      <w:r w:rsidR="00DD4F66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>» բառերը</w:t>
      </w:r>
      <w:r w:rsidR="00957DFF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փոխարինել </w:t>
      </w:r>
      <w:r w:rsidR="00957DFF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>«</w:t>
      </w:r>
      <w:r w:rsidR="00D40E45" w:rsidRPr="00D40E45">
        <w:rPr>
          <w:rFonts w:ascii="GHEA Grapalat" w:hAnsi="GHEA Grapalat"/>
          <w:bCs/>
          <w:spacing w:val="-6"/>
          <w:sz w:val="24"/>
          <w:szCs w:val="24"/>
          <w:lang w:val="hy-AM"/>
        </w:rPr>
        <w:t>կառավարության</w:t>
      </w:r>
      <w:r w:rsidR="00D40E45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D40E45" w:rsidRPr="00D40E45">
        <w:rPr>
          <w:rFonts w:ascii="GHEA Grapalat" w:hAnsi="GHEA Grapalat"/>
          <w:bCs/>
          <w:spacing w:val="-6"/>
          <w:sz w:val="24"/>
          <w:szCs w:val="24"/>
          <w:lang w:val="hy-AM"/>
        </w:rPr>
        <w:t>լիազորած պետական կառավարման մարմին</w:t>
      </w:r>
      <w:r w:rsidR="00957DFF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» </w:t>
      </w:r>
      <w:r w:rsidR="00957DFF">
        <w:rPr>
          <w:rFonts w:ascii="GHEA Grapalat" w:hAnsi="GHEA Grapalat"/>
          <w:bCs/>
          <w:spacing w:val="-6"/>
          <w:sz w:val="24"/>
          <w:szCs w:val="24"/>
          <w:lang w:val="hy-AM"/>
        </w:rPr>
        <w:t>բառերով:</w:t>
      </w:r>
    </w:p>
    <w:p w:rsidR="00D40E45" w:rsidRDefault="00D40E45" w:rsidP="00DD4F66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:rsidR="00D40E45" w:rsidRPr="00D40E45" w:rsidRDefault="00D40E45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/>
          <w:bCs/>
          <w:spacing w:val="-6"/>
          <w:sz w:val="24"/>
          <w:szCs w:val="24"/>
          <w:lang w:val="hy-AM"/>
        </w:rPr>
      </w:pPr>
      <w:r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Հոդված 2. </w:t>
      </w:r>
      <w:r w:rsidRPr="00D40E45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Եզրափակիչ</w:t>
      </w:r>
      <w:r w:rsidRPr="00D40E45">
        <w:rPr>
          <w:rFonts w:ascii="Calibri" w:hAnsi="Calibri" w:cs="Calibri"/>
          <w:b/>
          <w:bCs/>
          <w:spacing w:val="-6"/>
          <w:sz w:val="24"/>
          <w:szCs w:val="24"/>
          <w:lang w:val="hy-AM"/>
        </w:rPr>
        <w:t> </w:t>
      </w:r>
      <w:r w:rsidRPr="00D40E45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մաս</w:t>
      </w:r>
      <w:r w:rsidRPr="00D40E45">
        <w:rPr>
          <w:rFonts w:ascii="Calibri" w:hAnsi="Calibri" w:cs="Calibri"/>
          <w:b/>
          <w:bCs/>
          <w:spacing w:val="-6"/>
          <w:sz w:val="24"/>
          <w:szCs w:val="24"/>
          <w:lang w:val="hy-AM"/>
        </w:rPr>
        <w:t> </w:t>
      </w:r>
      <w:r w:rsidRPr="00D40E45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և</w:t>
      </w:r>
      <w:r w:rsidRPr="00D40E45">
        <w:rPr>
          <w:rFonts w:ascii="Calibri" w:hAnsi="Calibri" w:cs="Calibri"/>
          <w:b/>
          <w:bCs/>
          <w:spacing w:val="-6"/>
          <w:sz w:val="24"/>
          <w:szCs w:val="24"/>
          <w:lang w:val="hy-AM"/>
        </w:rPr>
        <w:t> </w:t>
      </w:r>
      <w:r w:rsidRPr="00D40E45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անցումային</w:t>
      </w:r>
      <w:r w:rsidRPr="00D40E45">
        <w:rPr>
          <w:rFonts w:ascii="Calibri" w:hAnsi="Calibri" w:cs="Calibri"/>
          <w:b/>
          <w:bCs/>
          <w:spacing w:val="-6"/>
          <w:sz w:val="24"/>
          <w:szCs w:val="24"/>
          <w:lang w:val="hy-AM"/>
        </w:rPr>
        <w:t> </w:t>
      </w:r>
      <w:r w:rsidRPr="00D40E45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դրույթ</w:t>
      </w:r>
      <w:r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ներ</w:t>
      </w:r>
    </w:p>
    <w:p w:rsidR="00E46802" w:rsidRDefault="00763374" w:rsidP="00E46802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720"/>
        </w:tabs>
        <w:spacing w:after="0"/>
        <w:ind w:left="0"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E46802">
        <w:rPr>
          <w:rFonts w:ascii="GHEA Grapalat" w:hAnsi="GHEA Grapalat"/>
          <w:bCs/>
          <w:spacing w:val="-6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:rsidR="00E46802" w:rsidRPr="00E46802" w:rsidRDefault="00E46802" w:rsidP="00E46802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720"/>
        </w:tabs>
        <w:spacing w:after="0"/>
        <w:ind w:left="0"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E46802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Սույն օրենքից բխող այլ իրավական ակտերն ընդունվում են սույն օրենքն ուժի մեջ մտնելուց հետո՝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վեցա</w:t>
      </w:r>
      <w:r w:rsidRPr="00E46802">
        <w:rPr>
          <w:rFonts w:ascii="GHEA Grapalat" w:hAnsi="GHEA Grapalat"/>
          <w:bCs/>
          <w:spacing w:val="-6"/>
          <w:sz w:val="24"/>
          <w:szCs w:val="24"/>
          <w:lang w:val="hy-AM"/>
        </w:rPr>
        <w:t>մսյա ժամկետում։</w:t>
      </w:r>
    </w:p>
    <w:p w:rsidR="00E46802" w:rsidRPr="00B55541" w:rsidRDefault="00E46802" w:rsidP="00B55541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720"/>
        </w:tabs>
        <w:spacing w:after="0"/>
        <w:ind w:left="0"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E46802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Օրենքի 37-րդ հոդվածի 1-ին մասի 6-րդ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կետով սահմանված սահմանափակումը տարածվում է մինչև սույն օրենքի ուժի մեջ մտնելը Օրենքով լիազոր մարմին հանդիսացող ՀՀ ֆինանսների նախարարությունում պաշտոնավարման ժամկետի նկատմամբ</w:t>
      </w:r>
      <w:r w:rsidR="00B55541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, իսկ </w:t>
      </w:r>
      <w:r w:rsidR="00B55541" w:rsidRPr="00E46802">
        <w:rPr>
          <w:rFonts w:ascii="GHEA Grapalat" w:hAnsi="GHEA Grapalat"/>
          <w:bCs/>
          <w:spacing w:val="-6"/>
          <w:sz w:val="24"/>
          <w:szCs w:val="24"/>
          <w:lang w:val="hy-AM"/>
        </w:rPr>
        <w:t>սույն օրենքի ուժի մեջ մտնելուց հետո</w:t>
      </w:r>
      <w:r w:rsidR="00B55541">
        <w:rPr>
          <w:rFonts w:ascii="GHEA Grapalat" w:hAnsi="GHEA Grapalat"/>
          <w:bCs/>
          <w:spacing w:val="-6"/>
          <w:sz w:val="24"/>
          <w:szCs w:val="24"/>
          <w:lang w:val="hy-AM"/>
        </w:rPr>
        <w:t>՝</w:t>
      </w:r>
      <w:r w:rsidR="00B55541" w:rsidRPr="00E46802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սույն օրենքով սահմանված կառավարության լիազորած պետական կառավարման </w:t>
      </w:r>
      <w:r w:rsidR="00B55541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մարմնում </w:t>
      </w:r>
      <w:r w:rsidR="00B55541">
        <w:rPr>
          <w:rFonts w:ascii="GHEA Grapalat" w:hAnsi="GHEA Grapalat"/>
          <w:bCs/>
          <w:spacing w:val="-6"/>
          <w:sz w:val="24"/>
          <w:szCs w:val="24"/>
          <w:lang w:val="hy-AM"/>
        </w:rPr>
        <w:t>պաշտոնավարման ժամկետի նկատմամբ:</w:t>
      </w:r>
      <w:bookmarkStart w:id="0" w:name="_GoBack"/>
      <w:bookmarkEnd w:id="0"/>
    </w:p>
    <w:p w:rsidR="00E46802" w:rsidRPr="00E46802" w:rsidRDefault="00E46802" w:rsidP="00555AB3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720"/>
        </w:tabs>
        <w:spacing w:after="0"/>
        <w:ind w:left="0"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E46802">
        <w:rPr>
          <w:rFonts w:ascii="GHEA Grapalat" w:hAnsi="GHEA Grapalat"/>
          <w:bCs/>
          <w:spacing w:val="-6"/>
          <w:sz w:val="24"/>
          <w:szCs w:val="24"/>
          <w:lang w:val="hy-AM"/>
        </w:rPr>
        <w:t>Մինչև սույն օրենքի ուժի մեջ մտնելը Օրենքով լիազոր մարմին հանդիսացող ՀՀ ֆինանսների նախարարությունում հարուցված և ընթացիկ վարչական վարույթներն իրականացվում են ՀՀ ֆինանսների նախարարության կողմից, իսկ սույն օրենքի ուժի մեջ մտնելուց հետո հարուցված վարչական վարույթներն իրականացվելու են սույն օրենքով սահմանված կառավարության լիազորած պետական կառավարման մարմնի կողմից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:</w:t>
      </w:r>
    </w:p>
    <w:sectPr w:rsidR="00E46802" w:rsidRPr="00E46802" w:rsidSect="00E318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25E49"/>
    <w:multiLevelType w:val="hybridMultilevel"/>
    <w:tmpl w:val="43FA336E"/>
    <w:lvl w:ilvl="0" w:tplc="144AA1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1545F8"/>
    <w:multiLevelType w:val="hybridMultilevel"/>
    <w:tmpl w:val="31340250"/>
    <w:lvl w:ilvl="0" w:tplc="F2E843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FE6BB7"/>
    <w:multiLevelType w:val="hybridMultilevel"/>
    <w:tmpl w:val="2886098C"/>
    <w:lvl w:ilvl="0" w:tplc="09B4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5C7E4E"/>
    <w:multiLevelType w:val="hybridMultilevel"/>
    <w:tmpl w:val="2B105270"/>
    <w:lvl w:ilvl="0" w:tplc="5546CB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FE1B73"/>
    <w:multiLevelType w:val="hybridMultilevel"/>
    <w:tmpl w:val="5008A5B4"/>
    <w:lvl w:ilvl="0" w:tplc="8EDC2A80">
      <w:start w:val="1"/>
      <w:numFmt w:val="decimal"/>
      <w:lvlText w:val="%1."/>
      <w:lvlJc w:val="left"/>
      <w:pPr>
        <w:ind w:left="2880" w:hanging="360"/>
      </w:pPr>
      <w:rPr>
        <w:rFonts w:ascii="GHEA Grapalat" w:eastAsiaTheme="minorHAnsi" w:hAnsi="GHEA Grapalat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6899048E"/>
    <w:multiLevelType w:val="hybridMultilevel"/>
    <w:tmpl w:val="5D2272D0"/>
    <w:lvl w:ilvl="0" w:tplc="08AE5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E449CC"/>
    <w:multiLevelType w:val="hybridMultilevel"/>
    <w:tmpl w:val="144029AE"/>
    <w:lvl w:ilvl="0" w:tplc="26026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9A"/>
    <w:rsid w:val="000047E5"/>
    <w:rsid w:val="0005029D"/>
    <w:rsid w:val="00051C02"/>
    <w:rsid w:val="00081C13"/>
    <w:rsid w:val="000E6995"/>
    <w:rsid w:val="00252DE2"/>
    <w:rsid w:val="003332AF"/>
    <w:rsid w:val="0036526E"/>
    <w:rsid w:val="00445C13"/>
    <w:rsid w:val="00462135"/>
    <w:rsid w:val="00494D05"/>
    <w:rsid w:val="00517DC1"/>
    <w:rsid w:val="00681825"/>
    <w:rsid w:val="0071139A"/>
    <w:rsid w:val="00752003"/>
    <w:rsid w:val="00763374"/>
    <w:rsid w:val="007D796B"/>
    <w:rsid w:val="007E3D98"/>
    <w:rsid w:val="00860154"/>
    <w:rsid w:val="009124C0"/>
    <w:rsid w:val="00957DFF"/>
    <w:rsid w:val="009635A3"/>
    <w:rsid w:val="009C174A"/>
    <w:rsid w:val="00A73444"/>
    <w:rsid w:val="00AF7D6D"/>
    <w:rsid w:val="00B55541"/>
    <w:rsid w:val="00CC643E"/>
    <w:rsid w:val="00D07F79"/>
    <w:rsid w:val="00D40E45"/>
    <w:rsid w:val="00DD4F66"/>
    <w:rsid w:val="00E3180D"/>
    <w:rsid w:val="00E4081E"/>
    <w:rsid w:val="00E46802"/>
    <w:rsid w:val="00E915EE"/>
    <w:rsid w:val="00EC4BDD"/>
    <w:rsid w:val="00EF174F"/>
    <w:rsid w:val="00F3701C"/>
    <w:rsid w:val="00F66B8F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3550B"/>
  <w15:chartTrackingRefBased/>
  <w15:docId w15:val="{8F1E89F4-3ED1-4C54-8F7B-FBBEC2E0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3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qFormat/>
    <w:locked/>
    <w:rsid w:val="00763374"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763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5E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8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4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44E5D-FBC8-41DD-B920-D00AADD8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Սյուզաննա Ամզարյան</dc:creator>
  <cp:keywords/>
  <dc:description/>
  <cp:lastModifiedBy>Ժենյա Նազարյան</cp:lastModifiedBy>
  <cp:revision>35</cp:revision>
  <cp:lastPrinted>2024-01-15T07:48:00Z</cp:lastPrinted>
  <dcterms:created xsi:type="dcterms:W3CDTF">2023-02-01T07:16:00Z</dcterms:created>
  <dcterms:modified xsi:type="dcterms:W3CDTF">2024-08-23T10:44:00Z</dcterms:modified>
</cp:coreProperties>
</file>