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FC0" w14:textId="1DAC90BC" w:rsidR="00687F88" w:rsidRPr="002D416F" w:rsidRDefault="00573E91" w:rsidP="002D416F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2D416F">
        <w:rPr>
          <w:rFonts w:ascii="GHEA Grapalat" w:hAnsi="GHEA Grapalat"/>
          <w:sz w:val="24"/>
          <w:szCs w:val="24"/>
        </w:rPr>
        <w:t>ՆԱԽԱԳԻԾ</w:t>
      </w:r>
    </w:p>
    <w:p w14:paraId="427A7D45" w14:textId="77777777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7024A152" w14:textId="77777777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484DBE26" w14:textId="77777777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Ո Ր Ո Շ</w:t>
      </w:r>
      <w:r w:rsidRPr="00687F8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687F88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14:ligatures w14:val="none"/>
        </w:rPr>
        <w:t>ՈՒ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87F88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14:ligatures w14:val="none"/>
        </w:rPr>
        <w:t>Մ</w:t>
      </w:r>
    </w:p>
    <w:p w14:paraId="69849F47" w14:textId="77777777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1FDF6114" w14:textId="7D2BA21E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202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թվականի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N </w:t>
      </w:r>
      <w:r w:rsidR="0041731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-Ն</w:t>
      </w:r>
    </w:p>
    <w:p w14:paraId="54D2FA76" w14:textId="77777777" w:rsidR="00687F88" w:rsidRPr="002D416F" w:rsidRDefault="00687F88" w:rsidP="002D416F">
      <w:pPr>
        <w:spacing w:after="0" w:line="360" w:lineRule="auto"/>
        <w:jc w:val="center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16CD00BB" w14:textId="22B478D3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ՀԱՅԱՍՏԱՆԻ ՀԱՆՐԱՊԵՏՈՒԹՅԱՆ ԿԱՌԱՎԱՐՈՒԹՅԱՆ 2023 ԹՎԱԿԱՆԻ ՀՈՒՆԻՍԻ 1-Ի N 893-Ն ՈՐՈՇՄԱՆ ՄԵՋ ՓՈՓՈԽՈՒԹՅՈՒՆՆԵՐ </w:t>
      </w:r>
      <w:r w:rsidR="00C612EA" w:rsidRPr="002D416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ԵՎ ԼՐԱՑՈՒՄՆԵՐ 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ԿԱՏԱՐԵԼՈՒ ՄԱՍԻՆ</w:t>
      </w:r>
    </w:p>
    <w:p w14:paraId="51A1B690" w14:textId="77777777" w:rsidR="00687F88" w:rsidRPr="00687F88" w:rsidRDefault="00687F88" w:rsidP="002D416F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43E587BB" w14:textId="77777777" w:rsidR="00687F88" w:rsidRPr="00687F88" w:rsidRDefault="00687F88" w:rsidP="002D416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Համաձայն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Նորմատիվ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իրավական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ակտերի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33-րդ և 34-րդ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հոդվածների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`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կառավարությունը</w:t>
      </w:r>
      <w:proofErr w:type="spellEnd"/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41731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</w:t>
      </w:r>
      <w:proofErr w:type="spellEnd"/>
      <w:r w:rsidRPr="0041731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է.</w:t>
      </w:r>
    </w:p>
    <w:p w14:paraId="5794ED78" w14:textId="51984C5B" w:rsidR="00687F88" w:rsidRPr="00687F88" w:rsidRDefault="00687F88" w:rsidP="002D416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1. </w:t>
      </w:r>
      <w:bookmarkStart w:id="0" w:name="_Hlk161581998"/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2023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թվականի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հունիսի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1-ի «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</w:t>
      </w:r>
      <w:proofErr w:type="spellEnd"/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մեղադրյալի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մեկ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տարվա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ընթացքում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երկու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ավելի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անգամ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վարչական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իրավախախտում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կատարած</w:t>
      </w:r>
      <w:proofErr w:type="spellEnd"/>
      <w:r w:rsidR="0079419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բացառությամբ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Վարչական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իրավախախտումների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վերաբերյալ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օրենսգրքի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21-</w:t>
      </w:r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րդ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հո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դվածով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պատասխանատվությունից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ազատելու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դեպքերի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երկու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ավելի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անգամ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բնակության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վայրն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ինքնակամ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լքած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մինչև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տարեկան</w:t>
      </w:r>
      <w:proofErr w:type="spellEnd"/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մանկավարժական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խորհրդի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համապատասխան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որոշման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հիման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վրա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պարտադիր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ուսուցումից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120 </w:t>
      </w:r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և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ավելի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ժամաքանակ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դասեր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անհարգելի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բաց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թող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ած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թափառաշրջիկությամբ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մուրացկանությամբ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շահումով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խաղերով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զբաղվող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ոգելից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խմիչքներ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թմրամիջոցներ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հոգեմետ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հոգեներգործուն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թունավոր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թմրեցնող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նյութեր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օգտագործող</w:t>
      </w:r>
      <w:proofErr w:type="spellEnd"/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ազատազրկման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ձևով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պատիժը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կրած</w:t>
      </w:r>
      <w:proofErr w:type="spellEnd"/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դատարանի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կողմից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դաստիարակչական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բն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ույթի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հարկադրանքի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միջոցներ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կիրառելու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հետևանքով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քրեական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պատասխանատվությունից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ազատված</w:t>
      </w:r>
      <w:proofErr w:type="spellEnd"/>
      <w:r w:rsidR="00A079B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վարքագծի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նկատմամբ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հետագա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վերահսկողությունը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դրվել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է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ոստիկանության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վրա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նկատմամբ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քրեական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հետապնդումը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դադարեցվել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է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ոչ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lastRenderedPageBreak/>
        <w:t>ռեաբիլիտացնող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հանգամանքնե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րով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ինչպես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նաև</w:t>
      </w:r>
      <w:proofErr w:type="spellEnd"/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վրա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բացասական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ազդեցություն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ունեցող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ծնողի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օրինական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ներկայացուցչի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պրոֆիլակտիկ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կանխարգելիչ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հաշվառում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իրականացնելու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կարգը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սահմանելու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»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N 893-</w:t>
      </w:r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որոշման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End w:id="0"/>
      <w:proofErr w:type="spellStart"/>
      <w:r w:rsidR="00C85A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հավելվածի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մեջ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կատարել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հետևյալ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փոփոխությունները</w:t>
      </w:r>
      <w:proofErr w:type="spellEnd"/>
      <w:r w:rsidR="00A32A4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="00A32A4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լրացումները</w:t>
      </w:r>
      <w:proofErr w:type="spellEnd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՝</w:t>
      </w:r>
    </w:p>
    <w:p w14:paraId="0766FAF3" w14:textId="5E301D47" w:rsidR="00687F88" w:rsidRPr="002D416F" w:rsidRDefault="00E65503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3-րդ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«և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նրանց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նկատմամբ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687F88" w:rsidRPr="002D416F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բառեր</w:t>
      </w:r>
      <w:r w:rsidRPr="002D416F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="00687F88" w:rsidRPr="002D416F">
        <w:rPr>
          <w:rFonts w:ascii="Cambria Math" w:eastAsia="Times New Roman" w:hAnsi="Cambria Math" w:cs="Cambria Math"/>
          <w:color w:val="000000"/>
          <w:kern w:val="0"/>
          <w:sz w:val="24"/>
          <w:szCs w:val="24"/>
          <w14:ligatures w14:val="none"/>
        </w:rPr>
        <w:t>․</w:t>
      </w:r>
    </w:p>
    <w:p w14:paraId="68F049A5" w14:textId="76E02161" w:rsidR="00687F88" w:rsidRPr="002D416F" w:rsidRDefault="00E65503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</w:t>
      </w:r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րդ</w:t>
      </w:r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3-րդ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</w:t>
      </w:r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11-րդ </w:t>
      </w:r>
      <w:proofErr w:type="spellStart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3-րդ </w:t>
      </w:r>
      <w:proofErr w:type="spellStart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13-րդ </w:t>
      </w:r>
      <w:proofErr w:type="spellStart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1-ին </w:t>
      </w:r>
      <w:proofErr w:type="spellStart"/>
      <w:r w:rsidR="00C612EA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29-րդ </w:t>
      </w:r>
      <w:proofErr w:type="spellStart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հակահասարակական</w:t>
      </w:r>
      <w:proofErr w:type="spellEnd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բառը</w:t>
      </w:r>
      <w:proofErr w:type="spellEnd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հակաիրավական</w:t>
      </w:r>
      <w:proofErr w:type="spellEnd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բառով</w:t>
      </w:r>
      <w:proofErr w:type="spellEnd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4C4542AD" w14:textId="0F6D785B" w:rsidR="00E65503" w:rsidRPr="002D416F" w:rsidRDefault="003A0D0C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4-րդ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հասարակական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անվտանգության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ապահովման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գլխավոր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վարչության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համայնքային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ոստիկանության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գլխավոր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վարչությունը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անչափահասների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հանցավորության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ընտանեկան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բռնության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կանխարգելման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վարչությունը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</w:p>
    <w:p w14:paraId="1CD7F30B" w14:textId="75AF071C" w:rsidR="00E65503" w:rsidRPr="002D416F" w:rsidRDefault="003A0D0C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9-րդ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տարածքային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խնամակալության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հոգաբարձության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մարմնի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ներկայացուցիչների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շահագրգիռ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մարմինների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միջոցով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տեղավորում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ճգնաժամային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խնամատարություն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իրականացնող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ընտանիք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2711A6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երեխայի</w:t>
      </w:r>
      <w:proofErr w:type="spellEnd"/>
      <w:r w:rsidR="002711A6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711A6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հայտնաբերման</w:t>
      </w:r>
      <w:proofErr w:type="spellEnd"/>
      <w:r w:rsidR="002711A6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711A6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վայրի</w:t>
      </w:r>
      <w:proofErr w:type="spellEnd"/>
      <w:r w:rsidR="002711A6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խնամակալության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հոգաբարձության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մարմնի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ներկայացուցիչների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շահագրգիռ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մարմինների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միջոցով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խնամքի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կազմակերպումը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խնամակալության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հոգաբարձության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ճգնաժամային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խնամատարության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միջոցով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դրանց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անհնարինության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դեպքում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տեղավորումը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11D9A786" w14:textId="56B0A505" w:rsidR="00E65503" w:rsidRPr="002D416F" w:rsidRDefault="00C612EA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11-րդ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4-րդ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հանցագործությունների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հետո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լրացնել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իրավախախտումների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63CA254E" w14:textId="51B7A7BA" w:rsidR="00E65503" w:rsidRPr="002D416F" w:rsidRDefault="00C612EA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13-րդ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3-րդ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բռնության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ենթարկված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proofErr w:type="gram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3CF98A61" w14:textId="0DAA6E87" w:rsidR="00E65503" w:rsidRPr="002D416F" w:rsidRDefault="00C612EA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13-րդ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4-րդ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ճգնաժամային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խնամատարություն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իրականացնող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ընտանիքներ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երեխաների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շուրջօրյա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խնամք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պաշտպանություն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իրականացնող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հաստատություններ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խնամակալության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հոգաբարձությամն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մարմիններ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՝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խնամքը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կազմակերպելու</w:t>
      </w:r>
      <w:proofErr w:type="spellEnd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726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նպատակով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6F100C14" w14:textId="5E5EF05B" w:rsidR="003A0D0C" w:rsidRPr="002D416F" w:rsidRDefault="00772603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13-րդ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6-րդ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ծնողի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</w:t>
      </w:r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նել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E65503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76E66284" w14:textId="7B37BF8D" w:rsidR="003A0D0C" w:rsidRPr="002D416F" w:rsidRDefault="00772603" w:rsidP="002D416F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14-րդ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ենթակետում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մանկավարժի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խնամակալության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հոգաբարձության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մարմնի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ներկայացուցչի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հոգեբանի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1815C357" w14:textId="24BC8507" w:rsidR="00772603" w:rsidRPr="002D416F" w:rsidRDefault="00772603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15-րդ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Պրոբացիայի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ծառայություն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</w:t>
      </w:r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նել</w:t>
      </w:r>
      <w:proofErr w:type="spellEnd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այսուհետ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</w:t>
      </w:r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3A0D0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անչափահասին</w:t>
      </w:r>
      <w:proofErr w:type="spellEnd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տեսադաշտում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պահելու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կանխարգելիչ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աշխատանքներ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իրականացնելու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</w:p>
    <w:p w14:paraId="01C5244A" w14:textId="6F481A4F" w:rsidR="00772603" w:rsidRPr="002D416F" w:rsidRDefault="00772603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28-րդ</w:t>
      </w:r>
      <w:r w:rsidR="00BE1CC0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36-րդ </w:t>
      </w:r>
      <w:r w:rsidR="00BE1CC0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51-րդ </w:t>
      </w:r>
      <w:proofErr w:type="spellStart"/>
      <w:r w:rsidR="00BE1CC0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="00BE1CC0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</w:t>
      </w:r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</w:t>
      </w:r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վերջինիս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C51B0B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բառով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384F0BCC" w14:textId="4DC2BA00" w:rsidR="00772603" w:rsidRPr="00A14BA2" w:rsidRDefault="00C51B0B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30-րդ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առաջին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նախադասություն</w:t>
      </w:r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շարադրել</w:t>
      </w:r>
      <w:proofErr w:type="spellEnd"/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հետևյալ</w:t>
      </w:r>
      <w:proofErr w:type="spellEnd"/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խմբագրությամբ</w:t>
      </w:r>
      <w:proofErr w:type="spellEnd"/>
      <w:r w:rsid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21C14" w:rsidRP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Նախքան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անչափահասին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անչափահասի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բացասական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ազդեցություն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ծնողին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ներկայացուցչին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քարտով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վերցնելը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անչափահասը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ծնողի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ներկայացուցչի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անչափահասի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բացասական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ազդեցություն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ծնողը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օրինական</w:t>
      </w:r>
      <w:proofErr w:type="spellEnd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14" w:rsidRPr="00A14B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ներկայացուցիչը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հրավիրվում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են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տարածքային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որտեղ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նրանք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իրազեկվում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են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վերցնելու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FC2C24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և</w:t>
      </w:r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C2C24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նրանց</w:t>
      </w:r>
      <w:proofErr w:type="spellEnd"/>
      <w:r w:rsidR="00FC2C24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ներկայացվում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են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վերցնելու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հիմքերը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։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Անչափահասը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տարածքային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հրավիրվում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ծնողի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օրինական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ներկայացուցչի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։</w:t>
      </w:r>
      <w:r w:rsidR="00E21C14" w:rsidRP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="00A14BA2" w:rsidRP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A14BA2" w:rsidRPr="00A14BA2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5C4CE44F" w14:textId="49328739" w:rsidR="006C37BD" w:rsidRPr="002D416F" w:rsidRDefault="00F4313C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30-րդ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երկրորդ</w:t>
      </w:r>
      <w:proofErr w:type="spellEnd"/>
      <w:r w:rsidRP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նախադասությունում</w:t>
      </w:r>
      <w:proofErr w:type="spellEnd"/>
      <w:r w:rsidRPr="00A14BA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</w:t>
      </w:r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32-րդ 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ծնողի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բառից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լրացնել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բառը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65287F65" w14:textId="2BFD1195" w:rsidR="00B3447C" w:rsidRPr="002D416F" w:rsidRDefault="006C37BD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38-րդ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մանկավարժի</w:t>
      </w:r>
      <w:proofErr w:type="spellEnd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բառը</w:t>
      </w:r>
      <w:proofErr w:type="spellEnd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327A1A51" w14:textId="77777777" w:rsidR="00FF1B9B" w:rsidRDefault="006C37BD" w:rsidP="00FF1B9B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42-րդ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վերջինիս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ներկայության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զրույց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անցկացնում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ներկայության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զրույց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անցկացնում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B3447C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611D571D" w14:textId="2782410B" w:rsidR="00FF1B9B" w:rsidRPr="00FF1B9B" w:rsidRDefault="006C37BD" w:rsidP="00FF1B9B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45-րդ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bookmarkStart w:id="1" w:name="_Hlk158785317"/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հակասոցիալական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վարքագիծ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bookmarkEnd w:id="1"/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վարքագիծ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</w:t>
      </w:r>
      <w:proofErr w:type="spellEnd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վերջինիս</w:t>
      </w:r>
      <w:proofErr w:type="spellEnd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բառը</w:t>
      </w:r>
      <w:proofErr w:type="spellEnd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բառով</w:t>
      </w:r>
      <w:proofErr w:type="spellEnd"/>
      <w:r w:rsidR="00BE1CC0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լրացնել</w:t>
      </w:r>
      <w:proofErr w:type="spellEnd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հետևյալ</w:t>
      </w:r>
      <w:proofErr w:type="spellEnd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բովանդակությամբ</w:t>
      </w:r>
      <w:proofErr w:type="spellEnd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</w:t>
      </w:r>
      <w:proofErr w:type="spellEnd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երկրորդ</w:t>
      </w:r>
      <w:proofErr w:type="spellEnd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նախադասություն</w:t>
      </w:r>
      <w:proofErr w:type="spellEnd"/>
      <w:r w:rsidR="000E30A7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 «</w:t>
      </w:r>
      <w:proofErr w:type="spellStart"/>
      <w:r w:rsid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</w:t>
      </w:r>
      <w:proofErr w:type="spellEnd"/>
      <w:r w:rsid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նշված</w:t>
      </w:r>
      <w:proofErr w:type="spellEnd"/>
      <w:r w:rsid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</w:t>
      </w:r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աղորդումները</w:t>
      </w:r>
      <w:proofErr w:type="spellEnd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հաշվառելու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տարածքային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ստորաբաժանման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lastRenderedPageBreak/>
        <w:t>քարտուղարությունում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վարվու</w:t>
      </w:r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մ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առանձին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գործ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որտեղ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հաղորդումները</w:t>
      </w:r>
      <w:proofErr w:type="spellEnd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D36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կարվում</w:t>
      </w:r>
      <w:proofErr w:type="spellEnd"/>
      <w:r w:rsidR="00A85D36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համարակալվում</w:t>
      </w:r>
      <w:proofErr w:type="spellEnd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են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ըստ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ուղարկման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ամսաթվ</w:t>
      </w:r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եր</w:t>
      </w:r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ի</w:t>
      </w:r>
      <w:proofErr w:type="spellEnd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F1B9B" w:rsidRP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հաջորդականության</w:t>
      </w:r>
      <w:proofErr w:type="spellEnd"/>
      <w:r w:rsidR="00FF1B9B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:»</w:t>
      </w:r>
      <w:proofErr w:type="gramEnd"/>
    </w:p>
    <w:p w14:paraId="4FCAA048" w14:textId="77777777" w:rsidR="00194218" w:rsidRDefault="00BE1CC0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50-րդ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կետից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հետո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լրացնել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50.1-ին </w:t>
      </w:r>
      <w:proofErr w:type="spellStart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</w:t>
      </w:r>
      <w:proofErr w:type="spellEnd"/>
      <w:r w:rsidR="001942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194218" w:rsidRPr="001942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94218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հետևյալ</w:t>
      </w:r>
      <w:proofErr w:type="spellEnd"/>
      <w:r w:rsidR="00194218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94218"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բովանդակությամբ</w:t>
      </w:r>
      <w:proofErr w:type="spellEnd"/>
      <w:r w:rsidRPr="00FF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</w:t>
      </w:r>
    </w:p>
    <w:p w14:paraId="4097D9B8" w14:textId="77CEB38A" w:rsidR="006C37BD" w:rsidRPr="00194218" w:rsidRDefault="00BE1CC0" w:rsidP="00194218">
      <w:pPr>
        <w:tabs>
          <w:tab w:val="left" w:pos="709"/>
          <w:tab w:val="left" w:pos="851"/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1942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C37BD" w:rsidRPr="001942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r w:rsidRPr="00194218">
        <w:rPr>
          <w:rFonts w:ascii="GHEA Grapalat" w:hAnsi="GHEA Grapalat"/>
          <w:sz w:val="24"/>
          <w:szCs w:val="24"/>
          <w:lang w:val="hy-AM"/>
        </w:rPr>
        <w:t>50</w:t>
      </w:r>
      <w:r w:rsidRPr="00194218">
        <w:rPr>
          <w:rFonts w:ascii="Cambria Math" w:hAnsi="Cambria Math" w:cs="Cambria Math"/>
          <w:sz w:val="24"/>
          <w:szCs w:val="24"/>
          <w:lang w:val="hy-AM"/>
        </w:rPr>
        <w:t>․</w:t>
      </w:r>
      <w:r w:rsidRPr="00194218">
        <w:rPr>
          <w:rFonts w:ascii="GHEA Grapalat" w:hAnsi="GHEA Grapalat"/>
          <w:sz w:val="24"/>
          <w:szCs w:val="24"/>
          <w:lang w:val="hy-AM"/>
        </w:rPr>
        <w:t>1</w:t>
      </w:r>
      <w:r w:rsidRPr="00194218">
        <w:rPr>
          <w:rFonts w:ascii="GHEA Grapalat" w:hAnsi="GHEA Grapalat"/>
          <w:sz w:val="24"/>
          <w:szCs w:val="24"/>
        </w:rPr>
        <w:t>.</w:t>
      </w:r>
      <w:r w:rsidRPr="00194218">
        <w:rPr>
          <w:rFonts w:ascii="GHEA Grapalat" w:hAnsi="GHEA Grapalat"/>
          <w:sz w:val="24"/>
          <w:szCs w:val="24"/>
          <w:lang w:val="hy-AM"/>
        </w:rPr>
        <w:t xml:space="preserve"> Անչափահասի կողմից Հայաստանի Հանրապետության քրեական օրենսգրքով նախատեսված արարք կատարելու մասին հաղորդումը ստանալուց հետո՝ մինչ սույն կարգի 50-րդ կետով նախատեսված հիմքերն ի հայտ գալը, անչափահասին աջակցելու համար, իրավասու ծառայողը յուրաքանչյուր ամիս իրականացնում է անչափահասի վարքագծի ուսումնասիրություն՝ նրան հնարավոր հակաիրավական ազդեցությունից զերծ պահելու նպատակով։</w:t>
      </w:r>
      <w:r w:rsidR="006C37BD" w:rsidRPr="001942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», </w:t>
      </w:r>
    </w:p>
    <w:p w14:paraId="1C883566" w14:textId="73FE6617" w:rsidR="006C37BD" w:rsidRPr="002D416F" w:rsidRDefault="00BE1CC0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52-րդ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proofErr w:type="gram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անչափահասին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proofErr w:type="gram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</w:t>
      </w:r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,» 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հետո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</w:t>
      </w:r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նել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="006C37BD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31F43330" w14:textId="019F7FD0" w:rsidR="00BE1CC0" w:rsidRPr="002D416F" w:rsidRDefault="00BE1CC0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53-րդ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ծնողի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բառից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005C98A6" w14:textId="5EF700FD" w:rsidR="00BE1CC0" w:rsidRPr="002D416F" w:rsidRDefault="00BE1CC0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Ձ</w:t>
      </w:r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և</w:t>
      </w:r>
      <w:proofErr w:type="spellEnd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2-ի 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միջոցառման</w:t>
      </w:r>
      <w:proofErr w:type="spellEnd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երկրորդ</w:t>
      </w:r>
      <w:proofErr w:type="spellEnd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տողում</w:t>
      </w:r>
      <w:proofErr w:type="spellEnd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ծնողի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»</w:t>
      </w:r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բառից</w:t>
      </w:r>
      <w:proofErr w:type="spellEnd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</w:t>
      </w:r>
      <w:proofErr w:type="spellEnd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</w:t>
      </w:r>
      <w:r w:rsidR="002D416F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14B5F467" w14:textId="44EDCD1E" w:rsidR="00687F88" w:rsidRPr="002D416F" w:rsidRDefault="002D416F" w:rsidP="002D416F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Ձև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7-ի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վերնագրում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ինչպես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նաև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1-ին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տողատակում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ծնողի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բառից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7-րդ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տողատակում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անձի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երեխայի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բառերը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փոխարինել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բառերով</w:t>
      </w:r>
      <w:proofErr w:type="spellEnd"/>
      <w:r w:rsidR="00687F88"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236DC8C5" w14:textId="77777777" w:rsidR="00687F88" w:rsidRPr="00687F88" w:rsidRDefault="00687F88" w:rsidP="002D416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ուժի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մեջ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մտնում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պաշտոնական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հրապարակմանը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հաջորդող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օրվանից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41C52072" w14:textId="47E7DB24" w:rsidR="00687F88" w:rsidRPr="002D416F" w:rsidRDefault="00687F88" w:rsidP="002D416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24CEDAE2" w14:textId="4BD143AF" w:rsidR="00687F88" w:rsidRPr="002D416F" w:rsidRDefault="00687F88" w:rsidP="002D416F">
      <w:pPr>
        <w:spacing w:after="0" w:line="360" w:lineRule="auto"/>
        <w:rPr>
          <w:rFonts w:ascii="GHEA Grapalat" w:eastAsia="Times New Roman" w:hAnsi="GHEA Grapalat" w:cs="Arial Unicode"/>
          <w:b/>
          <w:bCs/>
          <w:kern w:val="0"/>
          <w:sz w:val="24"/>
          <w:szCs w:val="24"/>
          <w14:ligatures w14:val="none"/>
        </w:rPr>
      </w:pPr>
      <w:proofErr w:type="spellStart"/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Հայաստանի</w:t>
      </w:r>
      <w:proofErr w:type="spellEnd"/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Հանրապետության</w:t>
      </w:r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br/>
        <w:t>վարչապետ</w:t>
      </w:r>
      <w:r w:rsidRPr="002D416F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</w:t>
      </w:r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Ն.</w:t>
      </w:r>
      <w:r w:rsidRPr="00687F88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b/>
          <w:bCs/>
          <w:kern w:val="0"/>
          <w:sz w:val="24"/>
          <w:szCs w:val="24"/>
          <w14:ligatures w14:val="none"/>
        </w:rPr>
        <w:t>Փաշինյան</w:t>
      </w:r>
      <w:proofErr w:type="spellEnd"/>
    </w:p>
    <w:p w14:paraId="361E6013" w14:textId="6D1C72CE" w:rsidR="00687F88" w:rsidRPr="002D416F" w:rsidRDefault="00687F88" w:rsidP="002D416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10D10292" w14:textId="0E086DAF" w:rsidR="00194218" w:rsidRPr="00194218" w:rsidRDefault="00194218" w:rsidP="00194218">
      <w:pPr>
        <w:tabs>
          <w:tab w:val="left" w:pos="11340"/>
        </w:tabs>
        <w:spacing w:after="0" w:line="360" w:lineRule="auto"/>
        <w:ind w:right="-1"/>
        <w:jc w:val="right"/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</w:pPr>
      <w:r w:rsidRPr="00194218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«  »____________2023թ.</w:t>
      </w:r>
    </w:p>
    <w:p w14:paraId="3D5C62D2" w14:textId="77777777" w:rsidR="00194218" w:rsidRPr="00194218" w:rsidRDefault="00194218" w:rsidP="00194218">
      <w:pPr>
        <w:tabs>
          <w:tab w:val="left" w:pos="11340"/>
        </w:tabs>
        <w:spacing w:after="0" w:line="360" w:lineRule="auto"/>
        <w:ind w:right="-1"/>
        <w:jc w:val="right"/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</w:pPr>
      <w:r w:rsidRPr="00194218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ք</w:t>
      </w:r>
      <w:r w:rsidRPr="00194218">
        <w:rPr>
          <w:rFonts w:ascii="Cambria Math" w:eastAsia="Times New Roman" w:hAnsi="Cambria Math" w:cs="Cambria Math"/>
          <w:b/>
          <w:kern w:val="0"/>
          <w:sz w:val="24"/>
          <w:szCs w:val="24"/>
          <w:lang w:val="hy-AM" w:eastAsia="ru-RU"/>
          <w14:ligatures w14:val="none"/>
        </w:rPr>
        <w:t xml:space="preserve">․ </w:t>
      </w:r>
      <w:proofErr w:type="spellStart"/>
      <w:r w:rsidRPr="00194218">
        <w:rPr>
          <w:rFonts w:ascii="GHEA Grapalat" w:eastAsia="Times New Roman" w:hAnsi="GHEA Grapalat" w:cs="GHEA Grapalat"/>
          <w:b/>
          <w:kern w:val="0"/>
          <w:sz w:val="24"/>
          <w:szCs w:val="24"/>
          <w:lang w:val="hy-AM" w:eastAsia="ru-RU"/>
          <w14:ligatures w14:val="none"/>
        </w:rPr>
        <w:t>Երևա</w:t>
      </w:r>
      <w:r w:rsidRPr="00194218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ն</w:t>
      </w:r>
      <w:proofErr w:type="spellEnd"/>
    </w:p>
    <w:p w14:paraId="776D2CB6" w14:textId="1F91D3E5" w:rsidR="00E65503" w:rsidRPr="00573E91" w:rsidRDefault="00E65503" w:rsidP="002D416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87ACD63" w14:textId="5A261698" w:rsidR="002D416F" w:rsidRPr="00573E91" w:rsidRDefault="002D416F" w:rsidP="002D416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7A771897" w14:textId="77777777" w:rsidR="00C63683" w:rsidRPr="00573E91" w:rsidRDefault="00C63683" w:rsidP="004640E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7A4989C2" w14:textId="77777777" w:rsidR="00194218" w:rsidRPr="00573E91" w:rsidRDefault="00194218" w:rsidP="00194218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573E91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lastRenderedPageBreak/>
        <w:t>ՀԻՄՆԱՎՈՐՈՒՄ</w:t>
      </w:r>
    </w:p>
    <w:p w14:paraId="7B34B00F" w14:textId="77777777" w:rsidR="00C63683" w:rsidRPr="00573E91" w:rsidRDefault="00C63683" w:rsidP="004640E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2DA0DE54" w14:textId="7236D7E7" w:rsidR="004640E3" w:rsidRPr="00573E91" w:rsidRDefault="004640E3" w:rsidP="004640E3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73E91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«</w:t>
      </w:r>
      <w:r w:rsidR="00C63683" w:rsidRPr="00573E91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 ԿԱՌԱՎԱՐՈՒԹՅԱՆ 2023 ԹՎԱԿԱՆԻ ՀՈՒՆԻՍԻ 1-Ի N 893-Ն ՈՐՈՇՄԱՆ ՄԵՋ ՓՈՓՈԽՈՒԹՅՈՒՆՆԵՐ ԵՎ ԼՐԱՑՈՒՄՆԵՐ ԿԱՏԱՐԵԼՈՒ ՄԱՍԻՆ</w:t>
      </w:r>
      <w:r w:rsidRPr="00573E91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» ՀԱՅԱՍՏԱՆԻ ՀԱՆՐԱՊԵՏՈՒԹՅԱՆ ԿԱՌԱՎԱՐՈՒԹՅԱՆ</w:t>
      </w:r>
      <w:r w:rsidRPr="00573E91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573E91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ՈՐՈՇՄԱՆ</w:t>
      </w:r>
      <w:r w:rsidRPr="00573E91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Pr="00573E91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ՆԱԽԱԳԾԻ</w:t>
      </w:r>
      <w:r w:rsidRPr="00573E91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0F7E037A" w14:textId="77777777" w:rsidR="004640E3" w:rsidRPr="00573E91" w:rsidRDefault="004640E3" w:rsidP="004640E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bookmarkStart w:id="2" w:name="_Hlk162464010"/>
      <w:r w:rsidRPr="00573E91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70581351" w14:textId="77777777" w:rsidR="004640E3" w:rsidRPr="00573E91" w:rsidRDefault="004640E3" w:rsidP="004640E3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573E91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Ընթացիկ իրավիճակը և իրավական ակտերի ընդունման անհրաժեշտությունը.</w:t>
      </w:r>
    </w:p>
    <w:p w14:paraId="0FE6F503" w14:textId="3855D052" w:rsidR="00954B99" w:rsidRDefault="000148C9" w:rsidP="004640E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ՀՀ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2023</w:t>
      </w:r>
      <w:proofErr w:type="gram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</w:t>
      </w:r>
      <w:r w:rsid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.-</w:t>
      </w:r>
      <w:proofErr w:type="gram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ի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հունիսի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1-ի </w:t>
      </w:r>
      <w:r w:rsidR="00954B99"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N 893-</w:t>
      </w:r>
      <w:r w:rsidR="00954B99"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r w:rsidR="00954B99"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54B99"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որոշմա</w:t>
      </w:r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մբ</w:t>
      </w:r>
      <w:proofErr w:type="spellEnd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սահմա</w:t>
      </w:r>
      <w:r w:rsidR="002A09D2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վել</w:t>
      </w:r>
      <w:proofErr w:type="spellEnd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հետևյալ</w:t>
      </w:r>
      <w:proofErr w:type="spellEnd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անձա</w:t>
      </w:r>
      <w:r w:rsidR="002A09D2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ց</w:t>
      </w:r>
      <w:proofErr w:type="spellEnd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հաշվառման</w:t>
      </w:r>
      <w:proofErr w:type="spellEnd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առանձնահատկությունները</w:t>
      </w:r>
      <w:proofErr w:type="spellEnd"/>
      <w:r w:rsid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՝</w:t>
      </w:r>
    </w:p>
    <w:p w14:paraId="3B9A34E0" w14:textId="77777777" w:rsidR="00954B99" w:rsidRPr="00954B99" w:rsidRDefault="00954B9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</w:t>
      </w:r>
      <w:r w:rsidR="000148C9"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նչափահաս</w:t>
      </w:r>
      <w:proofErr w:type="spellEnd"/>
      <w:r w:rsidR="000148C9" w:rsidRPr="00954B9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="000148C9"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մեղադրյալի</w:t>
      </w:r>
      <w:proofErr w:type="spellEnd"/>
      <w:r w:rsidR="000148C9"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5089D44C" w14:textId="77777777" w:rsidR="00954B99" w:rsidRPr="00954B99" w:rsidRDefault="000148C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մեկ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տարվա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ընթացքում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երկու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ավելի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անգամ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վարչական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իրավախախտում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կատարած</w:t>
      </w:r>
      <w:proofErr w:type="spellEnd"/>
      <w:r w:rsidRPr="00954B9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բացառությամբ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Վարչական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իրավախախտումների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վերաբերյալ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օրենսգրքի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21-</w:t>
      </w:r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րդ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հո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դվածով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պատասխանատվությունից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ազատելու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դեպքերի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3614862F" w14:textId="77777777" w:rsidR="00954B99" w:rsidRPr="00954B99" w:rsidRDefault="000148C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երկու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ավելի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անգամ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բնակության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վայրն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ինքնակամ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լքած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մինչև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16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տարեկան</w:t>
      </w:r>
      <w:proofErr w:type="spellEnd"/>
      <w:r w:rsidRPr="00954B9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16CAE37A" w14:textId="1A0FF05D" w:rsidR="00954B99" w:rsidRPr="00954B99" w:rsidRDefault="000148C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մանկավարժական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խորհրդի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համապատասխան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որոշման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հիման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վրա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պարտադիր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ուսուցումից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120 </w:t>
      </w:r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և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ավելի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ժամաքանակ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դասեր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անհարգելի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բաց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թող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ած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954B99"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թափառաշրջիկությամբ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մուրացկանությամբ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շահումով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խաղերով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զբաղվող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ոգելից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խմիչքներ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թմրամիջոցներ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հոգեմետ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հոգեներգործուն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թունավոր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թմրեցնող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նյութեր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օգտագործող</w:t>
      </w:r>
      <w:proofErr w:type="spellEnd"/>
      <w:r w:rsidRPr="00954B9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14EC18FF" w14:textId="77777777" w:rsidR="00954B99" w:rsidRPr="00954B99" w:rsidRDefault="000148C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ազատազրկման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ձևով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պատիժը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կրած</w:t>
      </w:r>
      <w:proofErr w:type="spellEnd"/>
      <w:r w:rsidR="00954B99" w:rsidRPr="00954B9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2E6C2BA9" w14:textId="77777777" w:rsidR="00954B99" w:rsidRPr="00954B99" w:rsidRDefault="000148C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դատարանի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կողմից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դաստիարակչական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բն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ույթի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հարկադրանքի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միջոցներ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կիրառելու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հետևանքով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քրեական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պատասխանատվությունից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ազատված</w:t>
      </w:r>
      <w:proofErr w:type="spellEnd"/>
      <w:r w:rsidR="00954B99" w:rsidRPr="00954B9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վարքագծի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նկատմամբ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հետագա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վերահսկողությունը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դրվել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է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ոստիկանության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վրա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Pr="00954B9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E65CA18" w14:textId="77777777" w:rsidR="00954B99" w:rsidRPr="00954B99" w:rsidRDefault="000148C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lastRenderedPageBreak/>
        <w:t>անչափահասի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նկատմամբ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քրեական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հետապնդումը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դադարեցվել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է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ոչ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ռեաբիլիտացնող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հանգամանքնե</w:t>
      </w:r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րով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4BFCF608" w14:textId="7DCDD5A4" w:rsidR="000148C9" w:rsidRPr="00954B99" w:rsidRDefault="000148C9" w:rsidP="00954B99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անչափահասի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վրա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բացասական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ազդեցություն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ունեցող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ծնողի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օրինական</w:t>
      </w:r>
      <w:proofErr w:type="spellEnd"/>
      <w:r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54B99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ներկայացուցչի</w:t>
      </w:r>
      <w:proofErr w:type="spellEnd"/>
      <w:r w:rsidR="00954B99" w:rsidRPr="00954B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68CE63EA" w14:textId="50B95592" w:rsidR="00AF2F1D" w:rsidRDefault="007D2CA2" w:rsidP="007D2CA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Գործող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կարգավորումներով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երբեմն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դուրս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գալիս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շրջանակից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որը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նախատեսված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վերնագրով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«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Ոստիկանության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օրենքում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ամրագրված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լիազոր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նորմով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ինչպես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նաև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կարգավորումներ</w:t>
      </w:r>
      <w:proofErr w:type="spellEnd"/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որոնք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լրացուցիչ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հստակեցման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կարիք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ունեն</w:t>
      </w:r>
      <w:proofErr w:type="spellEnd"/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ելնելով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պրակտիկ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գործ</w:t>
      </w:r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ունեո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ւթյան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ժամանակ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առաջացած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նդիրներից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Մասնավորապես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Նախագծով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առաջարկվում</w:t>
      </w:r>
      <w:proofErr w:type="spellEnd"/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</w:t>
      </w:r>
      <w:r w:rsidR="00AF2F1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</w:t>
      </w:r>
    </w:p>
    <w:p w14:paraId="65DEDB09" w14:textId="08D51D5F" w:rsidR="00AF2F1D" w:rsidRPr="006850F3" w:rsidRDefault="007D2CA2" w:rsidP="006850F3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որոշման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կարգավորումները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չտարածել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երեխայի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նկատմամբ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կատարված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բռնությունների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դեպքերով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6ADB0E48" w14:textId="305F4F2A" w:rsidR="000148C9" w:rsidRPr="006850F3" w:rsidRDefault="007D2CA2" w:rsidP="006850F3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հստակեցնել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որոշումը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կարգավորելու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ոչ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թե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հակահասարակական</w:t>
      </w:r>
      <w:proofErr w:type="spellEnd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վարքագծին</w:t>
      </w:r>
      <w:proofErr w:type="spellEnd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առնչվող</w:t>
      </w:r>
      <w:proofErr w:type="spellEnd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հարցեր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որը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շատ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լայն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հասկացություն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է,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այլ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վերաբերելու</w:t>
      </w:r>
      <w:proofErr w:type="spellEnd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հակաիրավական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վարքագի</w:t>
      </w:r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դրսևորող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անչափահասների</w:t>
      </w:r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  <w:proofErr w:type="spellEnd"/>
      <w:r w:rsidR="00AF2F1D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0BFC6E1" w14:textId="767877E9" w:rsidR="000148C9" w:rsidRPr="006850F3" w:rsidRDefault="00AF2F1D" w:rsidP="006850F3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հաշվի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առնելով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երքին</w:t>
      </w:r>
      <w:proofErr w:type="spellEnd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գործերի</w:t>
      </w:r>
      <w:proofErr w:type="spellEnd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A85D3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նախարարություն</w:t>
      </w:r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ում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իրականացվող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բարեփոխումները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հստակեցնել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վարչությունների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անունները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՝</w:t>
      </w:r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հասարակական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անվտանգության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ապահովման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գլխավոր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վարչության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փոխար</w:t>
      </w:r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</w:t>
      </w:r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կիրառ</w:t>
      </w:r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ել</w:t>
      </w:r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ով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համայնքային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ոստիկանության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գլխավոր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վարչությունը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</w:p>
    <w:p w14:paraId="083DA725" w14:textId="7F8956AB" w:rsidR="000148C9" w:rsidRPr="006850F3" w:rsidRDefault="00AF2F1D" w:rsidP="006850F3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հստակեցվում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երեխայի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խնամքի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դաստիարակության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ուղղորդման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նպատակները</w:t>
      </w:r>
      <w:proofErr w:type="spellEnd"/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2D1DB4BC" w14:textId="0D910BB8" w:rsidR="00AF2F1D" w:rsidRPr="006850F3" w:rsidRDefault="00AF2F1D" w:rsidP="006850F3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հստակեցվում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մասնագետների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շրջանակը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</w:t>
      </w:r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վքեր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կիրականացն</w:t>
      </w:r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որոշմամբ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նախատեսված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գործառույթներ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կամ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կաջակց</w:t>
      </w:r>
      <w:r w:rsidR="002A09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են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դրանց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կատարմանը</w:t>
      </w:r>
      <w:proofErr w:type="spellEnd"/>
      <w:r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,</w:t>
      </w:r>
    </w:p>
    <w:p w14:paraId="69B7C050" w14:textId="55AEF72C" w:rsidR="000148C9" w:rsidRPr="006850F3" w:rsidRDefault="00AF2F1D" w:rsidP="006850F3">
      <w:pPr>
        <w:pStyle w:val="ListParagraph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proofErr w:type="spellStart"/>
      <w:r w:rsidRPr="006850F3">
        <w:rPr>
          <w:rFonts w:ascii="GHEA Grapalat" w:hAnsi="GHEA Grapalat"/>
          <w:sz w:val="24"/>
          <w:szCs w:val="24"/>
        </w:rPr>
        <w:t>հստակեցվում</w:t>
      </w:r>
      <w:proofErr w:type="spellEnd"/>
      <w:r w:rsidRPr="006850F3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6850F3">
        <w:rPr>
          <w:rFonts w:ascii="GHEA Grapalat" w:hAnsi="GHEA Grapalat"/>
          <w:sz w:val="24"/>
          <w:szCs w:val="24"/>
        </w:rPr>
        <w:t>որ</w:t>
      </w:r>
      <w:proofErr w:type="spellEnd"/>
      <w:r w:rsidRPr="006850F3">
        <w:rPr>
          <w:rFonts w:ascii="GHEA Grapalat" w:hAnsi="GHEA Grapalat"/>
          <w:sz w:val="24"/>
          <w:szCs w:val="24"/>
        </w:rPr>
        <w:t xml:space="preserve"> ա</w:t>
      </w:r>
      <w:proofErr w:type="spellStart"/>
      <w:r w:rsidR="000148C9" w:rsidRPr="006850F3">
        <w:rPr>
          <w:rFonts w:ascii="GHEA Grapalat" w:hAnsi="GHEA Grapalat"/>
          <w:sz w:val="24"/>
          <w:szCs w:val="24"/>
          <w:lang w:val="hy-AM"/>
        </w:rPr>
        <w:t>նչափահասի</w:t>
      </w:r>
      <w:proofErr w:type="spellEnd"/>
      <w:r w:rsidR="000148C9" w:rsidRPr="006850F3">
        <w:rPr>
          <w:rFonts w:ascii="GHEA Grapalat" w:hAnsi="GHEA Grapalat"/>
          <w:sz w:val="24"/>
          <w:szCs w:val="24"/>
          <w:lang w:val="hy-AM"/>
        </w:rPr>
        <w:t xml:space="preserve"> կողմից ՀՀ քրեական օրենսգրքով նախատեսված արարք կատարելու մասին հաղորդումը ստանալուց հետո՝ մինչ </w:t>
      </w:r>
      <w:proofErr w:type="spellStart"/>
      <w:r w:rsidRPr="006850F3">
        <w:rPr>
          <w:rFonts w:ascii="GHEA Grapalat" w:hAnsi="GHEA Grapalat"/>
          <w:sz w:val="24"/>
          <w:szCs w:val="24"/>
        </w:rPr>
        <w:t>որոշմամբ</w:t>
      </w:r>
      <w:proofErr w:type="spellEnd"/>
      <w:r w:rsidRPr="006850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850F3">
        <w:rPr>
          <w:rFonts w:ascii="GHEA Grapalat" w:hAnsi="GHEA Grapalat"/>
          <w:sz w:val="24"/>
          <w:szCs w:val="24"/>
        </w:rPr>
        <w:t>սահմանված</w:t>
      </w:r>
      <w:proofErr w:type="spellEnd"/>
      <w:r w:rsidR="000148C9" w:rsidRPr="006850F3">
        <w:rPr>
          <w:rFonts w:ascii="GHEA Grapalat" w:hAnsi="GHEA Grapalat"/>
          <w:sz w:val="24"/>
          <w:szCs w:val="24"/>
          <w:lang w:val="hy-AM"/>
        </w:rPr>
        <w:t xml:space="preserve"> կարգի 50-րդ կետով նախատեսված հիմքերն ի հայտ գալը, անչափահասին աջակցելու համար, </w:t>
      </w:r>
      <w:proofErr w:type="spellStart"/>
      <w:r w:rsidR="009A11E8" w:rsidRPr="006850F3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9A11E8" w:rsidRPr="006850F3">
        <w:rPr>
          <w:rFonts w:ascii="GHEA Grapalat" w:hAnsi="GHEA Grapalat"/>
          <w:sz w:val="24"/>
          <w:szCs w:val="24"/>
        </w:rPr>
        <w:t xml:space="preserve"> </w:t>
      </w:r>
      <w:r w:rsidR="000148C9" w:rsidRPr="006850F3">
        <w:rPr>
          <w:rFonts w:ascii="GHEA Grapalat" w:hAnsi="GHEA Grapalat"/>
          <w:sz w:val="24"/>
          <w:szCs w:val="24"/>
          <w:lang w:val="hy-AM"/>
        </w:rPr>
        <w:t>իրավասու ծառայողը յուրաքանչյուր ամիս իրականացնում է անչափահասի վարքագծի ուսումնասիրություն՝ նրան հնարավոր հակաիրավական ազդեցությունից զերծ պահելու նպատակով</w:t>
      </w:r>
      <w:r w:rsidR="009A11E8" w:rsidRPr="006850F3">
        <w:rPr>
          <w:rFonts w:ascii="GHEA Grapalat" w:hAnsi="GHEA Grapalat"/>
          <w:sz w:val="24"/>
          <w:szCs w:val="24"/>
        </w:rPr>
        <w:t>:</w:t>
      </w:r>
      <w:r w:rsidR="000148C9" w:rsidRPr="00685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850F3">
        <w:rPr>
          <w:rFonts w:ascii="GHEA Grapalat" w:hAnsi="GHEA Grapalat"/>
          <w:sz w:val="24"/>
          <w:szCs w:val="24"/>
        </w:rPr>
        <w:t>Այս</w:t>
      </w:r>
      <w:proofErr w:type="spellEnd"/>
      <w:r w:rsidR="006850F3" w:rsidRPr="002D416F">
        <w:rPr>
          <w:rFonts w:ascii="GHEA Grapalat" w:hAnsi="GHEA Grapalat"/>
          <w:sz w:val="24"/>
          <w:szCs w:val="24"/>
          <w:lang w:val="hy-AM"/>
        </w:rPr>
        <w:t xml:space="preserve"> հիմքի առկայության </w:t>
      </w:r>
      <w:r w:rsidR="006850F3" w:rsidRPr="002D416F">
        <w:rPr>
          <w:rFonts w:ascii="GHEA Grapalat" w:hAnsi="GHEA Grapalat"/>
          <w:sz w:val="24"/>
          <w:szCs w:val="24"/>
          <w:lang w:val="hy-AM"/>
        </w:rPr>
        <w:lastRenderedPageBreak/>
        <w:t xml:space="preserve">դեպքում ուսումնասիրությունը </w:t>
      </w:r>
      <w:r w:rsidR="006850F3">
        <w:rPr>
          <w:rFonts w:ascii="GHEA Grapalat" w:hAnsi="GHEA Grapalat"/>
          <w:sz w:val="24"/>
          <w:szCs w:val="24"/>
        </w:rPr>
        <w:t>կ</w:t>
      </w:r>
      <w:r w:rsidR="006850F3" w:rsidRPr="002D416F">
        <w:rPr>
          <w:rFonts w:ascii="GHEA Grapalat" w:hAnsi="GHEA Grapalat"/>
          <w:sz w:val="24"/>
          <w:szCs w:val="24"/>
          <w:lang w:val="hy-AM"/>
        </w:rPr>
        <w:t>իրականացվ</w:t>
      </w:r>
      <w:r w:rsidR="006850F3">
        <w:rPr>
          <w:rFonts w:ascii="GHEA Grapalat" w:hAnsi="GHEA Grapalat"/>
          <w:sz w:val="24"/>
          <w:szCs w:val="24"/>
        </w:rPr>
        <w:t>ի</w:t>
      </w:r>
      <w:r w:rsidR="006850F3" w:rsidRPr="002D416F">
        <w:rPr>
          <w:rFonts w:ascii="GHEA Grapalat" w:hAnsi="GHEA Grapalat"/>
          <w:sz w:val="24"/>
          <w:szCs w:val="24"/>
          <w:lang w:val="hy-AM"/>
        </w:rPr>
        <w:t xml:space="preserve"> անչափահասի բնակության վայրը սպասարկող ոստիկանության ստորաբաժանման կողմից։ Եթե արարքը կատարվել է անչափահասի բնակության վայրը սպասարկող ոստիկանության ստորաբաժանման վարչական տարածքից դուրս, ապա </w:t>
      </w:r>
      <w:proofErr w:type="spellStart"/>
      <w:r w:rsidR="006850F3" w:rsidRPr="002D416F">
        <w:rPr>
          <w:rFonts w:ascii="GHEA Grapalat" w:hAnsi="GHEA Grapalat"/>
          <w:sz w:val="24"/>
          <w:szCs w:val="24"/>
          <w:lang w:val="hy-AM"/>
        </w:rPr>
        <w:t>արարաքի</w:t>
      </w:r>
      <w:proofErr w:type="spellEnd"/>
      <w:r w:rsidR="006850F3" w:rsidRPr="002D416F">
        <w:rPr>
          <w:rFonts w:ascii="GHEA Grapalat" w:hAnsi="GHEA Grapalat"/>
          <w:sz w:val="24"/>
          <w:szCs w:val="24"/>
          <w:lang w:val="hy-AM"/>
        </w:rPr>
        <w:t xml:space="preserve"> կատարման վայրը սպասարկող ոստիկանության ստորաբաժանման ղեկավարը անհապաղ, բայց ոչ ուշ քան 24 ժամվա ընթացքում, տեղեկացնում է անչափահասի բնակության վայրը սպասարկող ոստիկանության ստորաբաժանում</w:t>
      </w:r>
      <w:r w:rsidR="002A09D2" w:rsidRPr="002A09D2">
        <w:rPr>
          <w:rFonts w:ascii="GHEA Grapalat" w:hAnsi="GHEA Grapalat"/>
          <w:sz w:val="24"/>
          <w:szCs w:val="24"/>
          <w:lang w:val="hy-AM"/>
        </w:rPr>
        <w:t>:</w:t>
      </w:r>
    </w:p>
    <w:p w14:paraId="43FAE897" w14:textId="52357072" w:rsidR="004640E3" w:rsidRPr="002A09D2" w:rsidRDefault="004640E3" w:rsidP="004640E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2A09D2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Նախագծով նաև ապահովվում է միասնական տերմինաբանություն </w:t>
      </w:r>
      <w:r w:rsidR="009A11E8" w:rsidRPr="002A09D2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այլ </w:t>
      </w:r>
      <w:r w:rsidR="00A85D36" w:rsidRPr="0041731F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9A11E8" w:rsidRPr="002A09D2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րավական ակտերի համեմատ</w:t>
      </w:r>
      <w:r w:rsidRPr="002A09D2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:  </w:t>
      </w:r>
    </w:p>
    <w:p w14:paraId="0BB9BA4E" w14:textId="77777777" w:rsidR="004640E3" w:rsidRPr="002A09D2" w:rsidRDefault="004640E3" w:rsidP="004640E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6F2D06D1" w14:textId="77777777" w:rsidR="004640E3" w:rsidRPr="007F2219" w:rsidRDefault="004640E3" w:rsidP="004640E3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Առաջարկվող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կարգավորման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բնույթը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D6B80E1" w14:textId="55A45898" w:rsidR="004640E3" w:rsidRDefault="004640E3" w:rsidP="004640E3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Նախագծով</w:t>
      </w:r>
      <w:proofErr w:type="spellEnd"/>
      <w:r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առաջարկվում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հստակեցնել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A11E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հաշվառման</w:t>
      </w:r>
      <w:proofErr w:type="spellEnd"/>
      <w:r w:rsidR="009A11E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անձանց</w:t>
      </w:r>
      <w:proofErr w:type="spellEnd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շրջանակը</w:t>
      </w:r>
      <w:proofErr w:type="spellEnd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հիմքերը</w:t>
      </w:r>
      <w:proofErr w:type="spellEnd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9A11E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պրոֆիլակտիկայի</w:t>
      </w:r>
      <w:proofErr w:type="spellEnd"/>
      <w:r w:rsidR="009A11E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A11E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շրջանակներում</w:t>
      </w:r>
      <w:proofErr w:type="spellEnd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ներգրավված</w:t>
      </w:r>
      <w:proofErr w:type="spellEnd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մասնագետներին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կատարվելիք</w:t>
      </w:r>
      <w:proofErr w:type="spellEnd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ուսումնասիրությունները</w:t>
      </w:r>
      <w:proofErr w:type="spellEnd"/>
      <w:r w:rsidR="006850F3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ինչպես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նաև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ապահովվում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այլ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իրավական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ակտերի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հետ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միասնական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տերմինաբանության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կիրառումը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103C0272" w14:textId="77777777" w:rsidR="004640E3" w:rsidRPr="007F2219" w:rsidRDefault="004640E3" w:rsidP="004640E3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6936868F" w14:textId="77777777" w:rsidR="004640E3" w:rsidRPr="007F2219" w:rsidRDefault="004640E3" w:rsidP="004640E3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Նախագծի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մշակման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գործընթացում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ներգրավված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ինստիտուտները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անձինք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և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նրանց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դիրքորոշումը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63DA7BAE" w14:textId="77777777" w:rsidR="00194218" w:rsidRPr="00194218" w:rsidRDefault="00194218" w:rsidP="001942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ՀՀ ն</w:t>
      </w:r>
      <w:proofErr w:type="spellStart"/>
      <w:r w:rsidRPr="0019421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երք</w:t>
      </w:r>
      <w:proofErr w:type="spellEnd"/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</w:t>
      </w:r>
      <w:r w:rsidRPr="0019421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 </w:t>
      </w:r>
      <w:proofErr w:type="spellStart"/>
      <w:r w:rsidRPr="0019421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գործերի</w:t>
      </w:r>
      <w:proofErr w:type="spellEnd"/>
      <w:r w:rsidRPr="0019421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9421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նախարարութ</w:t>
      </w:r>
      <w:proofErr w:type="spellEnd"/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յու</w:t>
      </w:r>
      <w:r w:rsidRPr="00194218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ն:</w:t>
      </w:r>
    </w:p>
    <w:p w14:paraId="67D9EA88" w14:textId="77777777" w:rsidR="004640E3" w:rsidRPr="007F2219" w:rsidRDefault="004640E3" w:rsidP="004640E3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12CD84F1" w14:textId="7192FA9D" w:rsidR="00194218" w:rsidRPr="00194218" w:rsidRDefault="00194218" w:rsidP="00194218">
      <w:pPr>
        <w:tabs>
          <w:tab w:val="left" w:pos="9639"/>
        </w:tabs>
        <w:spacing w:after="0" w:line="360" w:lineRule="auto"/>
        <w:ind w:right="-421" w:firstLine="567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194218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4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․ </w:t>
      </w:r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Լրացուցիչ ֆինանսական միջոցների անհրաժեշտությունը և պետական բյուջեի </w:t>
      </w:r>
      <w:proofErr w:type="spellStart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եկամուտներում</w:t>
      </w:r>
      <w:proofErr w:type="spellEnd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և ծախսերում սպասվելիք փոփոխությունները</w:t>
      </w:r>
      <w:r w:rsidRPr="00194218">
        <w:rPr>
          <w:rFonts w:ascii="Cambria Math" w:eastAsia="Times New Roman" w:hAnsi="Cambria Math" w:cs="Cambria Math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</w:p>
    <w:p w14:paraId="600A3447" w14:textId="7171C699" w:rsidR="004640E3" w:rsidRPr="00194218" w:rsidRDefault="00194218" w:rsidP="001942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Նախագծի ընդունման դեպքում Հայաստանի Հանրապետության պետական բյուջեի եկամուտների և ծախսերի մասով փոփոխություններ չեն առաջանա</w:t>
      </w:r>
      <w:r w:rsidR="004640E3" w:rsidRPr="00194218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308CDCA5" w14:textId="77777777" w:rsidR="00194218" w:rsidRPr="00194218" w:rsidRDefault="00194218" w:rsidP="00194218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Կապը</w:t>
      </w:r>
      <w:proofErr w:type="spellEnd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ռազմավարական</w:t>
      </w:r>
      <w:proofErr w:type="spellEnd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փաստաթղթերի</w:t>
      </w:r>
      <w:proofErr w:type="spellEnd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հետ</w:t>
      </w:r>
      <w:proofErr w:type="spellEnd"/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6F982EE" w14:textId="77777777" w:rsidR="00194218" w:rsidRPr="00194218" w:rsidRDefault="00194218" w:rsidP="00194218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194218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     Նախագծի ընդունումը չի բխում ռազմավարական փաստաթղթերից</w:t>
      </w:r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</w:p>
    <w:p w14:paraId="4D20A7E5" w14:textId="77777777" w:rsidR="00194218" w:rsidRPr="00194218" w:rsidRDefault="00194218" w:rsidP="00194218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089340DB" w14:textId="77777777" w:rsidR="00194218" w:rsidRDefault="00194218" w:rsidP="00194218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78D5E84F" w14:textId="3D8A956D" w:rsidR="00194218" w:rsidRPr="00194218" w:rsidRDefault="00194218" w:rsidP="00194218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194218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lastRenderedPageBreak/>
        <w:t>6</w:t>
      </w:r>
      <w:r w:rsidRPr="00194218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 w:rsidRPr="0019421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Ակնկալվող արդյունքը.</w:t>
      </w:r>
    </w:p>
    <w:p w14:paraId="18015D6F" w14:textId="5DFF4721" w:rsidR="00194218" w:rsidRPr="00194218" w:rsidRDefault="004640E3" w:rsidP="00194218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194218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Նախագծի </w:t>
      </w:r>
      <w:proofErr w:type="spellStart"/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ընդունմամբ</w:t>
      </w:r>
      <w:proofErr w:type="spellEnd"/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ակնկալվում է </w:t>
      </w:r>
      <w:r w:rsidR="006850F3"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հաշվառման և ուսումնասիրությունների առավել ամբողջական պրակտիկայի </w:t>
      </w:r>
      <w:proofErr w:type="spellStart"/>
      <w:r w:rsidR="006850F3"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ձևակերպում</w:t>
      </w:r>
      <w:proofErr w:type="spellEnd"/>
      <w:r w:rsidR="006850F3"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և </w:t>
      </w:r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միասնական </w:t>
      </w:r>
      <w:proofErr w:type="spellStart"/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տերմինաբանությ</w:t>
      </w:r>
      <w:r w:rsidR="006850F3"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</w:t>
      </w:r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</w:t>
      </w:r>
      <w:proofErr w:type="spellEnd"/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կիրառ</w:t>
      </w:r>
      <w:r w:rsidR="006850F3"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ում</w:t>
      </w:r>
      <w:r w:rsidRPr="0019421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:</w:t>
      </w:r>
    </w:p>
    <w:bookmarkEnd w:id="2"/>
    <w:p w14:paraId="1E4EDFED" w14:textId="77777777" w:rsidR="004640E3" w:rsidRPr="00573E91" w:rsidRDefault="004640E3" w:rsidP="004640E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sectPr w:rsidR="004640E3" w:rsidRPr="00573E91" w:rsidSect="002D416F">
      <w:pgSz w:w="12240" w:h="15840" w:code="1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93D"/>
    <w:multiLevelType w:val="multilevel"/>
    <w:tmpl w:val="7A2C5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67B81"/>
    <w:multiLevelType w:val="multilevel"/>
    <w:tmpl w:val="C9ECE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539E8"/>
    <w:multiLevelType w:val="multilevel"/>
    <w:tmpl w:val="78561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5240F"/>
    <w:multiLevelType w:val="multilevel"/>
    <w:tmpl w:val="146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60D3C"/>
    <w:multiLevelType w:val="hybridMultilevel"/>
    <w:tmpl w:val="BA66881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C084D73"/>
    <w:multiLevelType w:val="hybridMultilevel"/>
    <w:tmpl w:val="E3D2A2C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FB16E1"/>
    <w:multiLevelType w:val="multilevel"/>
    <w:tmpl w:val="CD12E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01C93"/>
    <w:multiLevelType w:val="multilevel"/>
    <w:tmpl w:val="E94CC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02709"/>
    <w:multiLevelType w:val="hybridMultilevel"/>
    <w:tmpl w:val="87844DAC"/>
    <w:lvl w:ilvl="0" w:tplc="0510709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EFE6514"/>
    <w:multiLevelType w:val="hybridMultilevel"/>
    <w:tmpl w:val="0F2678A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360361"/>
    <w:multiLevelType w:val="multilevel"/>
    <w:tmpl w:val="AB02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6B"/>
    <w:rsid w:val="000148C9"/>
    <w:rsid w:val="000E30A7"/>
    <w:rsid w:val="00194218"/>
    <w:rsid w:val="002063B0"/>
    <w:rsid w:val="002711A6"/>
    <w:rsid w:val="002A09D2"/>
    <w:rsid w:val="002D416F"/>
    <w:rsid w:val="00320D6B"/>
    <w:rsid w:val="003A0D0C"/>
    <w:rsid w:val="003A2DE1"/>
    <w:rsid w:val="0041731F"/>
    <w:rsid w:val="004640E3"/>
    <w:rsid w:val="00466EC6"/>
    <w:rsid w:val="005250C0"/>
    <w:rsid w:val="00573E91"/>
    <w:rsid w:val="006850F3"/>
    <w:rsid w:val="00687F88"/>
    <w:rsid w:val="006C37BD"/>
    <w:rsid w:val="00731A29"/>
    <w:rsid w:val="00772603"/>
    <w:rsid w:val="00794196"/>
    <w:rsid w:val="007D2CA2"/>
    <w:rsid w:val="00954B99"/>
    <w:rsid w:val="009A11E8"/>
    <w:rsid w:val="00A079BD"/>
    <w:rsid w:val="00A14BA2"/>
    <w:rsid w:val="00A32A40"/>
    <w:rsid w:val="00A85D36"/>
    <w:rsid w:val="00AF2F1D"/>
    <w:rsid w:val="00B3447C"/>
    <w:rsid w:val="00BE1CC0"/>
    <w:rsid w:val="00C51B0B"/>
    <w:rsid w:val="00C612EA"/>
    <w:rsid w:val="00C63683"/>
    <w:rsid w:val="00C85A37"/>
    <w:rsid w:val="00D60579"/>
    <w:rsid w:val="00E21C14"/>
    <w:rsid w:val="00E65503"/>
    <w:rsid w:val="00F4313C"/>
    <w:rsid w:val="00FC2C24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2BDF"/>
  <w15:chartTrackingRefBased/>
  <w15:docId w15:val="{DC3E8EF1-30D2-4754-A133-84BEF503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87F88"/>
    <w:rPr>
      <w:b/>
      <w:bCs/>
    </w:rPr>
  </w:style>
  <w:style w:type="character" w:styleId="Emphasis">
    <w:name w:val="Emphasis"/>
    <w:basedOn w:val="DefaultParagraphFont"/>
    <w:uiPriority w:val="20"/>
    <w:qFormat/>
    <w:rsid w:val="00687F88"/>
    <w:rPr>
      <w:i/>
      <w:iCs/>
    </w:rPr>
  </w:style>
  <w:style w:type="paragraph" w:styleId="ListParagraph">
    <w:name w:val="List Paragraph"/>
    <w:basedOn w:val="Normal"/>
    <w:uiPriority w:val="34"/>
    <w:qFormat/>
    <w:rsid w:val="00687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https://mul2-mia.gov.am/tasks/2710463/oneclick/893-N.docx?token=7f88eb23b7e69f675492139b6861bec1</cp:keywords>
  <dc:description/>
  <cp:lastModifiedBy>Srbuhi Aleksanyan</cp:lastModifiedBy>
  <cp:revision>24</cp:revision>
  <dcterms:created xsi:type="dcterms:W3CDTF">2024-02-14T02:06:00Z</dcterms:created>
  <dcterms:modified xsi:type="dcterms:W3CDTF">2024-04-25T06:24:00Z</dcterms:modified>
</cp:coreProperties>
</file>