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13" w:rsidRPr="00EE56FD" w:rsidRDefault="00765813" w:rsidP="009A30FD">
      <w:pPr>
        <w:spacing w:after="0"/>
        <w:ind w:firstLine="45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  <w:r w:rsidRPr="00EE56FD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  <w:t>ՆԱԽԱԳԻԾ</w:t>
      </w:r>
    </w:p>
    <w:p w:rsidR="00765813" w:rsidRPr="00EE56FD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65813" w:rsidRPr="00EE56FD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765813" w:rsidRPr="00EE56FD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 </w:t>
      </w:r>
    </w:p>
    <w:p w:rsidR="00765813" w:rsidRPr="00EE56FD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765813" w:rsidRPr="00EE56FD" w:rsidRDefault="00765813" w:rsidP="009A30FD">
      <w:pPr>
        <w:spacing w:after="0"/>
        <w:ind w:firstLine="450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 </w:t>
      </w:r>
    </w:p>
    <w:p w:rsidR="00765813" w:rsidRPr="00EE56FD" w:rsidRDefault="00765813" w:rsidP="009A30FD">
      <w:pPr>
        <w:pStyle w:val="ListParagraph"/>
        <w:numPr>
          <w:ilvl w:val="0"/>
          <w:numId w:val="1"/>
        </w:numPr>
        <w:spacing w:after="0"/>
        <w:ind w:left="0"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______-</w:t>
      </w:r>
      <w:r w:rsidRPr="00EE56FD">
        <w:rPr>
          <w:rFonts w:ascii="GHEA Grapalat" w:eastAsia="Times New Roman" w:hAnsi="GHEA Grapalat" w:cs="Times New Roman"/>
          <w:sz w:val="24"/>
          <w:szCs w:val="24"/>
        </w:rPr>
        <w:t>ի</w:t>
      </w:r>
      <w:r w:rsidRPr="00EE56FD">
        <w:rPr>
          <w:rFonts w:ascii="Calibri" w:eastAsia="Times New Roman" w:hAnsi="Calibri" w:cs="Calibri"/>
          <w:sz w:val="24"/>
          <w:szCs w:val="24"/>
        </w:rPr>
        <w:t> </w:t>
      </w:r>
      <w:r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</w:t>
      </w:r>
      <w:r w:rsidR="00151667"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Pr="00EE56FD">
        <w:rPr>
          <w:rFonts w:ascii="Calibri" w:eastAsia="Times New Roman" w:hAnsi="Calibri" w:cs="Calibri"/>
          <w:sz w:val="24"/>
          <w:szCs w:val="24"/>
        </w:rPr>
        <w:t> </w:t>
      </w:r>
      <w:r w:rsidRPr="00EE56FD">
        <w:rPr>
          <w:rFonts w:ascii="GHEA Grapalat" w:eastAsia="Times New Roman" w:hAnsi="GHEA Grapalat" w:cs="GHEA Grapalat"/>
          <w:sz w:val="24"/>
          <w:szCs w:val="24"/>
        </w:rPr>
        <w:t>թվականի</w:t>
      </w:r>
      <w:r w:rsidRPr="00EE56FD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</w:t>
      </w:r>
      <w:r w:rsidRPr="00EE56FD">
        <w:rPr>
          <w:rFonts w:ascii="GHEA Grapalat" w:eastAsia="Times New Roman" w:hAnsi="GHEA Grapalat" w:cs="Times New Roman"/>
          <w:sz w:val="24"/>
          <w:szCs w:val="24"/>
        </w:rPr>
        <w:t>-Ն</w:t>
      </w:r>
    </w:p>
    <w:p w:rsidR="00765813" w:rsidRPr="00EE56FD" w:rsidRDefault="00765813" w:rsidP="009A30FD">
      <w:pPr>
        <w:spacing w:after="0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</w:t>
      </w:r>
    </w:p>
    <w:p w:rsidR="00765813" w:rsidRPr="00EE56FD" w:rsidRDefault="00765813" w:rsidP="002F6470">
      <w:pPr>
        <w:spacing w:after="0" w:line="360" w:lineRule="auto"/>
        <w:ind w:firstLine="450"/>
        <w:rPr>
          <w:rFonts w:ascii="Calibri" w:eastAsia="Times New Roman" w:hAnsi="Calibri" w:cs="Calibri"/>
          <w:sz w:val="24"/>
          <w:szCs w:val="24"/>
        </w:rPr>
      </w:pPr>
      <w:r w:rsidRPr="00EE56FD">
        <w:rPr>
          <w:rFonts w:ascii="Calibri" w:eastAsia="Times New Roman" w:hAnsi="Calibri" w:cs="Calibri"/>
          <w:sz w:val="24"/>
          <w:szCs w:val="24"/>
        </w:rPr>
        <w:t> </w:t>
      </w:r>
    </w:p>
    <w:p w:rsidR="0027018F" w:rsidRPr="00EE56FD" w:rsidRDefault="0027018F" w:rsidP="0027018F">
      <w:pPr>
        <w:pStyle w:val="NormalWeb"/>
        <w:shd w:val="clear" w:color="auto" w:fill="FFFFFF"/>
        <w:spacing w:before="0" w:beforeAutospacing="0" w:after="0" w:afterAutospacing="0" w:line="360" w:lineRule="auto"/>
        <w:ind w:firstLine="436"/>
        <w:jc w:val="center"/>
        <w:rPr>
          <w:rFonts w:ascii="GHEA Grapalat" w:hAnsi="GHEA Grapalat" w:cs="Verdana"/>
          <w:b/>
          <w:color w:val="000000"/>
          <w:shd w:val="clear" w:color="auto" w:fill="FFFFFF"/>
          <w:lang w:val="hy-AM"/>
        </w:rPr>
      </w:pPr>
      <w:r w:rsidRPr="00EE56FD">
        <w:rPr>
          <w:rFonts w:ascii="GHEA Grapalat" w:hAnsi="GHEA Grapalat"/>
          <w:b/>
          <w:bCs/>
          <w:lang w:val="hy-AM"/>
        </w:rPr>
        <w:t>ՆԱԽՆԱԿԱՆ ՄԱՍՆԱԳԻՏԱԿԱՆ (ԱՐՀԵՍՏԱԳՈՐԾԱԿԱՆ)</w:t>
      </w:r>
      <w:r w:rsidRPr="00EE56FD">
        <w:rPr>
          <w:rFonts w:ascii="GHEA Grapalat" w:hAnsi="GHEA Grapalat"/>
          <w:bCs/>
          <w:lang w:val="hy-AM"/>
        </w:rPr>
        <w:t xml:space="preserve"> </w:t>
      </w:r>
      <w:r w:rsidRPr="00EE56FD">
        <w:rPr>
          <w:rFonts w:ascii="GHEA Grapalat" w:hAnsi="GHEA Grapalat"/>
          <w:b/>
          <w:bCs/>
          <w:lang w:val="hy-AM"/>
        </w:rPr>
        <w:t>ԵՎ ՄԻՋԻՆ ՄԱՍՆԱԳԻՏԱԿԱՆ ԿՐԹԱԿԱՆ ԾՐԱԳՐԵՐ ԻՐԱԿԱՆԱՑՆՈՂ ՊԵՏԱԿԱՆ ՈՒՍՈՒՄՆԱԿԱՆ ՀԱՍՏԱՏՈՒԹՅՈՒՆՆԵՐԻ</w:t>
      </w:r>
      <w:r w:rsidRPr="00EE56FD">
        <w:rPr>
          <w:rFonts w:ascii="Calibri" w:hAnsi="Calibri" w:cs="Calibri"/>
          <w:b/>
          <w:bCs/>
          <w:color w:val="000000" w:themeColor="text1"/>
          <w:lang w:val="hy-AM"/>
        </w:rPr>
        <w:t> </w:t>
      </w:r>
      <w:r w:rsidR="00151667" w:rsidRPr="00EE56FD">
        <w:rPr>
          <w:rFonts w:ascii="GHEA Grapalat" w:hAnsi="GHEA Grapalat"/>
          <w:b/>
          <w:bCs/>
          <w:color w:val="000000" w:themeColor="text1"/>
          <w:lang w:val="hy-AM"/>
        </w:rPr>
        <w:t>2024/2025</w:t>
      </w:r>
      <w:r w:rsidRPr="00EE56FD">
        <w:rPr>
          <w:rFonts w:ascii="Calibri" w:hAnsi="Calibri" w:cs="Calibri"/>
          <w:b/>
          <w:bCs/>
          <w:color w:val="000000" w:themeColor="text1"/>
          <w:lang w:val="hy-AM"/>
        </w:rPr>
        <w:t> </w:t>
      </w:r>
      <w:r w:rsidRPr="00EE56FD">
        <w:rPr>
          <w:rFonts w:ascii="GHEA Grapalat" w:hAnsi="GHEA Grapalat"/>
          <w:b/>
          <w:bCs/>
          <w:lang w:val="hy-AM"/>
        </w:rPr>
        <w:t>ՈՒՍՈՒՄՆԱԿԱՆ ՏԱՐՎԱ ԱՆՎՃԱՐ ՈՒՍՈՒՑՄԱՄԲ (ՆՊԱՍՏԻ ՁԵՎՈՎ ՈՒՍՄԱՆ ՎՃԱՐԻ ԼՐԻՎ ՓՈԽՀԱՏՈՒՑՄԱՄԲ) ԸՆԴՈՒՆԵԼՈՒԹՅԱՆ ՏԵՂԵՐՆ՝</w:t>
      </w:r>
      <w:r w:rsidRPr="00EE56FD">
        <w:rPr>
          <w:rFonts w:ascii="GHEA Grapalat" w:hAnsi="GHEA Grapalat"/>
          <w:bCs/>
          <w:lang w:val="hy-AM"/>
        </w:rPr>
        <w:t xml:space="preserve"> </w:t>
      </w:r>
      <w:r w:rsidRPr="00EE56FD">
        <w:rPr>
          <w:rFonts w:ascii="GHEA Grapalat" w:hAnsi="GHEA Grapalat"/>
          <w:b/>
          <w:color w:val="000000"/>
          <w:shd w:val="clear" w:color="auto" w:fill="FFFFFF"/>
          <w:lang w:val="hy-AM"/>
        </w:rPr>
        <w:t>ԸՍՏ ՄԱՍՆԱԳԻՏՈՒԹՅՈՒՆՆԵՐԻ</w:t>
      </w:r>
      <w:r w:rsidR="005761CC" w:rsidRPr="00EE56F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EE56FD">
        <w:rPr>
          <w:rStyle w:val="Strong"/>
          <w:rFonts w:ascii="GHEA Grapalat" w:hAnsi="GHEA Grapalat" w:cs="Sylfaen"/>
          <w:lang w:val="hy-AM"/>
        </w:rPr>
        <w:t xml:space="preserve">ՈՒ </w:t>
      </w:r>
      <w:r w:rsidRPr="00EE56FD">
        <w:rPr>
          <w:rFonts w:ascii="GHEA Grapalat" w:hAnsi="GHEA Grapalat"/>
          <w:b/>
          <w:color w:val="000000"/>
          <w:shd w:val="clear" w:color="auto" w:fill="FFFFFF"/>
          <w:lang w:val="hy-AM"/>
        </w:rPr>
        <w:t>ԱՌԱՋՆԱՀԵՐԹ ԵՎ ԿԱՐԵՎՈՐ ՈԼՈՐՏՆԵՐԻ ՄԱՍՆԱԳԻՏՈՒԹՅՈՒՆՆԵՐԻ ՑԱՆԿԸ</w:t>
      </w:r>
      <w:r w:rsidRPr="00EE56FD">
        <w:rPr>
          <w:rFonts w:ascii="GHEA Grapalat" w:hAnsi="GHEA Grapalat"/>
          <w:b/>
          <w:bCs/>
          <w:lang w:val="hy-AM"/>
        </w:rPr>
        <w:t xml:space="preserve"> ԵՎ ՔԱՆԱԿԸ ՀԱՍՏԱՏԵԼՈՒ ՄԱՍԻՆ</w:t>
      </w:r>
    </w:p>
    <w:p w:rsidR="0027018F" w:rsidRPr="00EE56FD" w:rsidRDefault="0027018F" w:rsidP="0027018F">
      <w:pPr>
        <w:pStyle w:val="NormalWeb"/>
        <w:shd w:val="clear" w:color="auto" w:fill="FFFFFF"/>
        <w:spacing w:before="0" w:beforeAutospacing="0" w:after="0" w:afterAutospacing="0" w:line="360" w:lineRule="auto"/>
        <w:ind w:firstLine="436"/>
        <w:jc w:val="center"/>
        <w:rPr>
          <w:rFonts w:ascii="GHEA Grapalat" w:hAnsi="GHEA Grapalat"/>
          <w:lang w:val="hy-AM"/>
        </w:rPr>
      </w:pPr>
    </w:p>
    <w:p w:rsidR="00765813" w:rsidRPr="00EE56FD" w:rsidRDefault="00765813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</w:t>
      </w:r>
      <w:r w:rsidR="000C373F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Նախնական</w:t>
      </w:r>
      <w:r w:rsidR="000C373F" w:rsidRPr="00EE56FD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  <w:lang w:val="hy-AM"/>
        </w:rPr>
        <w:t> </w:t>
      </w:r>
      <w:r w:rsidR="000C373F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մասնագիտական</w:t>
      </w:r>
      <w:r w:rsidR="000C373F" w:rsidRPr="00EE56FD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  <w:lang w:val="hy-AM"/>
        </w:rPr>
        <w:t> </w:t>
      </w:r>
      <w:r w:rsidR="000C373F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(արհեստագործական)</w:t>
      </w:r>
      <w:r w:rsidR="000C373F" w:rsidRPr="00EE56FD">
        <w:rPr>
          <w:rStyle w:val="Strong"/>
          <w:rFonts w:ascii="Calibri" w:hAnsi="Calibri" w:cs="Calibri"/>
          <w:b w:val="0"/>
          <w:color w:val="000000" w:themeColor="text1"/>
          <w:sz w:val="24"/>
          <w:szCs w:val="24"/>
          <w:lang w:val="hy-AM"/>
        </w:rPr>
        <w:t> </w:t>
      </w:r>
      <w:r w:rsidR="000C373F" w:rsidRPr="00EE56F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և միջին մասնագիտական կրթության մասին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օրենքի </w:t>
      </w:r>
      <w:r w:rsidR="000C373F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հոդվածի 1-ին մասի </w:t>
      </w:r>
      <w:r w:rsidR="00890B70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497CE1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21-րդ հոդվածի 1-ին մասի 8-րդ 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674966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ը` Հայաստանի Հանրապետության կառավարությունը</w:t>
      </w:r>
      <w:r w:rsidRPr="00EE56F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EE5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765813" w:rsidRPr="00EE56FD" w:rsidRDefault="00765813" w:rsidP="002F6470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նախնական մասնագիտական (արհեստագործական) և միջին մասնագիտական կրթական ծրագրեր իրականացնող պետական ուսումնական հաստատությունների</w:t>
      </w:r>
      <w:r w:rsidRPr="00EE56F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51667"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2024</w:t>
      </w:r>
      <w:r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/</w:t>
      </w:r>
      <w:r w:rsidR="00151667"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2025</w:t>
      </w:r>
      <w:r w:rsidRPr="00EE56FD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 տարվա անվճար ուսուցմամբ (նպաստի ձևով ուսման վճարի լրիվ փոխհ</w:t>
      </w:r>
      <w:r w:rsidR="004E6D51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ատուցմամբ) ընդունելության տեղերն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4E6D51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ըստ մասնագիտությունների՝ 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համապատասխանաբար NN 1 և 2 հավելվածների:</w:t>
      </w:r>
    </w:p>
    <w:p w:rsidR="00D278D5" w:rsidRPr="00EE56FD" w:rsidRDefault="00D278D5" w:rsidP="002F6470">
      <w:pPr>
        <w:pStyle w:val="ListParagraph"/>
        <w:numPr>
          <w:ilvl w:val="0"/>
          <w:numId w:val="4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Հայաստանի Հանրապետության նախնական մասնագիտական (արհեստագործական) և միջին մասնագիտական կրթական ծրագրեր</w:t>
      </w:r>
      <w:r w:rsidR="00502895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իրականացնող պետական ուսումնական հաստատությունների</w:t>
      </w:r>
      <w:r w:rsidR="00502895" w:rsidRPr="00EE56F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F6470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1667"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2024/2025</w:t>
      </w:r>
      <w:r w:rsidR="002F6470" w:rsidRPr="00EE56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</w:t>
      </w:r>
      <w:r w:rsidR="002F6470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="004E6D51"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քանակը</w:t>
      </w: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` համաձայն N 3 հավելվածի:</w:t>
      </w:r>
    </w:p>
    <w:p w:rsidR="00765813" w:rsidRPr="00EE56FD" w:rsidRDefault="00D278D5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Սահմանել, որ Հայաստանի Հանրապետության պետական բյուջեով Հայաստանի Հանրապետության </w:t>
      </w:r>
      <w:r w:rsidR="002B1589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գործերի նախարարության </w:t>
      </w:r>
      <w:r w:rsidR="007D07AD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կրթահամալիրի 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նախնական</w:t>
      </w:r>
      <w:r w:rsidR="00650088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մասնագիտական (արհեստագործական) 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ծրագրով «Ոստիկանական գործ» մասնագիտության անվճար ուսուցմամբ (նպաստի ձևով ուսման վճարի փոխհատուցմամբ) ընդունելության համար նախատեսված 120 տեղերից բացի սույն որոշմամբ հատկացվող լրացուցիչ </w:t>
      </w:r>
      <w:r w:rsidR="0062340A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880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նախնական մասնագիտական (արհեստագործական) կրթական ծրագրերով ընդունելության տեղերի ֆինանսավորումն իրականացվում է Հայաստանի Հանրապետության </w:t>
      </w:r>
      <w:r w:rsidR="002B1589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գործերի նախարարության 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«Հայաստանի Հանրապետության </w:t>
      </w:r>
      <w:r w:rsidR="007D07AD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7907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նախարարության 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կրթահամալիր» պետական ոչ առևտրային կազմակերպության միջոցների հաշվին:</w:t>
      </w:r>
    </w:p>
    <w:p w:rsidR="00765813" w:rsidRPr="00EE56FD" w:rsidRDefault="00D278D5" w:rsidP="002F6470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65813" w:rsidRPr="00EE56FD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հրապարակմանը հաջորդող օրվանից։</w:t>
      </w:r>
    </w:p>
    <w:p w:rsidR="00765813" w:rsidRPr="00EE56FD" w:rsidRDefault="00765813" w:rsidP="002F6470">
      <w:pPr>
        <w:spacing w:after="0" w:line="360" w:lineRule="auto"/>
        <w:ind w:firstLine="45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E56F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67"/>
      </w:tblGrid>
      <w:tr w:rsidR="00765813" w:rsidRPr="00EE56FD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65813" w:rsidRPr="00EE56FD" w:rsidRDefault="00765813" w:rsidP="002F6470">
            <w:pPr>
              <w:spacing w:before="100" w:beforeAutospacing="1" w:after="100" w:afterAutospacing="1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765813" w:rsidRPr="00EE56FD" w:rsidRDefault="00765813" w:rsidP="002F6470">
            <w:pPr>
              <w:spacing w:before="100" w:beforeAutospacing="1" w:after="100" w:afterAutospacing="1" w:line="360" w:lineRule="auto"/>
              <w:ind w:firstLine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765813" w:rsidRPr="00EE56FD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65813" w:rsidRPr="00EE56FD" w:rsidRDefault="00765813" w:rsidP="002F6470">
            <w:pPr>
              <w:spacing w:after="0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vAlign w:val="center"/>
            <w:hideMark/>
          </w:tcPr>
          <w:p w:rsidR="00765813" w:rsidRPr="00EE56FD" w:rsidRDefault="00765813" w:rsidP="002F6470">
            <w:pPr>
              <w:spacing w:after="0" w:line="360" w:lineRule="auto"/>
              <w:ind w:firstLine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65813" w:rsidRPr="00EE56FD" w:rsidRDefault="00765813" w:rsidP="00B4422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765813" w:rsidRPr="00EE56FD" w:rsidRDefault="00765813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A2B46" w:rsidRPr="00EE56FD" w:rsidRDefault="002A2B4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765813" w:rsidRPr="00EE56FD" w:rsidRDefault="00765813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765813" w:rsidRPr="00EE56FD" w:rsidRDefault="00765813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</w:rPr>
        <w:lastRenderedPageBreak/>
        <w:t>Հավելված N 1</w:t>
      </w:r>
    </w:p>
    <w:p w:rsidR="00765813" w:rsidRPr="00EE56FD" w:rsidRDefault="00211185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</w:rPr>
        <w:t>ՀՀ կառավարության 2024</w:t>
      </w:r>
      <w:r w:rsidR="00765813" w:rsidRPr="00EE56FD">
        <w:rPr>
          <w:rFonts w:ascii="GHEA Grapalat" w:eastAsia="Times New Roman" w:hAnsi="GHEA Grapalat" w:cs="Times New Roman"/>
          <w:b/>
          <w:bCs/>
          <w:color w:val="000000"/>
        </w:rPr>
        <w:t xml:space="preserve"> թվականի</w:t>
      </w:r>
    </w:p>
    <w:p w:rsidR="000342DA" w:rsidRPr="00EE56FD" w:rsidRDefault="003C7B57" w:rsidP="0076581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</w:rPr>
        <w:t>--</w:t>
      </w:r>
      <w:r w:rsidR="00765813" w:rsidRPr="00EE56FD">
        <w:rPr>
          <w:rFonts w:ascii="GHEA Grapalat" w:eastAsia="Times New Roman" w:hAnsi="GHEA Grapalat" w:cs="Times New Roman"/>
          <w:b/>
          <w:bCs/>
          <w:color w:val="000000"/>
        </w:rPr>
        <w:t>ի   -ի N    -Ն որոշման</w:t>
      </w:r>
      <w:r w:rsidR="000342DA" w:rsidRPr="00EE56FD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:rsidR="003C7B57" w:rsidRPr="00EE56FD" w:rsidRDefault="003C7B57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342DA" w:rsidRPr="00EE56FD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ՆԱԽՆԱԿԱՆ ՄԱՍՆԱԳԻՏԱԿԱՆ (ԱՐՀԵՍՏԱԳՈՐԾԱԿԱՆ) ԿՐԹԱԿԱՆ ԾՐԱԳԻՐ ԻՐԱԿԱՆԱՑՆՈՂ ՊԵՏԱԿԱՆ ՈՒ</w:t>
      </w:r>
      <w:r w:rsidR="00211185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ՍՈՒՄՆԱԿԱՆ ՀԱՍՏԱՏՈՒԹՅՈՒՆՆԵՐԻ 2024/2025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ՏԱՐՎԱ ԱՆՎՃԱՐ ՈՒՍՈՒՑՄԱՄԲ (ՆՊԱՍՏԻ ՁԵՎՈՎ ՈՒՍՄԱՆ ՎՃԱՐԻ ԼՐԻՎ ՓՈԽՀ</w:t>
      </w:r>
      <w:r w:rsidR="00875128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ԱՏՈՒՑՄԱՄԲ) ԸՆԴՈՒՆԵԼՈՒԹՅԱՆ ՏԵՂԵՐ</w:t>
      </w:r>
      <w:r w:rsidR="00875128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Ն՝ ԸՍՏ ՄԱՍՆԱԳԻՏՈՒԹՅՈՒՆՆԵՐԻ</w:t>
      </w:r>
    </w:p>
    <w:p w:rsidR="000342DA" w:rsidRPr="00EE56FD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E56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</w:t>
      </w:r>
    </w:p>
    <w:tbl>
      <w:tblPr>
        <w:tblW w:w="998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8625"/>
        <w:gridCol w:w="990"/>
      </w:tblGrid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8625" w:type="dxa"/>
            <w:shd w:val="clear" w:color="auto" w:fill="FFFFFF"/>
            <w:hideMark/>
          </w:tcPr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լիազորված մարմնի, մասնագիտության և ոլորտի անվանումը</w:t>
            </w:r>
          </w:p>
        </w:tc>
        <w:tc>
          <w:tcPr>
            <w:tcW w:w="990" w:type="dxa"/>
            <w:shd w:val="clear" w:color="auto" w:fill="FFFFFF"/>
            <w:hideMark/>
          </w:tcPr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2F6470" w:rsidRPr="00EE56FD" w:rsidRDefault="002F6470" w:rsidP="00BD22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15" w:type="dxa"/>
            <w:gridSpan w:val="2"/>
            <w:shd w:val="clear" w:color="auto" w:fill="FFFFFF"/>
            <w:hideMark/>
          </w:tcPr>
          <w:p w:rsidR="002F6470" w:rsidRPr="00EE56FD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 Հանրապետության կրթության, գիտության, մշակույթի և սպորտի նախարարություն</w:t>
            </w: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5" w:type="dxa"/>
            <w:gridSpan w:val="2"/>
            <w:shd w:val="clear" w:color="auto" w:fill="FFFFFF"/>
            <w:hideMark/>
          </w:tcPr>
          <w:p w:rsidR="002F6470" w:rsidRPr="00EE56FD" w:rsidRDefault="002F6470" w:rsidP="002F64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02. Արվեստ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 և քանդակագործություն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Ոսկերչություն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Բրուտագործություն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Գորգագործություն և ժանյակագործություն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Փայտագործություն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Գեղարվեստական ձևավորման աշխատանքներ և դիզայն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Լուսանկարչական գործ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AB595F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06. Տեղեկատվություն և հաղորդակցման տեխնոլոգիաներ (ՏՀՏ)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Համակարգիչների շահագործում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սարքերի, մեքենաների և ապարատների փորձարկում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585B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 արտադրությունների սարքավորումների շահագործում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Կարի արտադրության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Հրուշակեղենի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Ատաղձագործական, մանրահատակագործական, ապակեգործական</w:t>
            </w:r>
          </w:p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930C0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հաշվողական մեքենաների տեխնիկական սպասարկում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մշակման տեխնոլոգիա ճնշմամբ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 միջոցների տեխնիկական սպասարկում և նորոգում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մեխանիկական մշակում հաստոցների և գծերի վրա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Էլեկտրալուսավորման և ուժային սարքավորումների էլեկտրամոնտաժում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Յուղի, պանրի և կաթի արտադրության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585B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 սարքավորումների և ստորգետնյա գազատարների 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Էլեկտրակայանների և ցանցերի տեխնիկական սպասարկում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34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2F647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 և մեխանիզմների էլեկտրասարքավորումների 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հետազոտություններ և չափումներ արտադրությունում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սարքավորումների մոնտաժում և շահագործում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 և բարելավման աշխատանքների</w:t>
            </w:r>
          </w:p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 ապահովում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Տեխնոլոգիական սարքավորումների, խողովակատարների և մետաղական կառույցների մոնտաժում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 արտադրության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 արտադրության տեխնոլոգիա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E75D2" w:rsidRPr="00EE56FD" w:rsidRDefault="001E75D2" w:rsidP="002F64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08. Գյուղատնտեսություն, անասնաբուժություն, անտառային տնտեսություն և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ձկնային տնտեսություն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:rsidR="001E75D2" w:rsidRPr="00EE56FD" w:rsidRDefault="001E75D2" w:rsidP="002F647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Պարտեզապուրակային գործ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 (ծառայություններ)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Վարսավիրական արվեստ և զարդային դիմահարդարում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Խոհարարական գործ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6338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միջոցների շահագործում և նորոգում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Թիկնապահական գործ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AB59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AB595F"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990" w:type="dxa"/>
            <w:shd w:val="clear" w:color="auto" w:fill="FFFFFF"/>
          </w:tcPr>
          <w:p w:rsidR="001E75D2" w:rsidRPr="00EE56FD" w:rsidRDefault="001E75D2" w:rsidP="008B5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3312</w:t>
            </w:r>
          </w:p>
        </w:tc>
      </w:tr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FFFFFF"/>
            <w:hideMark/>
          </w:tcPr>
          <w:p w:rsidR="002F6470" w:rsidRPr="00EE56FD" w:rsidRDefault="002F6470" w:rsidP="007D07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="008827AA"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</w:t>
            </w:r>
            <w:r w:rsidR="007D07AD"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</w:t>
            </w:r>
            <w:r w:rsidR="008827AA"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կրթահամալիր</w:t>
            </w:r>
          </w:p>
        </w:tc>
        <w:tc>
          <w:tcPr>
            <w:tcW w:w="990" w:type="dxa"/>
            <w:shd w:val="clear" w:color="auto" w:fill="FFFFFF"/>
          </w:tcPr>
          <w:p w:rsidR="002F6470" w:rsidRPr="00EE56FD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2F6470" w:rsidRPr="00EE56FD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 (ծառայություններ)</w:t>
            </w:r>
          </w:p>
        </w:tc>
        <w:tc>
          <w:tcPr>
            <w:tcW w:w="990" w:type="dxa"/>
            <w:shd w:val="clear" w:color="auto" w:fill="FFFFFF"/>
          </w:tcPr>
          <w:p w:rsidR="002F6470" w:rsidRPr="00EE56FD" w:rsidRDefault="002F6470" w:rsidP="00585B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F6470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  <w:hideMark/>
          </w:tcPr>
          <w:p w:rsidR="002F6470" w:rsidRPr="00EE56FD" w:rsidRDefault="002F6470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5" w:type="dxa"/>
            <w:shd w:val="clear" w:color="auto" w:fill="FFFFFF"/>
            <w:hideMark/>
          </w:tcPr>
          <w:p w:rsidR="002F6470" w:rsidRPr="00EE56FD" w:rsidRDefault="002F6470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 գործ</w:t>
            </w:r>
          </w:p>
        </w:tc>
        <w:tc>
          <w:tcPr>
            <w:tcW w:w="990" w:type="dxa"/>
            <w:shd w:val="clear" w:color="auto" w:fill="FFFFFF"/>
            <w:hideMark/>
          </w:tcPr>
          <w:p w:rsidR="002F6470" w:rsidRPr="00EE56FD" w:rsidRDefault="00E201B5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CD3A4A" w:rsidRPr="00EE56FD" w:rsidTr="001E75D2">
        <w:trPr>
          <w:tblCellSpacing w:w="0" w:type="dxa"/>
          <w:jc w:val="center"/>
        </w:trPr>
        <w:tc>
          <w:tcPr>
            <w:tcW w:w="370" w:type="dxa"/>
            <w:shd w:val="clear" w:color="auto" w:fill="FFFFFF"/>
          </w:tcPr>
          <w:p w:rsidR="00CD3A4A" w:rsidRPr="00EE56FD" w:rsidRDefault="00CD3A4A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:rsidR="00CD3A4A" w:rsidRPr="00EE56FD" w:rsidRDefault="00CD3A4A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990" w:type="dxa"/>
            <w:shd w:val="clear" w:color="auto" w:fill="FFFFFF"/>
          </w:tcPr>
          <w:p w:rsidR="00CD3A4A" w:rsidRPr="00EE56FD" w:rsidRDefault="00E201B5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</w:t>
            </w:r>
          </w:p>
        </w:tc>
      </w:tr>
    </w:tbl>
    <w:p w:rsidR="00CD3A4A" w:rsidRPr="00EE56FD" w:rsidRDefault="000342DA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EE56F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342DA" w:rsidRPr="00EE56FD" w:rsidRDefault="000342DA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3A4116" w:rsidRPr="00EE56FD" w:rsidRDefault="003A411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3A4116" w:rsidRPr="00EE56FD" w:rsidRDefault="003A411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3A4116" w:rsidRPr="00EE56FD" w:rsidRDefault="003A411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tbl>
      <w:tblPr>
        <w:tblW w:w="2441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</w:tblGrid>
      <w:tr w:rsidR="000342DA" w:rsidRPr="00EE56FD" w:rsidTr="00650088">
        <w:trPr>
          <w:tblCellSpacing w:w="7" w:type="dxa"/>
        </w:trPr>
        <w:tc>
          <w:tcPr>
            <w:tcW w:w="4673" w:type="dxa"/>
            <w:shd w:val="clear" w:color="auto" w:fill="FFFFFF"/>
            <w:vAlign w:val="bottom"/>
            <w:hideMark/>
          </w:tcPr>
          <w:p w:rsidR="000342DA" w:rsidRPr="00EE56FD" w:rsidRDefault="000342D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Հավելված N 2</w:t>
            </w:r>
          </w:p>
          <w:p w:rsidR="000342DA" w:rsidRPr="00EE56FD" w:rsidRDefault="000342D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ՀՀ կառավարության 202</w:t>
            </w:r>
            <w:r w:rsidR="00211185"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4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թվականի</w:t>
            </w:r>
          </w:p>
          <w:p w:rsidR="000342DA" w:rsidRPr="00EE56FD" w:rsidRDefault="006F78CC" w:rsidP="00621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-------</w:t>
            </w:r>
            <w:r w:rsidR="000342DA"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ի </w:t>
            </w:r>
            <w:r w:rsidR="006218A5"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 </w:t>
            </w:r>
            <w:r w:rsidR="000342DA"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-ի N </w:t>
            </w:r>
            <w:r w:rsidR="006218A5"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       </w:t>
            </w:r>
            <w:r w:rsidR="000342DA" w:rsidRPr="00EE56F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-Ն որոշման</w:t>
            </w:r>
          </w:p>
        </w:tc>
      </w:tr>
    </w:tbl>
    <w:p w:rsidR="000342DA" w:rsidRPr="00EE56FD" w:rsidRDefault="000342DA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E56FD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0342DA" w:rsidRPr="00EE56FD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ՄԻՋԻՆ ՄԱՍՆԱԳԻՏԱԿԱՆ ԿՐԹԱԿԱՆ ԾՐԱԳ</w:t>
      </w:r>
      <w:r w:rsidR="00020094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 ԻՐԱԿԱՆԱՑՆՈՂ ՊԵՏԱԿԱՆ ՈՒ</w:t>
      </w:r>
      <w:r w:rsidR="00211185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ՍՈՒՄՆԱԿԱՆ ՀԱՍՏԱՏՈՒԹՅՈՒՆՆԵՐԻ 2024/2025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ՏԱՐՎԱ ԱՆՎՃԱՐ ՈՒՍՈՒՑՄԱՄԲ (ՆՊԱՍՏԻ ՁԵՎՈՎ ՈՒՍՄԱՆ ՎՃԱՐԻ ԼՐԻՎ ՓՈԽՀԱՏՈՒՑՄԱՄԲ) ԸՆԴՈՒՆԵԼՈՒԹՅԱՆ ՏԵՂԵՐ</w:t>
      </w:r>
      <w:r w:rsidR="002F5199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Ն՝ 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  <w:r w:rsidR="002F5199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 ՄԱՍՆԱԳԻՏՈՒԹՅՈՒՆՆԵՐԻ</w:t>
      </w:r>
    </w:p>
    <w:p w:rsidR="000342DA" w:rsidRPr="00EE56FD" w:rsidRDefault="000342DA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050703" w:rsidRPr="00EE56FD" w:rsidRDefault="00050703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050703" w:rsidRPr="00EE56FD" w:rsidRDefault="00050703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0342DA" w:rsidRPr="00EE56FD" w:rsidRDefault="000342DA" w:rsidP="000342D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E56FD">
        <w:rPr>
          <w:rFonts w:ascii="Calibri" w:eastAsia="Times New Roman" w:hAnsi="Calibri" w:cs="Calibri"/>
          <w:color w:val="000000"/>
          <w:sz w:val="24"/>
          <w:szCs w:val="24"/>
        </w:rPr>
        <w:t>   </w:t>
      </w:r>
    </w:p>
    <w:tbl>
      <w:tblPr>
        <w:tblW w:w="96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8084"/>
        <w:gridCol w:w="1170"/>
      </w:tblGrid>
      <w:tr w:rsidR="00CD3A4A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EE56FD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CD3A4A" w:rsidRPr="00EE56FD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8084" w:type="dxa"/>
            <w:shd w:val="clear" w:color="auto" w:fill="FFFFFF"/>
            <w:hideMark/>
          </w:tcPr>
          <w:p w:rsidR="00CD3A4A" w:rsidRPr="00EE56FD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լիազորված մարմնի, մասնագիտության և ոլորտի անվանումը</w:t>
            </w:r>
          </w:p>
        </w:tc>
        <w:tc>
          <w:tcPr>
            <w:tcW w:w="1170" w:type="dxa"/>
            <w:shd w:val="clear" w:color="auto" w:fill="FFFFFF"/>
            <w:hideMark/>
          </w:tcPr>
          <w:p w:rsidR="00CD3A4A" w:rsidRPr="00EE56FD" w:rsidRDefault="00CD3A4A" w:rsidP="000F2F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CD3A4A" w:rsidRPr="00EE56FD" w:rsidRDefault="00CD3A4A" w:rsidP="00BD22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CD3A4A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CD3A4A" w:rsidRPr="00EE56FD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CD3A4A" w:rsidRPr="00EE56FD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 Հանրապետության կրթության, գիտության, մշակույթի և սպորտի նախարարություն</w:t>
            </w:r>
          </w:p>
          <w:p w:rsidR="00CD3A4A" w:rsidRPr="00EE56FD" w:rsidRDefault="00CD3A4A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 w:val="restart"/>
            <w:shd w:val="clear" w:color="auto" w:fill="FFFFFF"/>
            <w:hideMark/>
          </w:tcPr>
          <w:p w:rsidR="001E75D2" w:rsidRPr="00EE56FD" w:rsidRDefault="001E75D2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0342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01. Կրթություն</w:t>
            </w:r>
          </w:p>
        </w:tc>
        <w:tc>
          <w:tcPr>
            <w:tcW w:w="1170" w:type="dxa"/>
            <w:shd w:val="clear" w:color="auto" w:fill="FFFFFF"/>
            <w:hideMark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 կրթություն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Ֆիզիկական կուլտուրա և սպորտ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Պարի ուսուցում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02. Արվեստ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Ռեժիսուրա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Լուսանկարչական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մոդելավորում և նախագծում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Քանդակագործություն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ստեղծագործությունների վերականգնում, կոնսերվացում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Զարդակիրառական արվեստ և ժողովրդական արհեստներ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Երգեցողություն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Երգչախմբավարություն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Երաժշտության տեսություն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Էստրադային արվեստ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Պարարվեստ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Գործիքային կատարողական արվեստ (ըստ գործիքների տեսակների)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Դերասանական արվեստ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03. Սոցիալական գիտություններ, լրագրություն և տեղեկատվություն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Արխիվավարություն՝ օտար լեզվի խորացված իմացությամբ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Գրադարանային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04. Գործարարություն, վարչարարություն և իրավունք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Բանկային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Ապահովագրական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Մենեջմենթ (կառավարում)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 կազմակերպում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Հողային ռեսուրսների կառավարում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 կազմակերպում հյուրանոցներում և զբոսաշրջային համալիրներում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BD22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Զբոսաշրջային ծառայությունների կազմակերպում՝ օտար լեզվի խորացված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իմացությամբ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Շուկայաբանություն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Ապրանքագիտություն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Գործավարություն՝ օտար լեզվի խորացված իմացությամբ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Առևտուր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05. Բնական գիտություններ, մաթեմատիկա և վիճակագրություն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Շրջակա միջավայրի պահպանում և բնական պաշարների արդյունավետ օգտագործում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06. Տեղեկատվություն և հաղորդակցման տեխնոլոգիաներ (ՏՀՏ)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տեխնիկայի միջոցների և համակարգչային ցանցերի 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մեքենաներ, համալիրներ, համակարգեր և համակարգչային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9D38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="009D3808"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 տեխնիկայի և ավտոմատացված համակարգերի ծրագրային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 գեղարվեստական նախագծում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Ջերմաէլեկտրակայաններ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Ջերմամատակարարում և ջերմատեխնիկական սարքավորումներ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Էլեկտրահաղորդման գծերի տեղակայում և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Էլեկտրամատակարարում (ըստ ճյուղերի)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 մեքենաներ և ապարատներ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hAnsi="GHEA Grapalat"/>
                <w:color w:val="000000"/>
              </w:rPr>
              <w:t>Էլեկտրական կայաններ, ցանցեր և համակարգեր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47310E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1E75D2"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 տեխնիկայի տեխնիկական սպասարկում և նորոգում (ըստ ճյուղերի)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ցանցեր և հաղորդակցման համակարգեր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Սառնարանային տնտեսություն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855B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Ավտոմատիկան, հեռուստամեխանիկան և կապը տրանսպորտում (ըստ տրանսպորտի տեսակների)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Սև և գունավոր մետաղների ձուլման արտադրություն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Ավտոմոբիլային տրանսպորտի տեխնիկական սպասարկում և նորոգում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Վերամբարձ տրանսպորտային, շինարարական, ճանապարհային մեքենաների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Երկաթուղու էլեկտրաքարշի տեխնիկական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Գյուղատնտեսության մեքենայացում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Մեխատրոնիկա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Բժշկական տեխնիկայի տեղակայում, տեխնիկական սպասարկում և նորոգում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Քիմիական միացությունների որակի անալիտիկ հսկում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Հացաթխման, մակարոնեղենի և հրուշակեղենի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Խմորման արտադրության տեխնոլոգիա և գինեգործություն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Պահածոների և սննդախտանյութերի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Մսի և մսամթերքների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Կաթի և կաթնամթերքի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421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 սննդի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 պատրաստման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 լեռնային աշխատանքներ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Պոլիգրաֆիական արտադրություն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Ծխախոտի աճեցման և վերամշակման տեխնոլոգիա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Սպառողական ապրանքների որակի փորձաքննություն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BD223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 ստանդարտացում և համապատասխանության հավաստում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(սերտիֆիկացում)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Քաղաքաշինական կադաստր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Շենքերի և կառույցների շինարարություն և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Ջրամատակարարում և ջրահեռացում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E97A9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Ներքին ջեռուցման և օդափոխման համակարգերի սանիտարատեխնիկական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 և օդափոխման համակարգերի տեղակայում և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Գազամատակարարման սարքավորումների և համակարգերի հավաքակցում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CD3A4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Արդյունաբերական և քաղաքացիական շենքերի էլեկտրական սարքավորումների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տեղակայում, կարգավորում և շահագործում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 կապ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Ոլորտ 08. Գյուղատնտեսություն, անասնաբուժություն, անտառային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տնտեսություն և ձկնային տնտեսություն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FF32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Գյուղատնտեսագիտություն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E75D2" w:rsidRPr="00EE56FD" w:rsidTr="001E75D2">
        <w:trPr>
          <w:trHeight w:val="170"/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Ջերմատնային տնտեսություն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95D55" w:rsidRPr="00EE56FD" w:rsidTr="00B95D55">
        <w:trPr>
          <w:trHeight w:val="251"/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B95D55" w:rsidRPr="00EE56FD" w:rsidRDefault="00B95D55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B95D55" w:rsidRPr="00EE56FD" w:rsidRDefault="00B95D55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Հողաշինարարություն</w:t>
            </w:r>
          </w:p>
        </w:tc>
        <w:tc>
          <w:tcPr>
            <w:tcW w:w="1170" w:type="dxa"/>
            <w:shd w:val="clear" w:color="auto" w:fill="FFFFFF"/>
          </w:tcPr>
          <w:p w:rsidR="00B95D55" w:rsidRPr="00EE56FD" w:rsidRDefault="00B95D55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Մեղվաբուծություն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94292" w:rsidRPr="00EE56FD" w:rsidTr="00D94292">
        <w:trPr>
          <w:trHeight w:val="314"/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D94292" w:rsidRPr="00EE56FD" w:rsidRDefault="00D9429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D94292" w:rsidRPr="00EE56FD" w:rsidRDefault="00D9429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Ձկնաբանություն և ձկնաբուծություն</w:t>
            </w:r>
          </w:p>
        </w:tc>
        <w:tc>
          <w:tcPr>
            <w:tcW w:w="1170" w:type="dxa"/>
            <w:shd w:val="clear" w:color="auto" w:fill="FFFFFF"/>
          </w:tcPr>
          <w:p w:rsidR="00D94292" w:rsidRPr="00EE56FD" w:rsidRDefault="00D9429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rHeight w:val="359"/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FF327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Վայրի բույսերի վերարտադրություն, հավաքում և մթերում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0075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Բուսաբուծական արտադրանքի պահպանում և վերամշակում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09. Առողջապահություն և սոցիալական աշխատանք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Ատամնատեխնիկական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Մանկաբարձական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 գործի կազմակերպում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 գործ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ախտորոշում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կոսմետոլոգիա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մերսում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Դեղագործություն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ապահովության կազմակերպում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Կոսմետիկա և դիմահարդարման արվեստ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 կազմակերպում և կառավարում տրանսպորտում (ըստ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 տեսակների)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A60C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371" w:type="dxa"/>
            <w:vMerge/>
            <w:shd w:val="clear" w:color="auto" w:fill="FFFFFF"/>
            <w:vAlign w:val="center"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084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DC1CD1" w:rsidP="009D38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9D3808"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1E75D2" w:rsidRPr="00EE56FD" w:rsidTr="001E75D2">
        <w:trPr>
          <w:tblCellSpacing w:w="0" w:type="dxa"/>
          <w:jc w:val="center"/>
        </w:trPr>
        <w:tc>
          <w:tcPr>
            <w:tcW w:w="8455" w:type="dxa"/>
            <w:gridSpan w:val="2"/>
            <w:shd w:val="clear" w:color="auto" w:fill="FFFFFF"/>
            <w:hideMark/>
          </w:tcPr>
          <w:p w:rsidR="001E75D2" w:rsidRPr="00EE56FD" w:rsidRDefault="001E75D2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</w:tcPr>
          <w:p w:rsidR="001E75D2" w:rsidRPr="00EE56FD" w:rsidRDefault="001E75D2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6064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տարածքային կառավարման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ենթակառուցվածքների նախարարության քաղաքացիական ավիացիայի կոմիտե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Թռչող ապարատների և ավիաշարժիչների տեխնիկական շահագործում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 կազմակերպում և կառավարում տրանսպորտում (ըստ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 տեսակների)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Օդային տրանսպորտի երթևեկության կառավարում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8455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ներքին գործերի նախարարության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Ոստիկանական կրթահամալիր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 գործ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8455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Հայաստանի Հանրապետության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նախարարության</w:t>
            </w:r>
          </w:p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ճգնաժամային կառավարման ակադեմիա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 07. Ճարտարագիտություն, արդյունաբերություն և շինարարություն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Հրշեջ-փրկարարական տեխնիկայի տեխնիկական սպասարկում և նորոգում</w:t>
            </w:r>
          </w:p>
        </w:tc>
        <w:tc>
          <w:tcPr>
            <w:tcW w:w="1170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4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 10. Սպասարկում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Հրդեհային պաշտպանություն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371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4" w:type="dxa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 տեղեր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113AD8" w:rsidRPr="00EE56FD" w:rsidTr="001E75D2">
        <w:trPr>
          <w:tblCellSpacing w:w="0" w:type="dxa"/>
          <w:jc w:val="center"/>
        </w:trPr>
        <w:tc>
          <w:tcPr>
            <w:tcW w:w="8455" w:type="dxa"/>
            <w:gridSpan w:val="2"/>
            <w:shd w:val="clear" w:color="auto" w:fill="FFFFFF"/>
            <w:hideMark/>
          </w:tcPr>
          <w:p w:rsidR="00113AD8" w:rsidRPr="00EE56FD" w:rsidRDefault="00113AD8" w:rsidP="00113A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</w:tcPr>
          <w:p w:rsidR="00113AD8" w:rsidRPr="00EE56FD" w:rsidRDefault="00113AD8" w:rsidP="0011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140</w:t>
            </w:r>
          </w:p>
        </w:tc>
      </w:tr>
    </w:tbl>
    <w:p w:rsidR="00CC43EC" w:rsidRPr="00EE56FD" w:rsidRDefault="00CC43EC">
      <w:pPr>
        <w:rPr>
          <w:rFonts w:ascii="GHEA Grapalat" w:hAnsi="GHEA Grapalat"/>
          <w:sz w:val="24"/>
          <w:szCs w:val="24"/>
          <w:lang w:val="hy-AM"/>
        </w:rPr>
      </w:pPr>
    </w:p>
    <w:p w:rsidR="0093346F" w:rsidRPr="00EE56FD" w:rsidRDefault="0093346F">
      <w:pPr>
        <w:rPr>
          <w:rFonts w:ascii="GHEA Grapalat" w:hAnsi="GHEA Grapalat"/>
          <w:sz w:val="24"/>
          <w:szCs w:val="24"/>
        </w:rPr>
      </w:pPr>
    </w:p>
    <w:p w:rsidR="00207E0E" w:rsidRPr="00EE56FD" w:rsidRDefault="00207E0E">
      <w:pPr>
        <w:rPr>
          <w:rFonts w:ascii="GHEA Grapalat" w:hAnsi="GHEA Grapalat"/>
          <w:sz w:val="24"/>
          <w:szCs w:val="24"/>
          <w:lang w:val="hy-AM"/>
        </w:rPr>
      </w:pPr>
    </w:p>
    <w:p w:rsidR="00207E0E" w:rsidRPr="00EE56FD" w:rsidRDefault="00207E0E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CD3A4A" w:rsidRPr="00EE56FD" w:rsidRDefault="00CD3A4A">
      <w:pPr>
        <w:rPr>
          <w:rFonts w:ascii="GHEA Grapalat" w:hAnsi="GHEA Grapalat"/>
          <w:sz w:val="24"/>
          <w:szCs w:val="24"/>
          <w:lang w:val="hy-AM"/>
        </w:rPr>
      </w:pPr>
    </w:p>
    <w:p w:rsidR="001E75D2" w:rsidRPr="00EE56FD" w:rsidRDefault="001E75D2">
      <w:pPr>
        <w:rPr>
          <w:rFonts w:ascii="GHEA Grapalat" w:hAnsi="GHEA Grapalat"/>
          <w:sz w:val="24"/>
          <w:szCs w:val="24"/>
          <w:lang w:val="hy-AM"/>
        </w:rPr>
      </w:pPr>
    </w:p>
    <w:p w:rsidR="001E75D2" w:rsidRPr="00EE56FD" w:rsidRDefault="001E75D2">
      <w:pPr>
        <w:rPr>
          <w:rFonts w:ascii="GHEA Grapalat" w:hAnsi="GHEA Grapalat"/>
          <w:sz w:val="24"/>
          <w:szCs w:val="24"/>
          <w:lang w:val="hy-AM"/>
        </w:rPr>
      </w:pPr>
    </w:p>
    <w:p w:rsidR="0047310E" w:rsidRPr="00EE56FD" w:rsidRDefault="0047310E">
      <w:pPr>
        <w:rPr>
          <w:rFonts w:ascii="GHEA Grapalat" w:hAnsi="GHEA Grapalat"/>
          <w:sz w:val="24"/>
          <w:szCs w:val="24"/>
          <w:lang w:val="hy-AM"/>
        </w:rPr>
      </w:pPr>
    </w:p>
    <w:p w:rsidR="0047310E" w:rsidRPr="00EE56FD" w:rsidRDefault="0047310E">
      <w:pPr>
        <w:rPr>
          <w:rFonts w:ascii="GHEA Grapalat" w:hAnsi="GHEA Grapalat"/>
          <w:sz w:val="24"/>
          <w:szCs w:val="24"/>
          <w:lang w:val="hy-AM"/>
        </w:rPr>
      </w:pPr>
    </w:p>
    <w:p w:rsidR="001E75D2" w:rsidRPr="00EE56FD" w:rsidRDefault="001E75D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2441" w:type="pct"/>
        <w:tblCellSpacing w:w="7" w:type="dxa"/>
        <w:tblInd w:w="6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</w:tblGrid>
      <w:tr w:rsidR="00A70FBB" w:rsidRPr="000136E7" w:rsidTr="00187B5A">
        <w:trPr>
          <w:tblCellSpacing w:w="7" w:type="dxa"/>
        </w:trPr>
        <w:tc>
          <w:tcPr>
            <w:tcW w:w="4673" w:type="dxa"/>
            <w:shd w:val="clear" w:color="auto" w:fill="FFFFFF"/>
            <w:vAlign w:val="bottom"/>
            <w:hideMark/>
          </w:tcPr>
          <w:p w:rsidR="00A70FBB" w:rsidRPr="00EE56FD" w:rsidRDefault="00A70FBB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lastRenderedPageBreak/>
              <w:t>Հավելված N 3</w:t>
            </w:r>
          </w:p>
          <w:p w:rsidR="00A70FBB" w:rsidRPr="00EE56FD" w:rsidRDefault="00211185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ՀՀ կառավարության 2024</w:t>
            </w:r>
            <w:r w:rsidR="00A70FBB"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թվականի</w:t>
            </w:r>
          </w:p>
          <w:p w:rsidR="00A70FBB" w:rsidRPr="00EE56FD" w:rsidRDefault="00A70FBB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-------ի   -ի N         -Ն որոշման</w:t>
            </w:r>
          </w:p>
        </w:tc>
      </w:tr>
    </w:tbl>
    <w:p w:rsidR="00A70FBB" w:rsidRPr="00EE56FD" w:rsidRDefault="00A70FBB" w:rsidP="00A70FB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E56FD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8A76A5" w:rsidRPr="00EE56FD" w:rsidRDefault="00B275E9" w:rsidP="00B275E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ՆԱԽՆԱԿԱՆ ՄԱՍՆԱԳԻՏԱԿԱՆ (ԱՐՀԵՍՏԱԳՈՐԾԱԿԱՆ) ԵՎ ՄԻՋԻՆ ՄԱՍՆԱԳԻՏԱԿԱՆ ԿՐԹԱԿԱՆ ԾՐԱԳՐԵՐ ԻՐԱԿԱՆԱՑՆՈՂ ՊԵՏԱԿԱՆ ՈՒՍՈՒՄՆԱԿԱՆ ՀԱՍՏԱՏՈՒԹՅՈՒՆՆԵՐԻ</w:t>
      </w:r>
      <w:r w:rsidRPr="00EE56F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EE56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211185" w:rsidRPr="00EE56F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2024/2025</w:t>
      </w:r>
      <w:r w:rsidRPr="00EE56F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EE56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ՈՒՍՈՒՄՆԱԿԱՆ ՏԱՐՎԱ 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ԿԱՐԵՎՈՐ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 ԵՎ ՔԱՆԱԿԸ</w:t>
      </w:r>
    </w:p>
    <w:p w:rsidR="008A76A5" w:rsidRPr="00EE56FD" w:rsidRDefault="008A76A5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90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7290"/>
        <w:gridCol w:w="1110"/>
      </w:tblGrid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ՆԱԽՆԱԿԱՆ ՄԱՍՆԱԳԻՏԱԿԱՆ (ԱՐՀԵՍՏԱԳՈՐԾԱԿԱՆ)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ԿՐԹՈՒԹՅԱՆ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</w:p>
          <w:p w:rsidR="00187B5A" w:rsidRPr="00EE56FD" w:rsidRDefault="00187B5A" w:rsidP="008231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984F8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 արտադրությունների սարքավորումների շահագործում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E918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Ատաղձագործական, մանրահատակագործական, ապակեգործական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մշակման տեխնոլոգիա ճնշմամբ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 մեխանիկական մշակում հաստոցների և գծերի վրա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Յուղի, պանրի և կաթի արտադրության տեխնոլոգիա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E918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 սարքավորումների և ստորգետնյա գազատարների 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Էլեկտրալուսավորման և ուժային սարքավորումների էլեկտրամոնտաժում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C06D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 և մեխանիզմների էլեկտրասարքավորումների տեխնիկական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 հետազոտություններ և չափումներ արտադրությունում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41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 սարքավորումների մոնտաժում և 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 և բարելավման աշխատանքների</w:t>
            </w:r>
          </w:p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 ապահովում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 արտադրության տեխնոլոգիա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  <w:hideMark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11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Վերականգնվող էներգիայի էներգետիկ կայանների մոնտաժում, </w:t>
            </w:r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նորոգում և սպասարկում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200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Էլեկտրական սարքերի, մեքենաների և ապարատների փորձարկում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111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1329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40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ՄԻՋԻՆ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ՄԱՍՆԱԳԻՏԱԿԱՆ 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ԿՐԹՈՒԹՅԱՆ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Հողային ռեսուրսների կառավարում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Վերամբարձ տրանսպորտային, շինարարական, ճանապարհային մեքենաների և սարքավորումների 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Գյուղատնտեսության մեքենայացում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Քիմիական միացությունների որակի անալիտիկ հսկում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5.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Բաց լեռնային աշխատանքներ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6.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Շենքերի և կառույցների շինարարություն և 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rHeight w:val="197"/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Ջերմատնային տնտեսություն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9.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10.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Մեղվաբուծություն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3F06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Ձկնաբանություն և ձկնաբուծություն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Բուսաբուծական արտադրանքի պահպանում և վերամշակում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8231B5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9593E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Կաթիլային ոռոգման համակարգերի մոնտաժում և շահագործում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6838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75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15.</w:t>
            </w: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Սև և գունավոր մետաղների ձուլման արտադրություն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187B5A" w:rsidRPr="00EE56FD" w:rsidTr="00187B5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7290" w:type="dxa"/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FFFFFF"/>
          </w:tcPr>
          <w:p w:rsidR="00187B5A" w:rsidRPr="00EE56FD" w:rsidRDefault="00187B5A" w:rsidP="003632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785</w:t>
            </w:r>
          </w:p>
        </w:tc>
      </w:tr>
    </w:tbl>
    <w:p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:rsidR="00FA28F4" w:rsidRPr="00EE56FD" w:rsidRDefault="00FA28F4">
      <w:pPr>
        <w:rPr>
          <w:rFonts w:ascii="GHEA Grapalat" w:hAnsi="GHEA Grapalat"/>
          <w:sz w:val="24"/>
          <w:szCs w:val="24"/>
        </w:rPr>
      </w:pPr>
    </w:p>
    <w:p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:rsidR="00B44224" w:rsidRPr="00EE56FD" w:rsidRDefault="00B44224">
      <w:pPr>
        <w:rPr>
          <w:rFonts w:ascii="GHEA Grapalat" w:hAnsi="GHEA Grapalat"/>
          <w:sz w:val="24"/>
          <w:szCs w:val="24"/>
        </w:rPr>
      </w:pPr>
    </w:p>
    <w:p w:rsidR="00B759C8" w:rsidRPr="00EE56FD" w:rsidRDefault="00B759C8">
      <w:pPr>
        <w:rPr>
          <w:rFonts w:ascii="GHEA Grapalat" w:hAnsi="GHEA Grapalat"/>
          <w:sz w:val="24"/>
          <w:szCs w:val="24"/>
        </w:rPr>
      </w:pPr>
    </w:p>
    <w:p w:rsidR="00B759C8" w:rsidRPr="00EE56FD" w:rsidRDefault="00B759C8">
      <w:pPr>
        <w:rPr>
          <w:rFonts w:ascii="GHEA Grapalat" w:hAnsi="GHEA Grapalat"/>
          <w:sz w:val="24"/>
          <w:szCs w:val="24"/>
        </w:rPr>
      </w:pPr>
    </w:p>
    <w:p w:rsidR="00B759C8" w:rsidRPr="00EE56FD" w:rsidRDefault="00B759C8">
      <w:pPr>
        <w:rPr>
          <w:rFonts w:ascii="GHEA Grapalat" w:hAnsi="GHEA Grapalat"/>
          <w:sz w:val="24"/>
          <w:szCs w:val="24"/>
        </w:rPr>
      </w:pPr>
    </w:p>
    <w:p w:rsidR="00C77E3B" w:rsidRPr="00EE56FD" w:rsidRDefault="00C77E3B">
      <w:pPr>
        <w:rPr>
          <w:rFonts w:ascii="GHEA Grapalat" w:hAnsi="GHEA Grapalat"/>
          <w:sz w:val="24"/>
          <w:szCs w:val="24"/>
        </w:rPr>
      </w:pPr>
    </w:p>
    <w:p w:rsidR="00B44224" w:rsidRPr="00EE56FD" w:rsidRDefault="00B44224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B44224" w:rsidRPr="00EE56FD" w:rsidSect="00650088">
      <w:pgSz w:w="12240" w:h="15840"/>
      <w:pgMar w:top="1080" w:right="144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069AE"/>
    <w:multiLevelType w:val="hybridMultilevel"/>
    <w:tmpl w:val="6068FCF0"/>
    <w:lvl w:ilvl="0" w:tplc="C936B5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36691C4F"/>
    <w:multiLevelType w:val="hybridMultilevel"/>
    <w:tmpl w:val="2B304BBC"/>
    <w:lvl w:ilvl="0" w:tplc="F7B2266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808A4"/>
    <w:multiLevelType w:val="hybridMultilevel"/>
    <w:tmpl w:val="50E8668C"/>
    <w:lvl w:ilvl="0" w:tplc="92065C1E">
      <w:start w:val="1"/>
      <w:numFmt w:val="decimal"/>
      <w:lvlText w:val="%1.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54230533"/>
    <w:multiLevelType w:val="hybridMultilevel"/>
    <w:tmpl w:val="B71C3176"/>
    <w:lvl w:ilvl="0" w:tplc="AFC2277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2872C0F"/>
    <w:multiLevelType w:val="hybridMultilevel"/>
    <w:tmpl w:val="AE128D76"/>
    <w:lvl w:ilvl="0" w:tplc="E7123E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3381"/>
    <w:rsid w:val="00001CF7"/>
    <w:rsid w:val="000075D3"/>
    <w:rsid w:val="00010F54"/>
    <w:rsid w:val="000116A3"/>
    <w:rsid w:val="00011B96"/>
    <w:rsid w:val="000136E7"/>
    <w:rsid w:val="00020094"/>
    <w:rsid w:val="00020DDF"/>
    <w:rsid w:val="00033686"/>
    <w:rsid w:val="000342DA"/>
    <w:rsid w:val="00037891"/>
    <w:rsid w:val="000436B3"/>
    <w:rsid w:val="00050703"/>
    <w:rsid w:val="00061C8B"/>
    <w:rsid w:val="00067D82"/>
    <w:rsid w:val="000720A1"/>
    <w:rsid w:val="0007410C"/>
    <w:rsid w:val="00080E49"/>
    <w:rsid w:val="0008152C"/>
    <w:rsid w:val="00087F0A"/>
    <w:rsid w:val="00092978"/>
    <w:rsid w:val="000C373F"/>
    <w:rsid w:val="000C6ECC"/>
    <w:rsid w:val="000F2F7C"/>
    <w:rsid w:val="0010121D"/>
    <w:rsid w:val="00105758"/>
    <w:rsid w:val="00113AD8"/>
    <w:rsid w:val="00120039"/>
    <w:rsid w:val="001204E2"/>
    <w:rsid w:val="00131E68"/>
    <w:rsid w:val="0013258E"/>
    <w:rsid w:val="0013365F"/>
    <w:rsid w:val="00151667"/>
    <w:rsid w:val="00164E1F"/>
    <w:rsid w:val="00186967"/>
    <w:rsid w:val="00187B5A"/>
    <w:rsid w:val="00195241"/>
    <w:rsid w:val="00196505"/>
    <w:rsid w:val="001A3B0F"/>
    <w:rsid w:val="001B308A"/>
    <w:rsid w:val="001B49BC"/>
    <w:rsid w:val="001E75D2"/>
    <w:rsid w:val="001F1F57"/>
    <w:rsid w:val="001F5B64"/>
    <w:rsid w:val="00207E0E"/>
    <w:rsid w:val="00211185"/>
    <w:rsid w:val="0021151C"/>
    <w:rsid w:val="0023455B"/>
    <w:rsid w:val="002471BD"/>
    <w:rsid w:val="00247C38"/>
    <w:rsid w:val="0025605C"/>
    <w:rsid w:val="0027018F"/>
    <w:rsid w:val="00282471"/>
    <w:rsid w:val="002A2B46"/>
    <w:rsid w:val="002B1589"/>
    <w:rsid w:val="002B382F"/>
    <w:rsid w:val="002C0F8D"/>
    <w:rsid w:val="002C7496"/>
    <w:rsid w:val="002E7046"/>
    <w:rsid w:val="002E7F5A"/>
    <w:rsid w:val="002F5199"/>
    <w:rsid w:val="002F6470"/>
    <w:rsid w:val="00307BF8"/>
    <w:rsid w:val="003149F8"/>
    <w:rsid w:val="003163FA"/>
    <w:rsid w:val="00323146"/>
    <w:rsid w:val="00342C7D"/>
    <w:rsid w:val="003441F1"/>
    <w:rsid w:val="00361AA3"/>
    <w:rsid w:val="0036327D"/>
    <w:rsid w:val="003709AD"/>
    <w:rsid w:val="00370EA8"/>
    <w:rsid w:val="003729F4"/>
    <w:rsid w:val="003771EB"/>
    <w:rsid w:val="0039593E"/>
    <w:rsid w:val="003A4116"/>
    <w:rsid w:val="003B1C00"/>
    <w:rsid w:val="003C53E7"/>
    <w:rsid w:val="003C7B57"/>
    <w:rsid w:val="003D180E"/>
    <w:rsid w:val="003D37D5"/>
    <w:rsid w:val="003D3C5A"/>
    <w:rsid w:val="003E4FE4"/>
    <w:rsid w:val="003F0626"/>
    <w:rsid w:val="003F5A37"/>
    <w:rsid w:val="004108D3"/>
    <w:rsid w:val="00421789"/>
    <w:rsid w:val="00430C83"/>
    <w:rsid w:val="004321C2"/>
    <w:rsid w:val="00437489"/>
    <w:rsid w:val="00466693"/>
    <w:rsid w:val="0047310E"/>
    <w:rsid w:val="00486F3E"/>
    <w:rsid w:val="00492371"/>
    <w:rsid w:val="00497CE1"/>
    <w:rsid w:val="004B166B"/>
    <w:rsid w:val="004B3E38"/>
    <w:rsid w:val="004B7464"/>
    <w:rsid w:val="004E0DC1"/>
    <w:rsid w:val="004E6D51"/>
    <w:rsid w:val="00502895"/>
    <w:rsid w:val="005161F1"/>
    <w:rsid w:val="00534030"/>
    <w:rsid w:val="00545D6F"/>
    <w:rsid w:val="005469A0"/>
    <w:rsid w:val="00552D79"/>
    <w:rsid w:val="005761CC"/>
    <w:rsid w:val="0058374B"/>
    <w:rsid w:val="00583AF4"/>
    <w:rsid w:val="00585B65"/>
    <w:rsid w:val="005907F3"/>
    <w:rsid w:val="005B31E8"/>
    <w:rsid w:val="005C7EB6"/>
    <w:rsid w:val="005E5F87"/>
    <w:rsid w:val="005F004B"/>
    <w:rsid w:val="005F03E3"/>
    <w:rsid w:val="00601D76"/>
    <w:rsid w:val="00607D13"/>
    <w:rsid w:val="0061115B"/>
    <w:rsid w:val="00613025"/>
    <w:rsid w:val="00613328"/>
    <w:rsid w:val="00617D57"/>
    <w:rsid w:val="006218A5"/>
    <w:rsid w:val="00622D80"/>
    <w:rsid w:val="00623381"/>
    <w:rsid w:val="0062340A"/>
    <w:rsid w:val="00627907"/>
    <w:rsid w:val="006338CC"/>
    <w:rsid w:val="00650088"/>
    <w:rsid w:val="006551C0"/>
    <w:rsid w:val="006672F1"/>
    <w:rsid w:val="00674966"/>
    <w:rsid w:val="006838A5"/>
    <w:rsid w:val="00686104"/>
    <w:rsid w:val="00694594"/>
    <w:rsid w:val="00696553"/>
    <w:rsid w:val="006A5F98"/>
    <w:rsid w:val="006D1685"/>
    <w:rsid w:val="006E6013"/>
    <w:rsid w:val="006F78CC"/>
    <w:rsid w:val="00731330"/>
    <w:rsid w:val="00732D23"/>
    <w:rsid w:val="00765813"/>
    <w:rsid w:val="007674D7"/>
    <w:rsid w:val="00771A14"/>
    <w:rsid w:val="007A0F49"/>
    <w:rsid w:val="007B03D7"/>
    <w:rsid w:val="007D04E5"/>
    <w:rsid w:val="007D07AD"/>
    <w:rsid w:val="007D7259"/>
    <w:rsid w:val="007E56CD"/>
    <w:rsid w:val="00800332"/>
    <w:rsid w:val="008010C3"/>
    <w:rsid w:val="00807798"/>
    <w:rsid w:val="008214CE"/>
    <w:rsid w:val="008231B5"/>
    <w:rsid w:val="00840552"/>
    <w:rsid w:val="00844536"/>
    <w:rsid w:val="00855B69"/>
    <w:rsid w:val="0087094D"/>
    <w:rsid w:val="00875128"/>
    <w:rsid w:val="00875C31"/>
    <w:rsid w:val="008827AA"/>
    <w:rsid w:val="00890B70"/>
    <w:rsid w:val="00893D3B"/>
    <w:rsid w:val="00894100"/>
    <w:rsid w:val="008A4E86"/>
    <w:rsid w:val="008A76A5"/>
    <w:rsid w:val="008B5BE9"/>
    <w:rsid w:val="008B6D44"/>
    <w:rsid w:val="008C29BD"/>
    <w:rsid w:val="008D7E77"/>
    <w:rsid w:val="008E1E7B"/>
    <w:rsid w:val="008E47A2"/>
    <w:rsid w:val="008F5BBB"/>
    <w:rsid w:val="00905422"/>
    <w:rsid w:val="009136B3"/>
    <w:rsid w:val="00916EF1"/>
    <w:rsid w:val="00917503"/>
    <w:rsid w:val="00930C06"/>
    <w:rsid w:val="0093346F"/>
    <w:rsid w:val="00937F60"/>
    <w:rsid w:val="009533A9"/>
    <w:rsid w:val="00960B23"/>
    <w:rsid w:val="00984F8C"/>
    <w:rsid w:val="009A099F"/>
    <w:rsid w:val="009A30FD"/>
    <w:rsid w:val="009A55D3"/>
    <w:rsid w:val="009C2013"/>
    <w:rsid w:val="009D3808"/>
    <w:rsid w:val="009D652B"/>
    <w:rsid w:val="009E3F71"/>
    <w:rsid w:val="00A24E2F"/>
    <w:rsid w:val="00A27E01"/>
    <w:rsid w:val="00A440EB"/>
    <w:rsid w:val="00A4553A"/>
    <w:rsid w:val="00A569B0"/>
    <w:rsid w:val="00A60CDE"/>
    <w:rsid w:val="00A65FA0"/>
    <w:rsid w:val="00A70FBB"/>
    <w:rsid w:val="00A712B1"/>
    <w:rsid w:val="00A7130D"/>
    <w:rsid w:val="00A745DE"/>
    <w:rsid w:val="00A82D39"/>
    <w:rsid w:val="00A83A9D"/>
    <w:rsid w:val="00A9027C"/>
    <w:rsid w:val="00A91346"/>
    <w:rsid w:val="00AA2D14"/>
    <w:rsid w:val="00AB32F3"/>
    <w:rsid w:val="00AB4782"/>
    <w:rsid w:val="00AB595F"/>
    <w:rsid w:val="00AD0A9F"/>
    <w:rsid w:val="00AE1C1C"/>
    <w:rsid w:val="00AE7120"/>
    <w:rsid w:val="00B06BB4"/>
    <w:rsid w:val="00B16988"/>
    <w:rsid w:val="00B203C0"/>
    <w:rsid w:val="00B275E9"/>
    <w:rsid w:val="00B44224"/>
    <w:rsid w:val="00B44EF7"/>
    <w:rsid w:val="00B55044"/>
    <w:rsid w:val="00B62C5A"/>
    <w:rsid w:val="00B67197"/>
    <w:rsid w:val="00B703DC"/>
    <w:rsid w:val="00B759C8"/>
    <w:rsid w:val="00B83127"/>
    <w:rsid w:val="00B90C24"/>
    <w:rsid w:val="00B9219D"/>
    <w:rsid w:val="00B95D55"/>
    <w:rsid w:val="00B96D7F"/>
    <w:rsid w:val="00BA3FAD"/>
    <w:rsid w:val="00BD0334"/>
    <w:rsid w:val="00BD2236"/>
    <w:rsid w:val="00BD72E3"/>
    <w:rsid w:val="00C0660B"/>
    <w:rsid w:val="00C06DB8"/>
    <w:rsid w:val="00C12C08"/>
    <w:rsid w:val="00C148EA"/>
    <w:rsid w:val="00C32795"/>
    <w:rsid w:val="00C347A4"/>
    <w:rsid w:val="00C35CDE"/>
    <w:rsid w:val="00C463F5"/>
    <w:rsid w:val="00C77E3B"/>
    <w:rsid w:val="00C9217C"/>
    <w:rsid w:val="00C929A1"/>
    <w:rsid w:val="00C94CEB"/>
    <w:rsid w:val="00C95A15"/>
    <w:rsid w:val="00CC43EC"/>
    <w:rsid w:val="00CD3A4A"/>
    <w:rsid w:val="00CE7455"/>
    <w:rsid w:val="00CF5D46"/>
    <w:rsid w:val="00CF6E10"/>
    <w:rsid w:val="00D22AC2"/>
    <w:rsid w:val="00D278D5"/>
    <w:rsid w:val="00D35888"/>
    <w:rsid w:val="00D44870"/>
    <w:rsid w:val="00D64C0A"/>
    <w:rsid w:val="00D75883"/>
    <w:rsid w:val="00D75C04"/>
    <w:rsid w:val="00D85F30"/>
    <w:rsid w:val="00D94292"/>
    <w:rsid w:val="00D9694F"/>
    <w:rsid w:val="00DA6C45"/>
    <w:rsid w:val="00DC1654"/>
    <w:rsid w:val="00DC1CD1"/>
    <w:rsid w:val="00DE011F"/>
    <w:rsid w:val="00DE4A8B"/>
    <w:rsid w:val="00DE5B84"/>
    <w:rsid w:val="00DF1572"/>
    <w:rsid w:val="00E0244F"/>
    <w:rsid w:val="00E12D26"/>
    <w:rsid w:val="00E15463"/>
    <w:rsid w:val="00E201B5"/>
    <w:rsid w:val="00E220DC"/>
    <w:rsid w:val="00E24704"/>
    <w:rsid w:val="00E26E80"/>
    <w:rsid w:val="00E30CC3"/>
    <w:rsid w:val="00E44C62"/>
    <w:rsid w:val="00E459C6"/>
    <w:rsid w:val="00E6492E"/>
    <w:rsid w:val="00E71176"/>
    <w:rsid w:val="00E85F35"/>
    <w:rsid w:val="00E9181C"/>
    <w:rsid w:val="00E965DC"/>
    <w:rsid w:val="00E97A92"/>
    <w:rsid w:val="00EA0DCA"/>
    <w:rsid w:val="00EA1924"/>
    <w:rsid w:val="00EB530C"/>
    <w:rsid w:val="00EC094E"/>
    <w:rsid w:val="00EE56FD"/>
    <w:rsid w:val="00EF00EB"/>
    <w:rsid w:val="00EF3EAA"/>
    <w:rsid w:val="00F0109D"/>
    <w:rsid w:val="00F075AD"/>
    <w:rsid w:val="00F21476"/>
    <w:rsid w:val="00F305F4"/>
    <w:rsid w:val="00F4186F"/>
    <w:rsid w:val="00F419AF"/>
    <w:rsid w:val="00F45C5A"/>
    <w:rsid w:val="00F5083E"/>
    <w:rsid w:val="00F642EE"/>
    <w:rsid w:val="00F77CD5"/>
    <w:rsid w:val="00F9359A"/>
    <w:rsid w:val="00FA28CD"/>
    <w:rsid w:val="00FA28F4"/>
    <w:rsid w:val="00FC4716"/>
    <w:rsid w:val="00FD630B"/>
    <w:rsid w:val="00FF3277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B7D6AE-3C3B-4ED0-9210-624A06CE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0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2DA"/>
    <w:rPr>
      <w:b/>
      <w:bCs/>
    </w:rPr>
  </w:style>
  <w:style w:type="paragraph" w:styleId="ListParagraph">
    <w:name w:val="List Paragraph"/>
    <w:basedOn w:val="Normal"/>
    <w:uiPriority w:val="34"/>
    <w:qFormat/>
    <w:rsid w:val="0076581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3346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3346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93346F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93346F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334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9"/>
    <w:locked/>
    <w:rsid w:val="00FC471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CA4E-C474-4C29-A744-118E12F9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https:/mul2-edu.gov.am/tasks/1287439/oneclick/VOROSHUM-2023-2024-3.06.2023.docx?token=6eeafd7c587e4212f2e33161828fa21e</cp:keywords>
  <cp:lastModifiedBy>Acer</cp:lastModifiedBy>
  <cp:revision>52</cp:revision>
  <cp:lastPrinted>2024-04-11T11:07:00Z</cp:lastPrinted>
  <dcterms:created xsi:type="dcterms:W3CDTF">2024-04-12T10:39:00Z</dcterms:created>
  <dcterms:modified xsi:type="dcterms:W3CDTF">2024-04-16T12:17:00Z</dcterms:modified>
</cp:coreProperties>
</file>