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D961D" w14:textId="77777777" w:rsidR="00365F46" w:rsidRPr="009F7375" w:rsidRDefault="00365F46" w:rsidP="00692E54">
      <w:pPr>
        <w:pStyle w:val="mechtex"/>
        <w:spacing w:line="360" w:lineRule="auto"/>
        <w:ind w:left="-426" w:firstLine="567"/>
        <w:jc w:val="right"/>
        <w:rPr>
          <w:rFonts w:ascii="GHEA Grapalat" w:hAnsi="GHEA Grapalat"/>
          <w:b/>
          <w:sz w:val="24"/>
          <w:szCs w:val="24"/>
          <w:lang w:val="hy-AM" w:eastAsia="en-US"/>
        </w:rPr>
      </w:pPr>
      <w:r w:rsidRPr="009F7375">
        <w:rPr>
          <w:rFonts w:ascii="GHEA Grapalat" w:hAnsi="GHEA Grapalat"/>
          <w:b/>
          <w:sz w:val="24"/>
          <w:szCs w:val="24"/>
          <w:lang w:val="hy-AM" w:eastAsia="en-US"/>
        </w:rPr>
        <w:t>ՆԱԽԱԳԻԾ</w:t>
      </w:r>
    </w:p>
    <w:p w14:paraId="3BBF13FE" w14:textId="77777777" w:rsidR="00365F46" w:rsidRPr="009F7375" w:rsidRDefault="00365F46" w:rsidP="00692E54">
      <w:pPr>
        <w:pStyle w:val="mechtex"/>
        <w:spacing w:line="360" w:lineRule="auto"/>
        <w:ind w:left="-426" w:firstLine="567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33B7C76E" w14:textId="3A79A630" w:rsidR="00365F46" w:rsidRPr="009F7375" w:rsidRDefault="00365F46" w:rsidP="00692E54">
      <w:pPr>
        <w:pStyle w:val="mechtex"/>
        <w:spacing w:line="360" w:lineRule="auto"/>
        <w:ind w:left="-426" w:firstLine="567"/>
        <w:rPr>
          <w:rFonts w:ascii="GHEA Grapalat" w:hAnsi="GHEA Grapalat"/>
          <w:b/>
          <w:sz w:val="24"/>
          <w:szCs w:val="24"/>
          <w:lang w:val="hy-AM" w:eastAsia="en-US"/>
        </w:rPr>
      </w:pPr>
      <w:r w:rsidRPr="009F7375">
        <w:rPr>
          <w:rFonts w:ascii="GHEA Grapalat" w:hAnsi="GHEA Grapalat"/>
          <w:b/>
          <w:sz w:val="24"/>
          <w:szCs w:val="24"/>
          <w:lang w:val="hy-AM" w:eastAsia="en-US"/>
        </w:rPr>
        <w:t>ՀԱՅԱՍՏԱՆԻ ՀԱՆՐԱՊԵՏՈՒԹՅԱՆ ԿԱՌԱՎԱՐՈՒԹՅՈՒՆ</w:t>
      </w:r>
    </w:p>
    <w:p w14:paraId="10FB31E8" w14:textId="7A895333" w:rsidR="00365F46" w:rsidRPr="009F7375" w:rsidRDefault="00365F46" w:rsidP="00692E54">
      <w:pPr>
        <w:pStyle w:val="mechtex"/>
        <w:spacing w:line="360" w:lineRule="auto"/>
        <w:ind w:left="-426" w:firstLine="567"/>
        <w:rPr>
          <w:rFonts w:ascii="GHEA Grapalat" w:hAnsi="GHEA Grapalat"/>
          <w:b/>
          <w:sz w:val="24"/>
          <w:szCs w:val="24"/>
          <w:lang w:val="hy-AM" w:eastAsia="en-US"/>
        </w:rPr>
      </w:pPr>
      <w:r w:rsidRPr="009F7375">
        <w:rPr>
          <w:rFonts w:ascii="GHEA Grapalat" w:hAnsi="GHEA Grapalat"/>
          <w:b/>
          <w:sz w:val="24"/>
          <w:szCs w:val="24"/>
          <w:lang w:val="hy-AM" w:eastAsia="en-US"/>
        </w:rPr>
        <w:t>Ո  Ր  Ո  Շ  Ո Ւ  Մ</w:t>
      </w:r>
    </w:p>
    <w:p w14:paraId="60F6BB70" w14:textId="4AF5251C" w:rsidR="00365F46" w:rsidRPr="009F7375" w:rsidRDefault="00B44FEE" w:rsidP="00692E54">
      <w:pPr>
        <w:spacing w:line="360" w:lineRule="auto"/>
        <w:ind w:left="-426" w:firstLine="567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9F7375">
        <w:rPr>
          <w:rFonts w:ascii="GHEA Grapalat" w:hAnsi="GHEA Grapalat"/>
          <w:sz w:val="24"/>
          <w:szCs w:val="24"/>
          <w:lang w:val="hy-AM" w:eastAsia="en-US"/>
        </w:rPr>
        <w:t xml:space="preserve">__________ </w:t>
      </w:r>
      <w:r w:rsidR="00365F46" w:rsidRPr="009F7375">
        <w:rPr>
          <w:rFonts w:ascii="GHEA Grapalat" w:hAnsi="GHEA Grapalat"/>
          <w:sz w:val="24"/>
          <w:szCs w:val="24"/>
          <w:lang w:val="hy-AM" w:eastAsia="en-US"/>
        </w:rPr>
        <w:t>202</w:t>
      </w:r>
      <w:r w:rsidR="00784EEE" w:rsidRPr="009F7375">
        <w:rPr>
          <w:rFonts w:ascii="GHEA Grapalat" w:hAnsi="GHEA Grapalat"/>
          <w:sz w:val="24"/>
          <w:szCs w:val="24"/>
          <w:lang w:val="hy-AM" w:eastAsia="en-US"/>
        </w:rPr>
        <w:t>4</w:t>
      </w:r>
      <w:r w:rsidR="00365F46" w:rsidRPr="009F7375">
        <w:rPr>
          <w:rFonts w:ascii="GHEA Grapalat" w:hAnsi="GHEA Grapalat"/>
          <w:sz w:val="24"/>
          <w:szCs w:val="24"/>
          <w:lang w:val="hy-AM" w:eastAsia="en-US"/>
        </w:rPr>
        <w:t xml:space="preserve"> թվականի N      - Ն</w:t>
      </w:r>
    </w:p>
    <w:p w14:paraId="748196EB" w14:textId="41F080E6" w:rsidR="00365F46" w:rsidRPr="009F7375" w:rsidRDefault="00365F46" w:rsidP="00692E54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/>
          <w:b/>
          <w:lang w:val="hy-AM"/>
        </w:rPr>
      </w:pPr>
    </w:p>
    <w:p w14:paraId="428DBD8A" w14:textId="7166D9D2" w:rsidR="00380975" w:rsidRPr="009F7375" w:rsidRDefault="00380975" w:rsidP="00692E54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567"/>
        <w:jc w:val="center"/>
        <w:rPr>
          <w:rFonts w:ascii="GHEA Grapalat" w:hAnsi="GHEA Grapalat"/>
          <w:b/>
          <w:lang w:val="hy-AM"/>
        </w:rPr>
      </w:pPr>
      <w:r w:rsidRPr="009F7375">
        <w:rPr>
          <w:rFonts w:ascii="GHEA Grapalat" w:hAnsi="GHEA Grapalat"/>
          <w:b/>
          <w:lang w:val="hy-AM"/>
        </w:rPr>
        <w:t xml:space="preserve">ՀԱՅԱՍՏԱՆԻ </w:t>
      </w:r>
      <w:r w:rsidR="00333640" w:rsidRPr="009F7375">
        <w:rPr>
          <w:rFonts w:ascii="GHEA Grapalat" w:hAnsi="GHEA Grapalat"/>
          <w:b/>
          <w:lang w:val="hy-AM"/>
        </w:rPr>
        <w:t>ՀԱՆՐԱՊԵՏՈՒԹՅԱՆ ԿԱՌԱՎԱՐՈՒԹՅԱՆ 201</w:t>
      </w:r>
      <w:r w:rsidRPr="009F7375">
        <w:rPr>
          <w:rFonts w:ascii="GHEA Grapalat" w:hAnsi="GHEA Grapalat"/>
          <w:b/>
          <w:lang w:val="hy-AM"/>
        </w:rPr>
        <w:t>3 ԹՎԱԿԱՆԻ ՓԵՏՐՎԱՐԻ 21-Ի N 218-Ն ՈՐՈՇՄԱՆ ՄԵՋ ՓՈՓՈԽՈՒԹՅՈՒՆՆԵՐ ԵՎ ԼՐԱՑՈՒՄՆԵՐ ԿԱՏԱՐԵԼՈՒ</w:t>
      </w:r>
      <w:r w:rsidR="00CF6B0C" w:rsidRPr="009F7375">
        <w:rPr>
          <w:rFonts w:ascii="GHEA Grapalat" w:hAnsi="GHEA Grapalat"/>
          <w:b/>
          <w:lang w:val="hy-AM"/>
        </w:rPr>
        <w:t xml:space="preserve"> ԵՎ </w:t>
      </w:r>
      <w:r w:rsidR="00DC57CF" w:rsidRPr="009F7375">
        <w:rPr>
          <w:rFonts w:ascii="GHEA Grapalat" w:hAnsi="GHEA Grapalat"/>
          <w:b/>
          <w:lang w:val="hy-AM"/>
        </w:rPr>
        <w:t xml:space="preserve">ՀԱՅԱՍՏԱՆԻ ՀԱՆՐԱՊԵՏՈՒԹՅԱՆ ԿԱՌԱՎԱՐՈՒԹՅԱՆ </w:t>
      </w:r>
      <w:r w:rsidR="00CF6B0C" w:rsidRPr="009F7375">
        <w:rPr>
          <w:rFonts w:ascii="GHEA Grapalat" w:hAnsi="GHEA Grapalat"/>
          <w:b/>
          <w:color w:val="000000"/>
          <w:lang w:val="hy-AM" w:eastAsia="en-GB"/>
        </w:rPr>
        <w:t>2013 ԹՎԱԿԱՆԻ ՆՈՅԵՄԲԵՐԻ 14-Ի N 1228-Ն ՈՐՈՇՈՒՄՆ ՈՒԺԸ ԿՈՐՑՐԱԾ ՃԱՆԱՉԵԼՈՒ</w:t>
      </w:r>
      <w:r w:rsidRPr="009F7375">
        <w:rPr>
          <w:rFonts w:ascii="GHEA Grapalat" w:hAnsi="GHEA Grapalat"/>
          <w:b/>
          <w:lang w:val="hy-AM"/>
        </w:rPr>
        <w:t xml:space="preserve"> ՄԱՍԻՆ</w:t>
      </w:r>
    </w:p>
    <w:p w14:paraId="32874326" w14:textId="22C27780" w:rsidR="00415493" w:rsidRPr="009F7375" w:rsidRDefault="00415493" w:rsidP="00692E54">
      <w:pPr>
        <w:spacing w:line="360" w:lineRule="auto"/>
        <w:ind w:left="-426"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9F7375">
        <w:rPr>
          <w:rFonts w:ascii="Calibri" w:hAnsi="Calibri" w:cs="Calibri"/>
          <w:sz w:val="24"/>
          <w:szCs w:val="24"/>
          <w:lang w:val="hy-AM" w:eastAsia="en-US"/>
        </w:rPr>
        <w:t>   </w:t>
      </w:r>
    </w:p>
    <w:p w14:paraId="1499B626" w14:textId="791599DA" w:rsidR="004E6389" w:rsidRPr="009F7375" w:rsidRDefault="00415493" w:rsidP="00692E5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9F7375">
        <w:rPr>
          <w:rFonts w:ascii="GHEA Grapalat" w:hAnsi="GHEA Grapalat"/>
          <w:lang w:val="hy-AM"/>
        </w:rPr>
        <w:t xml:space="preserve">Հիմք ընդունելով </w:t>
      </w:r>
      <w:r w:rsidR="00380975" w:rsidRPr="009F7375">
        <w:rPr>
          <w:rFonts w:ascii="GHEA Grapalat" w:hAnsi="GHEA Grapalat"/>
          <w:lang w:val="hy-AM"/>
        </w:rPr>
        <w:t>«Նորմատիվ իրավա</w:t>
      </w:r>
      <w:r w:rsidR="00777AA3" w:rsidRPr="009F7375">
        <w:rPr>
          <w:rFonts w:ascii="GHEA Grapalat" w:hAnsi="GHEA Grapalat"/>
          <w:lang w:val="hy-AM"/>
        </w:rPr>
        <w:t>կան ակտերի մասին» օրենքի 33-րդ,</w:t>
      </w:r>
      <w:r w:rsidR="00380975" w:rsidRPr="009F7375">
        <w:rPr>
          <w:rFonts w:ascii="GHEA Grapalat" w:hAnsi="GHEA Grapalat"/>
          <w:lang w:val="hy-AM"/>
        </w:rPr>
        <w:t xml:space="preserve"> 34-րդ </w:t>
      </w:r>
      <w:r w:rsidR="00777AA3" w:rsidRPr="009F7375">
        <w:rPr>
          <w:rFonts w:ascii="GHEA Grapalat" w:hAnsi="GHEA Grapalat"/>
          <w:lang w:val="hy-AM"/>
        </w:rPr>
        <w:t xml:space="preserve">և 37-րդ </w:t>
      </w:r>
      <w:r w:rsidR="00380975" w:rsidRPr="009F7375">
        <w:rPr>
          <w:rFonts w:ascii="GHEA Grapalat" w:hAnsi="GHEA Grapalat"/>
          <w:lang w:val="hy-AM"/>
        </w:rPr>
        <w:t>հոդվածները</w:t>
      </w:r>
      <w:r w:rsidRPr="009F7375">
        <w:rPr>
          <w:rFonts w:ascii="GHEA Grapalat" w:hAnsi="GHEA Grapalat"/>
          <w:lang w:val="hy-AM"/>
        </w:rPr>
        <w:t>՝ Հայաստանի Հանրապետության կառավարությունը</w:t>
      </w:r>
      <w:r w:rsidRPr="009F7375">
        <w:rPr>
          <w:rFonts w:ascii="Calibri" w:hAnsi="Calibri" w:cs="Calibri"/>
          <w:lang w:val="hy-AM"/>
        </w:rPr>
        <w:t> </w:t>
      </w:r>
      <w:r w:rsidRPr="009F7375">
        <w:rPr>
          <w:rFonts w:ascii="GHEA Grapalat" w:hAnsi="GHEA Grapalat" w:cs="GHEA Grapalat"/>
          <w:lang w:val="hy-AM"/>
        </w:rPr>
        <w:t>որոշում</w:t>
      </w:r>
      <w:r w:rsidRPr="009F7375">
        <w:rPr>
          <w:rFonts w:ascii="GHEA Grapalat" w:hAnsi="GHEA Grapalat"/>
          <w:lang w:val="hy-AM"/>
        </w:rPr>
        <w:t xml:space="preserve"> </w:t>
      </w:r>
      <w:r w:rsidRPr="009F7375">
        <w:rPr>
          <w:rFonts w:ascii="GHEA Grapalat" w:hAnsi="GHEA Grapalat" w:cs="GHEA Grapalat"/>
          <w:lang w:val="hy-AM"/>
        </w:rPr>
        <w:t>է</w:t>
      </w:r>
      <w:r w:rsidRPr="009F7375">
        <w:rPr>
          <w:rFonts w:ascii="GHEA Grapalat" w:hAnsi="GHEA Grapalat"/>
          <w:lang w:val="hy-AM"/>
        </w:rPr>
        <w:t>.</w:t>
      </w:r>
      <w:r w:rsidR="004E6389" w:rsidRPr="009F7375">
        <w:rPr>
          <w:rFonts w:ascii="Calibri" w:hAnsi="Calibri" w:cs="Calibri"/>
          <w:color w:val="000000"/>
          <w:lang w:val="hy-AM" w:eastAsia="en-GB"/>
        </w:rPr>
        <w:t> </w:t>
      </w:r>
    </w:p>
    <w:p w14:paraId="2AA1DF90" w14:textId="5F0543DE" w:rsidR="00380975" w:rsidRPr="009F7375" w:rsidRDefault="00380975" w:rsidP="00692E5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Հայաստանի Հանրապետության կառավարության 2013 թվականի փետրվարի 21-ի «</w:t>
      </w:r>
      <w:r w:rsidRPr="009F7375">
        <w:rPr>
          <w:rFonts w:ascii="GHEA Grapalat" w:hAnsi="GHEA Grapalat"/>
          <w:sz w:val="24"/>
          <w:szCs w:val="24"/>
          <w:lang w:val="hy-AM" w:eastAsia="en-GB"/>
        </w:rPr>
        <w:t>Հայաստանի Հանրապետություն ներմուծվող սննդամթերքի ռիսկայնության հիման վրա հսկողության մեթոդաբանությունը հաստատելու մասին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» N 218-Ն որոշման (այսուհետ՝ Որոշում) մեջ կատարել հետևյալ փոփոխությունները և լրացումները.</w:t>
      </w:r>
    </w:p>
    <w:p w14:paraId="4D8ACC22" w14:textId="77777777" w:rsidR="00380975" w:rsidRPr="009F7375" w:rsidRDefault="00380975" w:rsidP="00692E54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Որոշման վերնագիրը շարադրել հետևյալ խմբագրությամբ՝</w:t>
      </w:r>
    </w:p>
    <w:p w14:paraId="340678F8" w14:textId="7C1145CE" w:rsidR="00380975" w:rsidRPr="009F7375" w:rsidRDefault="00380975" w:rsidP="00692E54">
      <w:pPr>
        <w:spacing w:line="360" w:lineRule="auto"/>
        <w:ind w:firstLine="567"/>
        <w:jc w:val="both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«</w:t>
      </w:r>
      <w:r w:rsidRPr="009F737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 ՆԵՐՄՈՒԾՎՈՂ ՍՆՆԴԱՄԹԵՐՔԻ ՌԻՍԿԱՅՆՈՒԹՅԱՆ ՀԻՄԱՆ ՎՐԱ ՀՍԿՈՂՈՒԹՅԱՆ ՄԵԹՈԴԱԲԱՆՈՒԹՅՈՒՆԸ </w:t>
      </w:r>
      <w:r w:rsidR="00333640" w:rsidRPr="009F737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9F737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F7375">
        <w:rPr>
          <w:rFonts w:ascii="GHEA Grapalat" w:hAnsi="GHEA Grapalat" w:cs="Arial"/>
          <w:b/>
          <w:sz w:val="24"/>
          <w:szCs w:val="24"/>
          <w:lang w:val="hy-AM"/>
        </w:rPr>
        <w:t xml:space="preserve">ՊԵՏԱԿԱՆ ԲՅՈՒՋԵԻ ՄԻՋՈՑՆԵՐԻ ՀԱՇՎԻՆ ՊԱՀԵՍՏԱՅԻՆ ՆՄՈՒՇԸ ԱՅԼ ՊԵՏՈՒԹՅԱՆ ՌԵՖԵՐԵՆՍ ՓՈՐՁԱՐԿՄԱՆ ԼԱԲՈՐԱՏՈՐԻԱ ՈՒՂԱՐԿԵԼՈՒ ԴԵՊՔԵՐԸ ԵՎ ԿԱՐԳԸ </w:t>
      </w:r>
      <w:r w:rsidR="00333640" w:rsidRPr="009F7375">
        <w:rPr>
          <w:rFonts w:ascii="GHEA Grapalat" w:hAnsi="GHEA Grapalat" w:cs="Arial"/>
          <w:b/>
          <w:sz w:val="24"/>
          <w:szCs w:val="24"/>
          <w:lang w:val="hy-AM"/>
        </w:rPr>
        <w:t>ՀԱՍՏԱՏԵԼՈՒ</w:t>
      </w:r>
      <w:r w:rsidRPr="009F7375">
        <w:rPr>
          <w:rFonts w:ascii="GHEA Grapalat" w:hAnsi="GHEA Grapalat" w:cs="Arial"/>
          <w:b/>
          <w:sz w:val="24"/>
          <w:szCs w:val="24"/>
          <w:lang w:val="hy-AM"/>
        </w:rPr>
        <w:t xml:space="preserve"> ՄԱՍԻՆ</w:t>
      </w: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».</w:t>
      </w:r>
    </w:p>
    <w:p w14:paraId="4686F0A6" w14:textId="4D6848F0" w:rsidR="00380975" w:rsidRPr="009F7375" w:rsidRDefault="00380975" w:rsidP="00692E54">
      <w:pPr>
        <w:pStyle w:val="ListParagraph"/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Որոշման նախաբան</w:t>
      </w:r>
      <w:r w:rsidR="001E0EDD"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ում</w:t>
      </w: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 «</w:t>
      </w:r>
      <w:r w:rsidR="006B0FB8"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մասին» բառը փոխարինել </w:t>
      </w: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«</w:t>
      </w:r>
      <w:r w:rsidR="006B0FB8"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և</w:t>
      </w:r>
      <w:r w:rsidR="009832C2"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 16-րդ հոդվածի 8-րդ մաս</w:t>
      </w:r>
      <w:r w:rsidR="006B0FB8"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եր</w:t>
      </w:r>
      <w:r w:rsidR="009832C2"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ին</w:t>
      </w: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»</w:t>
      </w:r>
      <w:r w:rsidR="009832C2"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 բառերով.</w:t>
      </w:r>
    </w:p>
    <w:p w14:paraId="47E64683" w14:textId="09257C85" w:rsidR="009832C2" w:rsidRPr="009F7375" w:rsidRDefault="009832C2" w:rsidP="00692E54">
      <w:pPr>
        <w:pStyle w:val="ListParagraph"/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Որոշման 1-ին կետը «համաձայն» բառից հետո լրացնել «N 1» թ</w:t>
      </w:r>
      <w:r w:rsidR="001E0EDD"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վով</w:t>
      </w: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.</w:t>
      </w:r>
    </w:p>
    <w:p w14:paraId="04E779B2" w14:textId="222D88D0" w:rsidR="009832C2" w:rsidRPr="009F7375" w:rsidRDefault="009832C2" w:rsidP="00692E54">
      <w:pPr>
        <w:pStyle w:val="ListParagraph"/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Որոշումը լրացնել հետևյալ բովանդակությամբ 1.1-ին կետով.</w:t>
      </w:r>
    </w:p>
    <w:p w14:paraId="5B3C5CFD" w14:textId="649EACF7" w:rsidR="009832C2" w:rsidRPr="009F7375" w:rsidRDefault="009832C2" w:rsidP="00692E54">
      <w:pPr>
        <w:spacing w:line="360" w:lineRule="auto"/>
        <w:ind w:firstLine="567"/>
        <w:jc w:val="both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lastRenderedPageBreak/>
        <w:t>«1.1 Սահմանել պետական բյուջեի միջոցների հաշվին պահեստային նմուշը այլ պետության ռեֆերենս փորձարկման լաբորատորիա ուղարկելու դեպքերը և կարգը՝ համաձայն N 2 հավելվածի:».</w:t>
      </w:r>
    </w:p>
    <w:p w14:paraId="365E7080" w14:textId="41BA488C" w:rsidR="009832C2" w:rsidRPr="009F7375" w:rsidRDefault="009832C2" w:rsidP="00692E54">
      <w:pPr>
        <w:pStyle w:val="ListParagraph"/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Որոշման  հավելվածի աջ անկյունում «Հավելված» բառից հետո լրացնել «N 1» թիվը.</w:t>
      </w:r>
    </w:p>
    <w:p w14:paraId="227DF1B0" w14:textId="46BA6F8A" w:rsidR="009832C2" w:rsidRPr="009F7375" w:rsidRDefault="009832C2" w:rsidP="00692E54">
      <w:pPr>
        <w:pStyle w:val="ListParagraph"/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Որոշման հավելվածի N4 աղյուսակը շարադրել հետևյալ խմբագրությամբ.</w:t>
      </w:r>
    </w:p>
    <w:p w14:paraId="36EE9762" w14:textId="77777777" w:rsidR="009832C2" w:rsidRPr="009F7375" w:rsidRDefault="009832C2" w:rsidP="00692E54">
      <w:pPr>
        <w:pStyle w:val="ListParagraph"/>
        <w:shd w:val="clear" w:color="auto" w:fill="FFFFFF"/>
        <w:ind w:left="0" w:firstLine="567"/>
        <w:jc w:val="center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p w14:paraId="7A325AB2" w14:textId="0BEAEEE0" w:rsidR="009832C2" w:rsidRPr="009F7375" w:rsidRDefault="009832C2" w:rsidP="00692E54">
      <w:pPr>
        <w:shd w:val="clear" w:color="auto" w:fill="FFFFFF"/>
        <w:ind w:firstLine="567"/>
        <w:jc w:val="right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«</w:t>
      </w: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N 4 աղյուսակ</w:t>
      </w:r>
    </w:p>
    <w:p w14:paraId="78CE6588" w14:textId="77777777" w:rsidR="009832C2" w:rsidRPr="009F7375" w:rsidRDefault="009832C2" w:rsidP="00692E54">
      <w:pPr>
        <w:pStyle w:val="ListParagraph"/>
        <w:shd w:val="clear" w:color="auto" w:fill="FFFFFF"/>
        <w:ind w:left="0" w:firstLine="567"/>
        <w:jc w:val="center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p w14:paraId="211A10D0" w14:textId="77777777" w:rsidR="009832C2" w:rsidRPr="009F7375" w:rsidRDefault="009832C2" w:rsidP="00692E54">
      <w:pPr>
        <w:shd w:val="clear" w:color="auto" w:fill="FFFFFF"/>
        <w:ind w:firstLine="567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Դասակարգումն ըստ զանգվածի (քանակ, ծավալ)</w:t>
      </w:r>
    </w:p>
    <w:p w14:paraId="0003BF87" w14:textId="68099242" w:rsidR="009832C2" w:rsidRPr="009F7375" w:rsidRDefault="009832C2" w:rsidP="00692E54">
      <w:pPr>
        <w:shd w:val="clear" w:color="auto" w:fill="FFFFFF"/>
        <w:ind w:firstLine="567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5240"/>
        <w:gridCol w:w="2024"/>
      </w:tblGrid>
      <w:tr w:rsidR="008A45AA" w:rsidRPr="009F7375" w14:paraId="294EA92F" w14:textId="77777777" w:rsidTr="009832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747DB" w14:textId="77777777" w:rsidR="009832C2" w:rsidRPr="009F7375" w:rsidRDefault="009832C2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Ռիսկը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C5DAD" w14:textId="77777777" w:rsidR="009832C2" w:rsidRPr="009F7375" w:rsidRDefault="009832C2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Զանգվածը (կգ կամ լիտր)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2713A" w14:textId="77777777" w:rsidR="009832C2" w:rsidRPr="009F7375" w:rsidRDefault="009832C2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Calibri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Միավորը</w:t>
            </w:r>
          </w:p>
        </w:tc>
      </w:tr>
      <w:tr w:rsidR="008A45AA" w:rsidRPr="009F7375" w14:paraId="1B780B44" w14:textId="77777777" w:rsidTr="009832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BBD43D" w14:textId="31A03700" w:rsidR="00144448" w:rsidRPr="009F7375" w:rsidRDefault="00144448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Բարձրագույն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C9E500" w14:textId="13A0980D" w:rsidR="00144448" w:rsidRPr="009F7375" w:rsidRDefault="00144448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10000-ից 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631DB8" w14:textId="0039FB19" w:rsidR="00144448" w:rsidRPr="009F7375" w:rsidRDefault="00144448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15</w:t>
            </w:r>
          </w:p>
        </w:tc>
      </w:tr>
      <w:tr w:rsidR="008A45AA" w:rsidRPr="009F7375" w14:paraId="7868D55F" w14:textId="77777777" w:rsidTr="009832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D2978" w14:textId="77777777" w:rsidR="009832C2" w:rsidRPr="009F7375" w:rsidRDefault="009832C2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CBFAD" w14:textId="523CDC6C" w:rsidR="009832C2" w:rsidRPr="009F7375" w:rsidRDefault="00144448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5000-</w:t>
            </w:r>
            <w:r w:rsidR="009832C2"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ից ավելի</w:t>
            </w: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՝ 10000-ը ներառյալ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23CF2" w14:textId="03E0EB09" w:rsidR="009832C2" w:rsidRPr="009F7375" w:rsidRDefault="00144448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10</w:t>
            </w:r>
          </w:p>
        </w:tc>
      </w:tr>
      <w:tr w:rsidR="008A45AA" w:rsidRPr="009F7375" w14:paraId="264FCBAE" w14:textId="77777777" w:rsidTr="009832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CE85F6" w14:textId="77777777" w:rsidR="009832C2" w:rsidRPr="009F7375" w:rsidRDefault="009832C2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Միջին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6104C" w14:textId="75B59271" w:rsidR="009832C2" w:rsidRPr="009F7375" w:rsidRDefault="00144448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1</w:t>
            </w:r>
            <w:r w:rsidR="009832C2"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 xml:space="preserve">000-ից ավելի՝ </w:t>
            </w: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5</w:t>
            </w:r>
            <w:r w:rsidR="009832C2"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000-ը ներառյալ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C1CF5" w14:textId="057F31C7" w:rsidR="009832C2" w:rsidRPr="009F7375" w:rsidRDefault="0099733E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5</w:t>
            </w:r>
          </w:p>
        </w:tc>
      </w:tr>
      <w:tr w:rsidR="008A45AA" w:rsidRPr="009F7375" w14:paraId="63CEF61A" w14:textId="77777777" w:rsidTr="009832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5A288" w14:textId="77777777" w:rsidR="009832C2" w:rsidRPr="009F7375" w:rsidRDefault="009832C2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930D2" w14:textId="0E22A61B" w:rsidR="009832C2" w:rsidRPr="009F7375" w:rsidRDefault="009832C2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մինչև 1000-ը ներառյալ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2B3F8" w14:textId="77777777" w:rsidR="009832C2" w:rsidRPr="009F7375" w:rsidRDefault="009832C2" w:rsidP="00692E54">
            <w:pPr>
              <w:spacing w:before="100" w:beforeAutospacing="1" w:after="100" w:afterAutospacing="1"/>
              <w:ind w:firstLine="567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9F7375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1</w:t>
            </w:r>
          </w:p>
        </w:tc>
      </w:tr>
    </w:tbl>
    <w:p w14:paraId="7955DD71" w14:textId="4315C7D0" w:rsidR="009832C2" w:rsidRPr="009F7375" w:rsidRDefault="00144448" w:rsidP="00692E54">
      <w:pPr>
        <w:pStyle w:val="ListParagraph"/>
        <w:spacing w:line="360" w:lineRule="auto"/>
        <w:ind w:left="0" w:firstLine="567"/>
        <w:jc w:val="right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».</w:t>
      </w:r>
    </w:p>
    <w:p w14:paraId="359F5B7E" w14:textId="0F206B52" w:rsidR="00144448" w:rsidRPr="009F7375" w:rsidRDefault="00144448" w:rsidP="00692E54">
      <w:pPr>
        <w:pStyle w:val="ListParagraph"/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Որոշումը լրացնել N 2 հավելվածով</w:t>
      </w:r>
      <w:r w:rsidR="0014792B"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՝ համաձայն հավելվածի։</w:t>
      </w:r>
    </w:p>
    <w:p w14:paraId="5FD89679" w14:textId="6D3C6B7A" w:rsidR="0014792B" w:rsidRPr="009F7375" w:rsidRDefault="0014792B" w:rsidP="00692E54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2</w:t>
      </w:r>
      <w:r w:rsidR="009F7375">
        <w:rPr>
          <w:rFonts w:ascii="GHEA Grapalat" w:hAnsi="GHEA Grapalat"/>
          <w:color w:val="000000"/>
          <w:sz w:val="24"/>
          <w:szCs w:val="24"/>
          <w:lang w:val="hy-AM" w:eastAsia="en-GB"/>
        </w:rPr>
        <w:t>.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9F7375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Ուժը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կորցրած ճանաչել </w:t>
      </w:r>
      <w:r w:rsidR="000B1186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Կառավարության 2013 թվականի նոյեմբերի 14-ի «Սննդամթերքի անվտանգության պետական վերահսկողության նպատակով փարձարկումներ իրականացնող լաբորատորիաների՝ մրցույթով լիազորման կարգը հաստատելու մասին» N 1228-Ն որոշումը։</w:t>
      </w:r>
    </w:p>
    <w:p w14:paraId="6DF9F1B3" w14:textId="555BF2CC" w:rsidR="004E6389" w:rsidRPr="009F7375" w:rsidRDefault="0014792B" w:rsidP="00692E54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3</w:t>
      </w:r>
      <w:r w:rsidR="00583801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.</w:t>
      </w:r>
      <w:r w:rsidR="004E6389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Սույն որոշումն ուժի մեջ է մտնում պաշտոնական հրապարակման օրվան հաջորդող տասներորդ օրը:</w:t>
      </w:r>
    </w:p>
    <w:p w14:paraId="28BA4B8D" w14:textId="77777777" w:rsidR="004E6389" w:rsidRPr="009F7375" w:rsidRDefault="004E6389" w:rsidP="00692E54">
      <w:pPr>
        <w:shd w:val="clear" w:color="auto" w:fill="FFFFFF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p w14:paraId="27F39378" w14:textId="77777777" w:rsidR="0014792B" w:rsidRPr="009F7375" w:rsidRDefault="0014792B" w:rsidP="00692E54">
      <w:pPr>
        <w:ind w:firstLine="567"/>
        <w:jc w:val="center"/>
        <w:rPr>
          <w:rFonts w:ascii="GHEA Grapalat" w:hAnsi="GHEA Grapalat"/>
          <w:b/>
          <w:bCs/>
          <w:sz w:val="22"/>
          <w:szCs w:val="22"/>
          <w:lang w:val="hy-AM" w:eastAsia="en-GB"/>
        </w:rPr>
      </w:pPr>
    </w:p>
    <w:p w14:paraId="056A9AD9" w14:textId="77777777" w:rsidR="004B366E" w:rsidRPr="009F7375" w:rsidRDefault="004B366E" w:rsidP="00692E54">
      <w:pPr>
        <w:spacing w:after="200" w:line="276" w:lineRule="auto"/>
        <w:ind w:firstLine="567"/>
        <w:rPr>
          <w:rFonts w:ascii="GHEA Grapalat" w:hAnsi="GHEA Grapalat"/>
          <w:b/>
          <w:bCs/>
          <w:sz w:val="22"/>
          <w:szCs w:val="22"/>
          <w:lang w:val="hy-AM" w:eastAsia="en-GB"/>
        </w:rPr>
      </w:pPr>
      <w:r w:rsidRPr="009F7375">
        <w:rPr>
          <w:rFonts w:ascii="GHEA Grapalat" w:hAnsi="GHEA Grapalat"/>
          <w:b/>
          <w:bCs/>
          <w:sz w:val="22"/>
          <w:szCs w:val="22"/>
          <w:lang w:val="hy-AM" w:eastAsia="en-GB"/>
        </w:rPr>
        <w:br w:type="page"/>
      </w:r>
    </w:p>
    <w:p w14:paraId="466D2BCC" w14:textId="6021A2AC" w:rsidR="0014792B" w:rsidRPr="009F7375" w:rsidRDefault="0014792B" w:rsidP="00692E54">
      <w:pPr>
        <w:ind w:firstLine="567"/>
        <w:jc w:val="right"/>
        <w:rPr>
          <w:rFonts w:ascii="GHEA Grapalat" w:hAnsi="GHEA Grapalat"/>
          <w:b/>
          <w:bCs/>
          <w:sz w:val="22"/>
          <w:szCs w:val="22"/>
          <w:lang w:val="hy-AM" w:eastAsia="en-GB"/>
        </w:rPr>
      </w:pPr>
      <w:r w:rsidRPr="009F7375">
        <w:rPr>
          <w:rFonts w:ascii="GHEA Grapalat" w:hAnsi="GHEA Grapalat"/>
          <w:b/>
          <w:bCs/>
          <w:sz w:val="22"/>
          <w:szCs w:val="22"/>
          <w:lang w:val="hy-AM" w:eastAsia="en-GB"/>
        </w:rPr>
        <w:lastRenderedPageBreak/>
        <w:t>Հավելված</w:t>
      </w:r>
    </w:p>
    <w:p w14:paraId="65361CB4" w14:textId="77777777" w:rsidR="0014792B" w:rsidRPr="009F7375" w:rsidRDefault="0014792B" w:rsidP="00692E54">
      <w:pPr>
        <w:ind w:firstLine="567"/>
        <w:jc w:val="right"/>
        <w:rPr>
          <w:rFonts w:ascii="GHEA Grapalat" w:hAnsi="GHEA Grapalat"/>
          <w:b/>
          <w:bCs/>
          <w:sz w:val="22"/>
          <w:szCs w:val="22"/>
          <w:lang w:val="hy-AM" w:eastAsia="en-GB"/>
        </w:rPr>
      </w:pPr>
      <w:r w:rsidRPr="009F7375">
        <w:rPr>
          <w:rFonts w:ascii="Calibri" w:hAnsi="Calibri" w:cs="Calibri"/>
          <w:b/>
          <w:bCs/>
          <w:sz w:val="22"/>
          <w:szCs w:val="22"/>
          <w:lang w:val="hy-AM" w:eastAsia="en-GB"/>
        </w:rPr>
        <w:t> </w:t>
      </w:r>
      <w:r w:rsidRPr="009F7375">
        <w:rPr>
          <w:rFonts w:ascii="GHEA Grapalat" w:hAnsi="GHEA Grapalat" w:cs="Arial Unicode"/>
          <w:b/>
          <w:bCs/>
          <w:sz w:val="22"/>
          <w:szCs w:val="22"/>
          <w:lang w:val="hy-AM" w:eastAsia="en-GB"/>
        </w:rPr>
        <w:t>ՀՀ</w:t>
      </w:r>
      <w:r w:rsidRPr="009F7375">
        <w:rPr>
          <w:rFonts w:ascii="GHEA Grapalat" w:hAnsi="GHEA Grapalat"/>
          <w:b/>
          <w:bCs/>
          <w:sz w:val="22"/>
          <w:szCs w:val="22"/>
          <w:lang w:val="hy-AM" w:eastAsia="en-GB"/>
        </w:rPr>
        <w:t xml:space="preserve"> </w:t>
      </w:r>
      <w:r w:rsidRPr="009F7375">
        <w:rPr>
          <w:rFonts w:ascii="GHEA Grapalat" w:hAnsi="GHEA Grapalat" w:cs="Arial Unicode"/>
          <w:b/>
          <w:bCs/>
          <w:sz w:val="22"/>
          <w:szCs w:val="22"/>
          <w:lang w:val="hy-AM" w:eastAsia="en-GB"/>
        </w:rPr>
        <w:t>կառավարության</w:t>
      </w:r>
      <w:r w:rsidRPr="009F7375">
        <w:rPr>
          <w:rFonts w:ascii="GHEA Grapalat" w:hAnsi="GHEA Grapalat"/>
          <w:b/>
          <w:bCs/>
          <w:sz w:val="22"/>
          <w:szCs w:val="22"/>
          <w:lang w:val="hy-AM" w:eastAsia="en-GB"/>
        </w:rPr>
        <w:t xml:space="preserve"> 2024 </w:t>
      </w:r>
      <w:r w:rsidRPr="009F7375">
        <w:rPr>
          <w:rFonts w:ascii="GHEA Grapalat" w:hAnsi="GHEA Grapalat" w:cs="Arial Unicode"/>
          <w:b/>
          <w:bCs/>
          <w:sz w:val="22"/>
          <w:szCs w:val="22"/>
          <w:lang w:val="hy-AM" w:eastAsia="en-GB"/>
        </w:rPr>
        <w:t>թվական</w:t>
      </w:r>
      <w:r w:rsidRPr="009F7375">
        <w:rPr>
          <w:rFonts w:ascii="GHEA Grapalat" w:hAnsi="GHEA Grapalat"/>
          <w:b/>
          <w:bCs/>
          <w:sz w:val="22"/>
          <w:szCs w:val="22"/>
          <w:lang w:val="hy-AM" w:eastAsia="en-GB"/>
        </w:rPr>
        <w:t>ի</w:t>
      </w:r>
    </w:p>
    <w:p w14:paraId="0D844B22" w14:textId="34D594C1" w:rsidR="0014792B" w:rsidRPr="009F7375" w:rsidRDefault="0014792B" w:rsidP="00692E54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rFonts w:ascii="GHEA Grapalat" w:hAnsi="GHEA Grapalat"/>
          <w:b/>
          <w:bCs/>
          <w:sz w:val="22"/>
          <w:szCs w:val="22"/>
          <w:lang w:val="hy-AM" w:eastAsia="en-GB"/>
        </w:rPr>
      </w:pPr>
      <w:r w:rsidRPr="009F7375">
        <w:rPr>
          <w:rFonts w:ascii="Calibri" w:hAnsi="Calibri" w:cs="Calibri"/>
          <w:b/>
          <w:bCs/>
          <w:sz w:val="22"/>
          <w:szCs w:val="22"/>
          <w:lang w:val="hy-AM" w:eastAsia="en-GB"/>
        </w:rPr>
        <w:t> </w:t>
      </w:r>
      <w:r w:rsidRPr="009F7375">
        <w:rPr>
          <w:rFonts w:ascii="GHEA Grapalat" w:hAnsi="GHEA Grapalat"/>
          <w:b/>
          <w:bCs/>
          <w:sz w:val="22"/>
          <w:szCs w:val="22"/>
          <w:lang w:val="hy-AM" w:eastAsia="en-GB"/>
        </w:rPr>
        <w:t>-</w:t>
      </w:r>
      <w:r w:rsidRPr="009F7375">
        <w:rPr>
          <w:rFonts w:ascii="GHEA Grapalat" w:hAnsi="GHEA Grapalat" w:cs="Arial Unicode"/>
          <w:b/>
          <w:bCs/>
          <w:sz w:val="22"/>
          <w:szCs w:val="22"/>
          <w:lang w:val="hy-AM" w:eastAsia="en-GB"/>
        </w:rPr>
        <w:t>ի</w:t>
      </w:r>
      <w:r w:rsidRPr="009F7375">
        <w:rPr>
          <w:rFonts w:ascii="GHEA Grapalat" w:hAnsi="GHEA Grapalat"/>
          <w:b/>
          <w:bCs/>
          <w:sz w:val="22"/>
          <w:szCs w:val="22"/>
          <w:lang w:val="hy-AM" w:eastAsia="en-GB"/>
        </w:rPr>
        <w:t xml:space="preserve"> N    -</w:t>
      </w:r>
      <w:r w:rsidRPr="009F7375">
        <w:rPr>
          <w:rFonts w:ascii="GHEA Grapalat" w:hAnsi="GHEA Grapalat" w:cs="Arial Unicode"/>
          <w:b/>
          <w:bCs/>
          <w:sz w:val="22"/>
          <w:szCs w:val="22"/>
          <w:lang w:val="hy-AM" w:eastAsia="en-GB"/>
        </w:rPr>
        <w:t>Ն</w:t>
      </w:r>
      <w:r w:rsidRPr="009F7375">
        <w:rPr>
          <w:rFonts w:ascii="GHEA Grapalat" w:hAnsi="GHEA Grapalat"/>
          <w:b/>
          <w:bCs/>
          <w:sz w:val="22"/>
          <w:szCs w:val="22"/>
          <w:lang w:val="hy-AM" w:eastAsia="en-GB"/>
        </w:rPr>
        <w:t xml:space="preserve"> </w:t>
      </w:r>
      <w:r w:rsidRPr="009F7375">
        <w:rPr>
          <w:rFonts w:ascii="GHEA Grapalat" w:hAnsi="GHEA Grapalat" w:cs="Arial Unicode"/>
          <w:b/>
          <w:bCs/>
          <w:sz w:val="22"/>
          <w:szCs w:val="22"/>
          <w:lang w:val="hy-AM" w:eastAsia="en-GB"/>
        </w:rPr>
        <w:t>որոշմա</w:t>
      </w:r>
      <w:r w:rsidRPr="009F7375">
        <w:rPr>
          <w:rFonts w:ascii="GHEA Grapalat" w:hAnsi="GHEA Grapalat"/>
          <w:b/>
          <w:bCs/>
          <w:sz w:val="22"/>
          <w:szCs w:val="22"/>
          <w:lang w:val="hy-AM" w:eastAsia="en-GB"/>
        </w:rPr>
        <w:t>ն</w:t>
      </w:r>
    </w:p>
    <w:p w14:paraId="00B88A68" w14:textId="77777777" w:rsidR="0014792B" w:rsidRPr="009F7375" w:rsidRDefault="0014792B" w:rsidP="00692E54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rFonts w:ascii="GHEA Grapalat" w:hAnsi="GHEA Grapalat" w:cs="Calibri"/>
          <w:color w:val="000000"/>
          <w:lang w:val="hy-AM" w:eastAsia="en-GB"/>
        </w:rPr>
      </w:pPr>
    </w:p>
    <w:p w14:paraId="3012B73E" w14:textId="64CFA89C" w:rsidR="0014792B" w:rsidRPr="009F7375" w:rsidRDefault="004E6389" w:rsidP="00692E54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rFonts w:ascii="GHEA Grapalat" w:hAnsi="GHEA Grapalat"/>
          <w:color w:val="000000"/>
          <w:lang w:val="hy-AM" w:eastAsia="en-GB"/>
        </w:rPr>
      </w:pPr>
      <w:r w:rsidRPr="009F7375">
        <w:rPr>
          <w:rFonts w:ascii="Calibri" w:hAnsi="Calibri" w:cs="Calibri"/>
          <w:color w:val="000000"/>
          <w:lang w:val="hy-AM" w:eastAsia="en-GB"/>
        </w:rPr>
        <w:t> </w:t>
      </w:r>
      <w:r w:rsidR="0014792B" w:rsidRPr="009F7375">
        <w:rPr>
          <w:rFonts w:ascii="GHEA Grapalat" w:hAnsi="GHEA Grapalat" w:cs="Arial"/>
          <w:color w:val="000000"/>
          <w:lang w:val="hy-AM" w:eastAsia="en-GB"/>
        </w:rPr>
        <w:t>«</w:t>
      </w:r>
      <w:r w:rsidR="0014792B" w:rsidRPr="009F7375">
        <w:rPr>
          <w:rStyle w:val="Strong"/>
          <w:rFonts w:ascii="GHEA Grapalat" w:hAnsi="GHEA Grapalat"/>
          <w:color w:val="000000"/>
          <w:lang w:val="hy-AM"/>
        </w:rPr>
        <w:t>Հավելված N 2</w:t>
      </w:r>
    </w:p>
    <w:p w14:paraId="590C8F7A" w14:textId="77777777" w:rsidR="0014792B" w:rsidRPr="009F7375" w:rsidRDefault="0014792B" w:rsidP="00692E54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rFonts w:ascii="GHEA Grapalat" w:hAnsi="GHEA Grapalat"/>
          <w:color w:val="000000"/>
          <w:lang w:val="hy-AM"/>
        </w:rPr>
      </w:pPr>
      <w:r w:rsidRPr="009F7375">
        <w:rPr>
          <w:rStyle w:val="Strong"/>
          <w:rFonts w:ascii="GHEA Grapalat" w:hAnsi="GHEA Grapalat"/>
          <w:color w:val="000000"/>
          <w:lang w:val="hy-AM"/>
        </w:rPr>
        <w:t>ՀՀ կառավարության 2013 թվականի</w:t>
      </w:r>
    </w:p>
    <w:p w14:paraId="51E91FE0" w14:textId="77777777" w:rsidR="0014792B" w:rsidRPr="009F7375" w:rsidRDefault="0014792B" w:rsidP="00692E54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rFonts w:ascii="GHEA Grapalat" w:hAnsi="GHEA Grapalat"/>
          <w:color w:val="000000"/>
          <w:lang w:val="hy-AM"/>
        </w:rPr>
      </w:pPr>
      <w:r w:rsidRPr="009F7375">
        <w:rPr>
          <w:rStyle w:val="Strong"/>
          <w:rFonts w:ascii="GHEA Grapalat" w:hAnsi="GHEA Grapalat"/>
          <w:color w:val="000000"/>
          <w:lang w:val="hy-AM"/>
        </w:rPr>
        <w:t>փետրվարի 21-ի N 218-Ն որոշման</w:t>
      </w:r>
    </w:p>
    <w:p w14:paraId="7778A512" w14:textId="77777777" w:rsidR="0014792B" w:rsidRPr="009F7375" w:rsidRDefault="0014792B" w:rsidP="00692E54">
      <w:pPr>
        <w:pStyle w:val="ListParagraph"/>
        <w:spacing w:line="360" w:lineRule="auto"/>
        <w:ind w:left="0" w:firstLine="567"/>
        <w:jc w:val="both"/>
        <w:rPr>
          <w:rFonts w:ascii="GHEA Grapalat" w:hAnsi="GHEA Grapalat" w:cs="Arial"/>
          <w:color w:val="000000"/>
          <w:sz w:val="24"/>
          <w:szCs w:val="24"/>
          <w:lang w:val="hy-AM" w:eastAsia="en-GB"/>
        </w:rPr>
      </w:pPr>
    </w:p>
    <w:p w14:paraId="6A61956E" w14:textId="77777777" w:rsidR="0014792B" w:rsidRPr="009F7375" w:rsidRDefault="0014792B" w:rsidP="00692E54">
      <w:pPr>
        <w:shd w:val="clear" w:color="auto" w:fill="FFFFFF"/>
        <w:spacing w:before="100" w:beforeAutospacing="1" w:after="100" w:afterAutospacing="1" w:line="360" w:lineRule="auto"/>
        <w:ind w:firstLine="567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9F7375">
        <w:rPr>
          <w:rFonts w:ascii="GHEA Grapalat" w:hAnsi="GHEA Grapalat" w:cs="Arial"/>
          <w:b/>
          <w:sz w:val="24"/>
          <w:szCs w:val="24"/>
          <w:lang w:val="hy-AM"/>
        </w:rPr>
        <w:t xml:space="preserve">ՊԵՏԱԿԱՆ ԲՅՈՒՋԵԻ ՄԻՋՈՑՆԵՐԻ ՀԱՇՎԻՆ ՊԱՀԵՍՏԱՅԻՆ ՆՄՈՒՇԸ ԱՅԼ ՊԵՏՈՒԹՅԱՆ ՌԵՖԵՐԵՆՍ ՓՈՐՁԱՐԿՄԱՆ ԼԱԲՈՐԱՏՈՐԻԱ ՈՒՂԱՐԿԵԼՈՒ ԴԵՊՔԵՐԸ ԵՎ ԿԱՐԳԸ </w:t>
      </w:r>
    </w:p>
    <w:p w14:paraId="3CAE7A66" w14:textId="513A0672" w:rsidR="0014792B" w:rsidRPr="009F7375" w:rsidRDefault="0014792B" w:rsidP="00692E54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Սույն կարգով կարգավորվում են </w:t>
      </w:r>
      <w:r w:rsidRPr="009F7375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F7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Հայաստանի Հանրապետությունում ազգային ռեֆերենս փորձարկման լաբորատորիայի նշանակումը սահմանային պետական վերահսկողության շրջանակներում պետական բյուջեի միջոցների հաշվին ներմուծվող սննդամթերքի պահեստային նմուշ</w:t>
      </w:r>
      <w:r w:rsidR="004D4601" w:rsidRPr="009F7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9F7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այլ պետության </w:t>
      </w:r>
      <w:proofErr w:type="spellStart"/>
      <w:r w:rsidRPr="009F7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ռեֆերենս</w:t>
      </w:r>
      <w:proofErr w:type="spellEnd"/>
      <w:r w:rsidRPr="009F7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փորձարկման լաբորատորիա (այսուհետ՝ ռեֆերենս լաբորատորիա) ուղարկելու հետ կապված հարաբերությունները:</w:t>
      </w:r>
    </w:p>
    <w:p w14:paraId="0C9A61F1" w14:textId="46CEF957" w:rsidR="0014792B" w:rsidRPr="009F7375" w:rsidRDefault="0014792B" w:rsidP="00692E54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կարգ</w:t>
      </w:r>
      <w:r w:rsidR="00CF3D2C" w:rsidRPr="009F7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Pr="009F7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օգտագործվող հասկացությունները և տերմինները կիրառվում են «Սննդամթերքի անվտանգության պետական վերահսկողության մասին» օրենքով և սույն որոշմամբ սահմանված իմաստով:</w:t>
      </w:r>
    </w:p>
    <w:p w14:paraId="19AC0796" w14:textId="77777777" w:rsidR="0014792B" w:rsidRPr="009F7375" w:rsidRDefault="0014792B" w:rsidP="00692E54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Սույն կարգի նպատակն է ապահովել`</w:t>
      </w:r>
    </w:p>
    <w:p w14:paraId="77ABBF55" w14:textId="77777777" w:rsidR="0014792B" w:rsidRPr="009F7375" w:rsidRDefault="0014792B" w:rsidP="00692E54">
      <w:pPr>
        <w:pStyle w:val="ListParagraph"/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1) Հայաստանի Հանրապետություն ներմուծվող սննդամթերքի անվտանգությունը. </w:t>
      </w:r>
    </w:p>
    <w:p w14:paraId="12D828C7" w14:textId="77777777" w:rsidR="0014792B" w:rsidRPr="009F7375" w:rsidRDefault="0014792B" w:rsidP="00692E54">
      <w:pPr>
        <w:pStyle w:val="ListParagraph"/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2) Եվրասիական տնտեսական միության սերտիֆիկացման մա</w:t>
      </w:r>
      <w:bookmarkStart w:id="0" w:name="_GoBack"/>
      <w:bookmarkEnd w:id="0"/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րմինների և փորձարկման լաբորատորիաների միասնական ռեեստրում ներառված ու Եվրասիական տնտեսական միության տեխնիկական կանոնակարգերի պահանջներին համապատասխան նշանակված՝ Հայաստանի Հանրապետության համապատասխանության գնահատման մարմնի (այսուհետ՝ Գնահատման մարմին) փորձաքննությունների և դրանց արդյունքների արժանահավատությունը.</w:t>
      </w:r>
    </w:p>
    <w:p w14:paraId="6FD282B1" w14:textId="77777777" w:rsidR="00CF3D2C" w:rsidRPr="009F7375" w:rsidRDefault="0014792B" w:rsidP="00692E54">
      <w:pPr>
        <w:pStyle w:val="ListParagraph"/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3) Գնահատման մարմինների լաբորատոր հետազոտությունների որակի բարելավումը և միասնականությունը, հավաստիությունը, հուսալիությունը և թափանցիկությունը</w:t>
      </w:r>
    </w:p>
    <w:p w14:paraId="09A10861" w14:textId="1792767F" w:rsidR="0014792B" w:rsidRPr="009F7375" w:rsidRDefault="00CF3D2C" w:rsidP="00692E54">
      <w:pPr>
        <w:pStyle w:val="ListParagraph"/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lastRenderedPageBreak/>
        <w:t xml:space="preserve">4) Հայաստանի Հանրապետությունում </w:t>
      </w:r>
      <w:proofErr w:type="spellStart"/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ռեֆերենս</w:t>
      </w:r>
      <w:proofErr w:type="spellEnd"/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լաբորատորիայի բացակայության պայմաններում վիճարկման հնարավորության ապահովումը:</w:t>
      </w:r>
      <w:r w:rsidR="0014792B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</w:p>
    <w:p w14:paraId="01CB198E" w14:textId="30387000" w:rsidR="0014792B" w:rsidRPr="009F7375" w:rsidRDefault="0014792B" w:rsidP="00692E54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Ապրանքը տնօրինողի ընտրած՝ Գնահատման մարմնի տրված լաբորատոր փորձաքննությունների արդյունքները</w:t>
      </w:r>
      <w:r w:rsidR="006749C7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ստանալուց հետո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Սննդամթերքի անվտանգության տեսչական մարմինը (այսուհետ՝ Լիազոր մարմին) սույն կարգով սահմանված դեպքերում </w:t>
      </w:r>
      <w:r w:rsidR="006749C7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իր մոտ ի պահ հանձնված պահեստային նմուշը փորձարկման 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է ներկայացնում Կառավարության որոշմամբ սահմանված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9F7375">
        <w:rPr>
          <w:rFonts w:ascii="GHEA Grapalat" w:hAnsi="GHEA Grapalat" w:cs="Arial"/>
          <w:sz w:val="24"/>
          <w:szCs w:val="24"/>
          <w:lang w:val="hy-AM"/>
        </w:rPr>
        <w:t>ռեֆերենս</w:t>
      </w:r>
      <w:proofErr w:type="spellEnd"/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լաբորատորիա:</w:t>
      </w:r>
    </w:p>
    <w:p w14:paraId="67A0056B" w14:textId="332705E1" w:rsidR="0014792B" w:rsidRPr="009F7375" w:rsidRDefault="0014792B" w:rsidP="00692E54">
      <w:pPr>
        <w:pStyle w:val="ListParagraph"/>
        <w:shd w:val="clear" w:color="auto" w:fill="FFFFFF"/>
        <w:tabs>
          <w:tab w:val="left" w:pos="0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5</w:t>
      </w:r>
      <w:r w:rsidR="009F7375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.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9F7375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Լիազոր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9F7375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մարմինը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6749C7" w:rsidRPr="009F7375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 xml:space="preserve">պահեստային նմուշը 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փորձարկման է ուղարկում՝</w:t>
      </w:r>
    </w:p>
    <w:p w14:paraId="00FCD9DB" w14:textId="15B0833A" w:rsidR="0014792B" w:rsidRPr="009F7375" w:rsidRDefault="0014792B" w:rsidP="00692E54">
      <w:pPr>
        <w:pStyle w:val="ListParagraph"/>
        <w:shd w:val="clear" w:color="auto" w:fill="FFFFFF"/>
        <w:tabs>
          <w:tab w:val="left" w:pos="426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1) արագ արձագանքման միջազգային համակարգերի, այլ երկրների լիազոր մարմինների հաղորդումների, ԵԱՏՄ-ի միջոցով ստացված տվյալների</w:t>
      </w:r>
      <w:r w:rsidRPr="009F7375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սննդամթերքի վտանգավորության վերաբերյալ տեղեկատվության առկայության դեպքում, եթե արտադրանքի՝ սույն որոշման հավելված N 1-ի աղյուսակ N 1-ով սահմանված ռիսկի միավորը 10-ից ավել է</w:t>
      </w:r>
      <w:r w:rsidR="009F7375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.</w:t>
      </w:r>
    </w:p>
    <w:p w14:paraId="7F3E53F6" w14:textId="1B9C37FD" w:rsidR="0014792B" w:rsidRPr="009F7375" w:rsidRDefault="0014792B" w:rsidP="00692E54">
      <w:pPr>
        <w:pStyle w:val="ListParagraph"/>
        <w:shd w:val="clear" w:color="auto" w:fill="FFFFFF"/>
        <w:tabs>
          <w:tab w:val="left" w:pos="426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2) ներմուծվող ապրանքի խմբաքանակի՝ սույն որոշման հավելված N 1-ով սահմանված մեթոդաբանության համաձայն որոշված ընդհանուր ռիսկայնության միավորը 35 և ավել է, եթե  արտադրանքի՝ սույն որոշման հավելված N 1-ի աղյուսակ N 1-ով սահմանված ռիսկի միավորը 15 և ավել է, իսկ զանգվածի միավորը՝ 5 և ավել</w:t>
      </w:r>
      <w:r w:rsidR="00CF3D2C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է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։</w:t>
      </w:r>
    </w:p>
    <w:p w14:paraId="1528076C" w14:textId="2DFBCEC7" w:rsidR="0014792B" w:rsidRPr="009F7375" w:rsidRDefault="0014792B" w:rsidP="00692E54">
      <w:pPr>
        <w:pStyle w:val="ListParagraph"/>
        <w:shd w:val="clear" w:color="auto" w:fill="FFFFFF"/>
        <w:tabs>
          <w:tab w:val="left" w:pos="426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6</w:t>
      </w:r>
      <w:r w:rsidRPr="009F7375">
        <w:rPr>
          <w:rFonts w:ascii="GHEA Grapalat" w:hAnsi="GHEA Grapalat" w:cs="Arial"/>
          <w:sz w:val="24"/>
          <w:szCs w:val="24"/>
          <w:lang w:val="hy-AM"/>
        </w:rPr>
        <w:t>. Լիազոր մարմի</w:t>
      </w:r>
      <w:r w:rsidR="006749C7" w:rsidRPr="009F7375">
        <w:rPr>
          <w:rFonts w:ascii="GHEA Grapalat" w:hAnsi="GHEA Grapalat" w:cs="Arial"/>
          <w:sz w:val="24"/>
          <w:szCs w:val="24"/>
          <w:lang w:val="hy-AM"/>
        </w:rPr>
        <w:t>նը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սույն կարգի 5-րդ կետով սահմանած դեպքերում  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Գնահատող մարմնի </w:t>
      </w:r>
      <w:r w:rsidRPr="009F7375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տված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լաբորատոր փորձարկման արդյունքները ստանալուց հետո մեկ օրվա ընթացքում տեղեկացում է տվյալ ապրանքը ներմուծող տնտեսավարող սուբյեկտին և Գնահատող մարմնին՝ </w:t>
      </w:r>
      <w:r w:rsidR="00CF3D2C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ներմուծվող </w:t>
      </w:r>
      <w:proofErr w:type="spellStart"/>
      <w:r w:rsidR="00CF3D2C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խմբաքանակից</w:t>
      </w:r>
      <w:proofErr w:type="spellEnd"/>
      <w:r w:rsidR="00CF3D2C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առանձնացված 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պահեստային նմուշը </w:t>
      </w:r>
      <w:proofErr w:type="spellStart"/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ռեֆերենս</w:t>
      </w:r>
      <w:proofErr w:type="spellEnd"/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լաբորատորիա ուղարկելու մասին:</w:t>
      </w:r>
    </w:p>
    <w:p w14:paraId="3BB16D69" w14:textId="77777777" w:rsidR="0014792B" w:rsidRPr="009F7375" w:rsidRDefault="0014792B" w:rsidP="00692E54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7.Պահեստային նմուշը ռեֆերենս լաբորատորիա ուղարկելու նպատակով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Լիազոր մարմինը իր մոտ գտնվող պահեստային նմուշը տեղադրում է նմուշի պահման ջերմաստիճանը և պայմանները ապահովող տարայի մեջ, կապարաքնկում է այն և ուղեկցող նամակով տրամադրում 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միջազգային տեղափոխում իրականացնող կազմակերպությանը՝ այն Կառավարության սահմանած ցանկում ներառված 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ռեֆերենս լաբորատորիա տեղափոխելու համար: </w:t>
      </w:r>
    </w:p>
    <w:p w14:paraId="20BF314F" w14:textId="0A8882FD" w:rsidR="0014792B" w:rsidRPr="009F7375" w:rsidRDefault="0014792B" w:rsidP="00692E54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F7375">
        <w:rPr>
          <w:rFonts w:ascii="GHEA Grapalat" w:hAnsi="GHEA Grapalat" w:cs="Arial"/>
          <w:sz w:val="24"/>
          <w:szCs w:val="24"/>
          <w:lang w:val="hy-AM"/>
        </w:rPr>
        <w:lastRenderedPageBreak/>
        <w:t>8.</w:t>
      </w:r>
      <w:r w:rsid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Arial"/>
          <w:sz w:val="24"/>
          <w:szCs w:val="24"/>
          <w:lang w:val="hy-AM"/>
        </w:rPr>
        <w:t>Պահեստային նմուշի տեղափոխումը իրականացվում է Հայաստանի Հանրապետության օրենսդրության, իսկ դրա բացակայության դեպքում՝ ստանդարտացման նորմատիվ փաստաթղթերով սահմանված պահանջների պահպանմամբ։</w:t>
      </w:r>
    </w:p>
    <w:p w14:paraId="61D36735" w14:textId="0993328C" w:rsidR="0014792B" w:rsidRPr="009F7375" w:rsidRDefault="0014792B" w:rsidP="00692E54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 w:cs="Arial"/>
          <w:sz w:val="24"/>
          <w:szCs w:val="24"/>
          <w:lang w:val="hy-AM"/>
        </w:rPr>
        <w:t>9</w:t>
      </w:r>
      <w:r w:rsidR="009F7375">
        <w:rPr>
          <w:rFonts w:ascii="GHEA Grapalat" w:hAnsi="GHEA Grapalat" w:cs="Arial"/>
          <w:sz w:val="24"/>
          <w:szCs w:val="24"/>
          <w:lang w:val="hy-AM"/>
        </w:rPr>
        <w:t>.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Պահեստային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նմուշը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տեղափոխվում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փոխադրման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ժամանակ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այն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փոփոխությունից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պաշտպանող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նյութերից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պատրաստված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տարայով։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Այն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պետք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պատրաստված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լինի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սահմանած՝</w:t>
      </w:r>
      <w:r w:rsidRPr="009F73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7375">
        <w:rPr>
          <w:rFonts w:ascii="GHEA Grapalat" w:hAnsi="GHEA Grapalat" w:cs="GHEA Grapalat"/>
          <w:sz w:val="24"/>
          <w:szCs w:val="24"/>
          <w:lang w:val="hy-AM"/>
        </w:rPr>
        <w:t>սն</w:t>
      </w:r>
      <w:r w:rsidRPr="009F7375">
        <w:rPr>
          <w:rFonts w:ascii="GHEA Grapalat" w:hAnsi="GHEA Grapalat" w:cs="Arial"/>
          <w:sz w:val="24"/>
          <w:szCs w:val="24"/>
          <w:lang w:val="hy-AM"/>
        </w:rPr>
        <w:t>նդամթերքի հետ անմիջական շփման մեջ գտնվող նյութերի ցանկում ներառված նյութերից։</w:t>
      </w:r>
    </w:p>
    <w:p w14:paraId="062B4F59" w14:textId="2B1E5ACC" w:rsidR="0014792B" w:rsidRPr="009F7375" w:rsidRDefault="0014792B" w:rsidP="00692E54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10. Ռեֆերենս լաբորատորիա տեղափոխման ընթացքում պահեստային նմուշի պահման պայմանների </w:t>
      </w:r>
      <w:proofErr w:type="spellStart"/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պահպանվածություն</w:t>
      </w:r>
      <w:r w:rsidR="00D559EE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ն</w:t>
      </w:r>
      <w:proofErr w:type="spellEnd"/>
      <w:r w:rsidR="00D559EE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երաշխավորելու նպատակով Լիազոր մարմինը պահեստային նմուշի յուրաքանչյուր տարայում տեղադր</w:t>
      </w:r>
      <w:r w:rsidR="006749C7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ում է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ուղեկցող սարքավորում, </w:t>
      </w:r>
      <w:r w:rsidR="006749C7"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որն 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արձանագրում է տեղափոխման ընթացքում նմուշի պահման պայմանների ջերմային տատանումները:</w:t>
      </w:r>
    </w:p>
    <w:p w14:paraId="468FBCCF" w14:textId="1A8CEAF4" w:rsidR="0014792B" w:rsidRPr="009F7375" w:rsidRDefault="0014792B" w:rsidP="00692E54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11. Ռեֆերենս փորձարկման լաբորատորիան օգտագործում է սույն կարգի 10-րդ կետով սահմանված ուղեկցող սարքավորման տվյալները պահեստային նմուշի պահման պայմանները պարզելու համար:</w:t>
      </w:r>
    </w:p>
    <w:p w14:paraId="134B22E0" w14:textId="2E97A458" w:rsidR="0014792B" w:rsidRPr="009F7375" w:rsidRDefault="0014792B" w:rsidP="00692E54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12</w:t>
      </w:r>
      <w:r w:rsidR="009F7375">
        <w:rPr>
          <w:rFonts w:ascii="GHEA Grapalat" w:hAnsi="GHEA Grapalat"/>
          <w:color w:val="000000"/>
          <w:sz w:val="24"/>
          <w:szCs w:val="24"/>
          <w:lang w:val="hy-AM" w:eastAsia="en-GB"/>
        </w:rPr>
        <w:t>.</w:t>
      </w: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Սույն կարգի 5-րդ կետով սահմանված դեպքերում պահեստաին նմուշը ռեֆերենս լաբորատորիա ուղարկելու դեպքում մինչև ռեֆերենս լարորատորիայի արձանագրության ստացումը ներմուծվող սննդամթերքի նկատմամբ կիրառվում են ՀՀ կառավարության 2010 թվականի հոկտեմբերի 21-ի N 1442-Ն որոշմամբ սահմանված սննդամթերքի ներմուծմանը վերաբերող իրավակարգավորումները:</w:t>
      </w:r>
    </w:p>
    <w:p w14:paraId="56E6E8D3" w14:textId="08B3FD81" w:rsidR="004E6389" w:rsidRPr="009F7375" w:rsidRDefault="0014792B" w:rsidP="009F7375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F7375">
        <w:rPr>
          <w:rFonts w:ascii="GHEA Grapalat" w:hAnsi="GHEA Grapalat"/>
          <w:color w:val="000000"/>
          <w:sz w:val="24"/>
          <w:szCs w:val="24"/>
          <w:lang w:val="hy-AM" w:eastAsia="en-GB"/>
        </w:rPr>
        <w:t>13. Այլ պետության ռեֆերենս լաբորատորիայում իրականացված փորձարկման արդյունքներն օգտագործվում են «Սննդամթերքի անվտնագության պետական վերահսկողության մասին» օրենքով սահմանված կարգով։»։</w:t>
      </w:r>
      <w:r w:rsidRPr="009F7375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 </w:t>
      </w:r>
    </w:p>
    <w:sectPr w:rsidR="004E6389" w:rsidRPr="009F7375" w:rsidSect="00134C1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FFD"/>
    <w:multiLevelType w:val="hybridMultilevel"/>
    <w:tmpl w:val="EB629158"/>
    <w:lvl w:ilvl="0" w:tplc="F1DE52A4">
      <w:start w:val="1"/>
      <w:numFmt w:val="decimal"/>
      <w:lvlText w:val="%1)"/>
      <w:lvlJc w:val="left"/>
      <w:pPr>
        <w:ind w:left="3196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405E2728"/>
    <w:multiLevelType w:val="hybridMultilevel"/>
    <w:tmpl w:val="8F90F22A"/>
    <w:lvl w:ilvl="0" w:tplc="C5969134">
      <w:start w:val="1"/>
      <w:numFmt w:val="decimal"/>
      <w:lvlText w:val="%1."/>
      <w:lvlJc w:val="left"/>
      <w:pPr>
        <w:ind w:left="107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43948E3"/>
    <w:multiLevelType w:val="hybridMultilevel"/>
    <w:tmpl w:val="913894E8"/>
    <w:lvl w:ilvl="0" w:tplc="1FCE9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2800A60"/>
    <w:multiLevelType w:val="hybridMultilevel"/>
    <w:tmpl w:val="9FC00970"/>
    <w:lvl w:ilvl="0" w:tplc="3EB8A0D6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E1B5ABC"/>
    <w:multiLevelType w:val="hybridMultilevel"/>
    <w:tmpl w:val="6D2ED4C2"/>
    <w:lvl w:ilvl="0" w:tplc="4CCEF5A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5852E58"/>
    <w:multiLevelType w:val="hybridMultilevel"/>
    <w:tmpl w:val="F65005EC"/>
    <w:lvl w:ilvl="0" w:tplc="AC1E7E7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1437E1"/>
    <w:multiLevelType w:val="hybridMultilevel"/>
    <w:tmpl w:val="4F249D4E"/>
    <w:lvl w:ilvl="0" w:tplc="B9023A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E1"/>
    <w:rsid w:val="00000612"/>
    <w:rsid w:val="00002AA1"/>
    <w:rsid w:val="00004422"/>
    <w:rsid w:val="00010D16"/>
    <w:rsid w:val="00012842"/>
    <w:rsid w:val="00034763"/>
    <w:rsid w:val="000742E1"/>
    <w:rsid w:val="000808FB"/>
    <w:rsid w:val="00081899"/>
    <w:rsid w:val="00087A19"/>
    <w:rsid w:val="0009619C"/>
    <w:rsid w:val="000A116A"/>
    <w:rsid w:val="000A434A"/>
    <w:rsid w:val="000A554C"/>
    <w:rsid w:val="000B0F14"/>
    <w:rsid w:val="000B1186"/>
    <w:rsid w:val="000B4FBD"/>
    <w:rsid w:val="000B608E"/>
    <w:rsid w:val="000E5F27"/>
    <w:rsid w:val="000E7088"/>
    <w:rsid w:val="00102D28"/>
    <w:rsid w:val="00112824"/>
    <w:rsid w:val="00130E25"/>
    <w:rsid w:val="00134C15"/>
    <w:rsid w:val="00137E06"/>
    <w:rsid w:val="00144448"/>
    <w:rsid w:val="001464B9"/>
    <w:rsid w:val="0014792B"/>
    <w:rsid w:val="00165CB2"/>
    <w:rsid w:val="001721DE"/>
    <w:rsid w:val="00180DC4"/>
    <w:rsid w:val="00182FB8"/>
    <w:rsid w:val="00193512"/>
    <w:rsid w:val="00197B57"/>
    <w:rsid w:val="001A75A6"/>
    <w:rsid w:val="001B40A4"/>
    <w:rsid w:val="001C2E5D"/>
    <w:rsid w:val="001D2535"/>
    <w:rsid w:val="001D33C7"/>
    <w:rsid w:val="001E0EDD"/>
    <w:rsid w:val="001E1FD7"/>
    <w:rsid w:val="00201B58"/>
    <w:rsid w:val="00223CEB"/>
    <w:rsid w:val="00245F45"/>
    <w:rsid w:val="00261905"/>
    <w:rsid w:val="00294448"/>
    <w:rsid w:val="002A769C"/>
    <w:rsid w:val="002E16E8"/>
    <w:rsid w:val="0030124D"/>
    <w:rsid w:val="00317397"/>
    <w:rsid w:val="00317588"/>
    <w:rsid w:val="00333640"/>
    <w:rsid w:val="00365F46"/>
    <w:rsid w:val="003702C9"/>
    <w:rsid w:val="00372CC0"/>
    <w:rsid w:val="003775CD"/>
    <w:rsid w:val="00380975"/>
    <w:rsid w:val="0038111A"/>
    <w:rsid w:val="003A5360"/>
    <w:rsid w:val="003D6D22"/>
    <w:rsid w:val="003D7E74"/>
    <w:rsid w:val="003E1F73"/>
    <w:rsid w:val="003F0F96"/>
    <w:rsid w:val="003F1EE3"/>
    <w:rsid w:val="00415493"/>
    <w:rsid w:val="00430043"/>
    <w:rsid w:val="00441DB5"/>
    <w:rsid w:val="00451DB5"/>
    <w:rsid w:val="00466505"/>
    <w:rsid w:val="00470FEC"/>
    <w:rsid w:val="00475B00"/>
    <w:rsid w:val="0047782C"/>
    <w:rsid w:val="004A7680"/>
    <w:rsid w:val="004B366E"/>
    <w:rsid w:val="004D172E"/>
    <w:rsid w:val="004D4601"/>
    <w:rsid w:val="004E6389"/>
    <w:rsid w:val="00500F14"/>
    <w:rsid w:val="00503A99"/>
    <w:rsid w:val="005402A7"/>
    <w:rsid w:val="00572B22"/>
    <w:rsid w:val="00583801"/>
    <w:rsid w:val="00593812"/>
    <w:rsid w:val="005A239B"/>
    <w:rsid w:val="005B665C"/>
    <w:rsid w:val="005C4CCE"/>
    <w:rsid w:val="005D0662"/>
    <w:rsid w:val="005D2A80"/>
    <w:rsid w:val="005E119A"/>
    <w:rsid w:val="005E4B7B"/>
    <w:rsid w:val="005E702D"/>
    <w:rsid w:val="0060070B"/>
    <w:rsid w:val="006069F3"/>
    <w:rsid w:val="00611C0C"/>
    <w:rsid w:val="006337CE"/>
    <w:rsid w:val="00634BEE"/>
    <w:rsid w:val="006363AA"/>
    <w:rsid w:val="00636D87"/>
    <w:rsid w:val="00673CF8"/>
    <w:rsid w:val="006749C7"/>
    <w:rsid w:val="00692E54"/>
    <w:rsid w:val="006B02E1"/>
    <w:rsid w:val="006B0FB8"/>
    <w:rsid w:val="006B29D2"/>
    <w:rsid w:val="006D56C2"/>
    <w:rsid w:val="006D663B"/>
    <w:rsid w:val="00745734"/>
    <w:rsid w:val="007649C8"/>
    <w:rsid w:val="00766EFE"/>
    <w:rsid w:val="00771B33"/>
    <w:rsid w:val="00777AA3"/>
    <w:rsid w:val="00784EEE"/>
    <w:rsid w:val="00785685"/>
    <w:rsid w:val="007A068C"/>
    <w:rsid w:val="007C7288"/>
    <w:rsid w:val="007D07FC"/>
    <w:rsid w:val="007D4BE7"/>
    <w:rsid w:val="007D71D9"/>
    <w:rsid w:val="007E2087"/>
    <w:rsid w:val="007E3E73"/>
    <w:rsid w:val="007E402B"/>
    <w:rsid w:val="007F6C59"/>
    <w:rsid w:val="0086367A"/>
    <w:rsid w:val="00891BB9"/>
    <w:rsid w:val="008A45AA"/>
    <w:rsid w:val="008B7A1C"/>
    <w:rsid w:val="008D1170"/>
    <w:rsid w:val="008D2537"/>
    <w:rsid w:val="00901682"/>
    <w:rsid w:val="009176B5"/>
    <w:rsid w:val="009434B6"/>
    <w:rsid w:val="00947039"/>
    <w:rsid w:val="009513FE"/>
    <w:rsid w:val="00955607"/>
    <w:rsid w:val="00961DAE"/>
    <w:rsid w:val="0097734A"/>
    <w:rsid w:val="009832C2"/>
    <w:rsid w:val="009865AA"/>
    <w:rsid w:val="0099733E"/>
    <w:rsid w:val="009A5C05"/>
    <w:rsid w:val="009B0A1D"/>
    <w:rsid w:val="009E6EFB"/>
    <w:rsid w:val="009F7375"/>
    <w:rsid w:val="00A1414D"/>
    <w:rsid w:val="00A15058"/>
    <w:rsid w:val="00A20181"/>
    <w:rsid w:val="00A23775"/>
    <w:rsid w:val="00A262E2"/>
    <w:rsid w:val="00A27A63"/>
    <w:rsid w:val="00A32035"/>
    <w:rsid w:val="00A7084D"/>
    <w:rsid w:val="00A72466"/>
    <w:rsid w:val="00A74C70"/>
    <w:rsid w:val="00A83BA2"/>
    <w:rsid w:val="00A84BA3"/>
    <w:rsid w:val="00A9660F"/>
    <w:rsid w:val="00AB1892"/>
    <w:rsid w:val="00AC0984"/>
    <w:rsid w:val="00AC6410"/>
    <w:rsid w:val="00AD483C"/>
    <w:rsid w:val="00AD4C93"/>
    <w:rsid w:val="00AE4EB2"/>
    <w:rsid w:val="00AF376E"/>
    <w:rsid w:val="00B04ECB"/>
    <w:rsid w:val="00B32FD4"/>
    <w:rsid w:val="00B40054"/>
    <w:rsid w:val="00B42D83"/>
    <w:rsid w:val="00B44FEE"/>
    <w:rsid w:val="00B51630"/>
    <w:rsid w:val="00B615CB"/>
    <w:rsid w:val="00B64FA4"/>
    <w:rsid w:val="00B87467"/>
    <w:rsid w:val="00B909F0"/>
    <w:rsid w:val="00BA187A"/>
    <w:rsid w:val="00BA2B4D"/>
    <w:rsid w:val="00BB43FE"/>
    <w:rsid w:val="00BD6E08"/>
    <w:rsid w:val="00BE6CF4"/>
    <w:rsid w:val="00C318ED"/>
    <w:rsid w:val="00C51B2D"/>
    <w:rsid w:val="00C67BDA"/>
    <w:rsid w:val="00C853F0"/>
    <w:rsid w:val="00CA419C"/>
    <w:rsid w:val="00CB238D"/>
    <w:rsid w:val="00CB27DD"/>
    <w:rsid w:val="00CC3740"/>
    <w:rsid w:val="00CD3013"/>
    <w:rsid w:val="00CE4A1A"/>
    <w:rsid w:val="00CF3D2C"/>
    <w:rsid w:val="00CF6B0C"/>
    <w:rsid w:val="00D23A94"/>
    <w:rsid w:val="00D339DE"/>
    <w:rsid w:val="00D51F00"/>
    <w:rsid w:val="00D559EE"/>
    <w:rsid w:val="00D93F98"/>
    <w:rsid w:val="00D955A2"/>
    <w:rsid w:val="00DC57CF"/>
    <w:rsid w:val="00DD2304"/>
    <w:rsid w:val="00DD58C9"/>
    <w:rsid w:val="00DE4A0B"/>
    <w:rsid w:val="00DE6626"/>
    <w:rsid w:val="00DF244E"/>
    <w:rsid w:val="00DF438A"/>
    <w:rsid w:val="00DF47B9"/>
    <w:rsid w:val="00DF604C"/>
    <w:rsid w:val="00E16904"/>
    <w:rsid w:val="00E178DA"/>
    <w:rsid w:val="00E24BAB"/>
    <w:rsid w:val="00E4526B"/>
    <w:rsid w:val="00E52FA1"/>
    <w:rsid w:val="00E6744A"/>
    <w:rsid w:val="00E95E04"/>
    <w:rsid w:val="00EB7764"/>
    <w:rsid w:val="00ED016A"/>
    <w:rsid w:val="00EE347D"/>
    <w:rsid w:val="00EF7025"/>
    <w:rsid w:val="00F0233E"/>
    <w:rsid w:val="00F274F9"/>
    <w:rsid w:val="00F33BF2"/>
    <w:rsid w:val="00F40904"/>
    <w:rsid w:val="00F541DF"/>
    <w:rsid w:val="00F5775B"/>
    <w:rsid w:val="00F60546"/>
    <w:rsid w:val="00F654FF"/>
    <w:rsid w:val="00F6798E"/>
    <w:rsid w:val="00F70176"/>
    <w:rsid w:val="00F87E3E"/>
    <w:rsid w:val="00FA4EDD"/>
    <w:rsid w:val="00FC0AE6"/>
    <w:rsid w:val="00FD11A1"/>
    <w:rsid w:val="00FD37E3"/>
    <w:rsid w:val="00FD479C"/>
    <w:rsid w:val="00FE0FE5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EBF4"/>
  <w15:docId w15:val="{B1972504-B32B-4441-9618-0E3C1E03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F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365F46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65F4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365F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15493"/>
    <w:rPr>
      <w:b/>
      <w:bCs/>
    </w:rPr>
  </w:style>
  <w:style w:type="paragraph" w:styleId="ListParagraph">
    <w:name w:val="List Paragraph"/>
    <w:basedOn w:val="Normal"/>
    <w:uiPriority w:val="34"/>
    <w:qFormat/>
    <w:rsid w:val="00415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13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0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6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61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612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4E638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E6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5842-AED7-4892-9C9B-A8CA658D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https:/mul2.gov.am/tasks/845212/oneclick/Naxagic_993.docx?token=8289b5d32978513637632e8f5ad3216f</cp:keywords>
  <dc:description/>
  <cp:lastModifiedBy>Lilit Azatyan</cp:lastModifiedBy>
  <cp:revision>4</cp:revision>
  <dcterms:created xsi:type="dcterms:W3CDTF">2024-04-04T11:38:00Z</dcterms:created>
  <dcterms:modified xsi:type="dcterms:W3CDTF">2024-04-08T11:26:00Z</dcterms:modified>
</cp:coreProperties>
</file>