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6B0" w:rsidRDefault="006F76B0" w:rsidP="006F76B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ՆԱԽԱԳԻԾ</w:t>
      </w:r>
    </w:p>
    <w:p w:rsidR="00016B62" w:rsidRPr="00B878D5" w:rsidRDefault="00016B62" w:rsidP="006F76B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016B62" w:rsidRPr="00B878D5" w:rsidRDefault="00016B62" w:rsidP="006F76B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:rsidR="00016B62" w:rsidRPr="00B878D5" w:rsidRDefault="00016B62" w:rsidP="006F76B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Ո Ր Ո Շ ՈՒ Մ</w:t>
      </w:r>
    </w:p>
    <w:p w:rsidR="00016B62" w:rsidRPr="00B878D5" w:rsidRDefault="00016B62" w:rsidP="006F76B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:rsidR="00016B62" w:rsidRPr="00B878D5" w:rsidRDefault="00016B62" w:rsidP="006F76B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__ </w:t>
      </w:r>
      <w:proofErr w:type="gram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մարտի</w:t>
      </w:r>
      <w:proofErr w:type="gram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202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թվականի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N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_____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-Ն</w:t>
      </w:r>
    </w:p>
    <w:p w:rsidR="00016B62" w:rsidRPr="00B878D5" w:rsidRDefault="00016B62" w:rsidP="006F76B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:rsidR="006F76B0" w:rsidRDefault="00016B62" w:rsidP="006F76B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</w:t>
      </w:r>
    </w:p>
    <w:p w:rsidR="006F76B0" w:rsidRDefault="00016B62" w:rsidP="006F76B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</w:rPr>
        <w:t xml:space="preserve">2017 ԹՎԱԿԱՆԻ ՄԱՅԻՍԻ 25-Ի N 570-Ն ՈՐՈՇՄԱՆ ՄԵՋ </w:t>
      </w:r>
    </w:p>
    <w:p w:rsidR="00016B62" w:rsidRPr="00B878D5" w:rsidRDefault="00016B62" w:rsidP="006F76B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</w:rPr>
        <w:t>ԼՐԱՑՈՒՄՆԵՐ ԿԱՏԱՐԵԼՈՒ ՄԱՍԻՆ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74"/>
        <w:contextualSpacing/>
        <w:jc w:val="both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Ղեկավարվելով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Նորմատիվ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իրավական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ակտերի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օրենքի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33-րդ </w:t>
      </w:r>
      <w:r w:rsidR="00D927EA" w:rsidRPr="00B878D5">
        <w:rPr>
          <w:rFonts w:ascii="GHEA Grapalat" w:eastAsia="Times New Roman" w:hAnsi="GHEA Grapalat" w:cs="Arial"/>
          <w:sz w:val="24"/>
          <w:szCs w:val="24"/>
        </w:rPr>
        <w:t xml:space="preserve">և 34-րդ </w:t>
      </w:r>
      <w:proofErr w:type="spellStart"/>
      <w:r w:rsidR="00D927EA" w:rsidRPr="00B878D5">
        <w:rPr>
          <w:rFonts w:ascii="GHEA Grapalat" w:eastAsia="Times New Roman" w:hAnsi="GHEA Grapalat" w:cs="Arial"/>
          <w:sz w:val="24"/>
          <w:szCs w:val="24"/>
        </w:rPr>
        <w:t>հոդվածների</w:t>
      </w:r>
      <w:proofErr w:type="spellEnd"/>
      <w:r w:rsidR="00D927EA" w:rsidRPr="00B878D5">
        <w:rPr>
          <w:rFonts w:ascii="GHEA Grapalat" w:eastAsia="Times New Roman" w:hAnsi="GHEA Grapalat" w:cs="Arial"/>
          <w:sz w:val="24"/>
          <w:szCs w:val="24"/>
        </w:rPr>
        <w:t xml:space="preserve"> 1-ին </w:t>
      </w:r>
      <w:proofErr w:type="spellStart"/>
      <w:r w:rsidR="00D927EA" w:rsidRPr="00B878D5">
        <w:rPr>
          <w:rFonts w:ascii="GHEA Grapalat" w:eastAsia="Times New Roman" w:hAnsi="GHEA Grapalat" w:cs="Arial"/>
          <w:sz w:val="24"/>
          <w:szCs w:val="24"/>
        </w:rPr>
        <w:t>մասերով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`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Հայաստանի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Հանրապետության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կառավարությունը</w:t>
      </w:r>
      <w:proofErr w:type="spellEnd"/>
      <w:r w:rsidRPr="00B878D5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B878D5">
        <w:rPr>
          <w:rFonts w:ascii="GHEA Grapalat" w:eastAsia="Times New Roman" w:hAnsi="GHEA Grapalat" w:cs="Arial"/>
          <w:b/>
          <w:bCs/>
          <w:i/>
          <w:iCs/>
          <w:sz w:val="24"/>
          <w:szCs w:val="24"/>
        </w:rPr>
        <w:t>որոշում</w:t>
      </w:r>
      <w:proofErr w:type="spellEnd"/>
      <w:r w:rsidRPr="00B878D5">
        <w:rPr>
          <w:rFonts w:ascii="GHEA Grapalat" w:eastAsia="Times New Roman" w:hAnsi="GHEA Grapalat" w:cs="Arial"/>
          <w:b/>
          <w:bCs/>
          <w:i/>
          <w:iCs/>
          <w:sz w:val="24"/>
          <w:szCs w:val="24"/>
        </w:rPr>
        <w:t xml:space="preserve"> է.</w:t>
      </w:r>
    </w:p>
    <w:p w:rsidR="00016B62" w:rsidRDefault="00016B62" w:rsidP="00B878D5">
      <w:pPr>
        <w:shd w:val="clear" w:color="auto" w:fill="FFFFFF"/>
        <w:spacing w:after="0" w:line="360" w:lineRule="auto"/>
        <w:ind w:firstLine="374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sz w:val="24"/>
          <w:szCs w:val="24"/>
        </w:rPr>
        <w:t>1.</w:t>
      </w:r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Հայաստանի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Հանրապետության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կառավարության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2017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թվականի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մայիսի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25-ի «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մարմնի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գործունեության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շրջանակներում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ռիսկի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վրա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հիմնված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համալիր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տրանսֆերային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գնագոյացման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ստուգումների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մեթոդաբանությունը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ռիսկայնությունը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որոշող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չափանիշների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ընդհանուր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նկարագիրը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հաստատելու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մասին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N 570-Ն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որոշման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այսուհետ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`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որոշում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վերնագիրը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համալիր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բառերից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հետո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լրացնել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«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թեմատիկ հարկային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»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բառերով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:</w:t>
      </w:r>
    </w:p>
    <w:p w:rsidR="00773723" w:rsidRPr="00773723" w:rsidRDefault="00773723" w:rsidP="00B878D5">
      <w:pPr>
        <w:shd w:val="clear" w:color="auto" w:fill="FFFFFF"/>
        <w:spacing w:after="0" w:line="360" w:lineRule="auto"/>
        <w:ind w:firstLine="374"/>
        <w:contextualSpacing/>
        <w:jc w:val="both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2. </w:t>
      </w:r>
      <w:r w:rsidRPr="00773723">
        <w:rPr>
          <w:rFonts w:ascii="GHEA Grapalat" w:eastAsia="Times New Roman" w:hAnsi="GHEA Grapalat" w:cs="Arial"/>
          <w:sz w:val="24"/>
          <w:szCs w:val="24"/>
          <w:lang w:val="hy-AM"/>
        </w:rPr>
        <w:t>Որոշման նախաբանը «օրենսգրքի» բառից հետո լրացնել «332-րդ հոդվածի 5-րդ մասին և» բառերով:</w:t>
      </w:r>
    </w:p>
    <w:p w:rsidR="00016B62" w:rsidRPr="006F76B0" w:rsidRDefault="00773723" w:rsidP="00B878D5">
      <w:pPr>
        <w:shd w:val="clear" w:color="auto" w:fill="FFFFFF"/>
        <w:spacing w:after="0" w:line="360" w:lineRule="auto"/>
        <w:ind w:firstLine="374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77372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3</w:t>
      </w:r>
      <w:r w:rsidR="00016B62" w:rsidRPr="0077372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.</w:t>
      </w:r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Որոշման 1-ին կետը 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լրացնել 3-րդ ենթակետով</w:t>
      </w:r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proofErr w:type="spellStart"/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հետևյալ</w:t>
      </w:r>
      <w:proofErr w:type="spellEnd"/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խմբագրությամբ</w:t>
      </w:r>
      <w:r w:rsidR="006F76B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</w:p>
    <w:p w:rsidR="00016B62" w:rsidRPr="006F76B0" w:rsidRDefault="00016B62" w:rsidP="00B878D5">
      <w:pPr>
        <w:shd w:val="clear" w:color="auto" w:fill="FFFFFF"/>
        <w:spacing w:after="0" w:line="360" w:lineRule="auto"/>
        <w:ind w:firstLine="374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6F76B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</w:t>
      </w:r>
      <w:r w:rsidRPr="006F76B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 հարկային մարմնի գործունեության շրջանակներում ռիսկի վրա հիմնված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թեմատիկ</w:t>
      </w:r>
      <w:r w:rsidRPr="006F76B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հարկային ստուգումների մեթոդաբանությունը և ռիսկայնությունը որոշող չափանիշների ընդհանուր նկարագիրը` համաձայն N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</w:t>
      </w:r>
      <w:r w:rsidRPr="006F76B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հավելվածի: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</w:t>
      </w:r>
      <w:r w:rsidRPr="006F76B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:rsidR="00016B62" w:rsidRPr="00773723" w:rsidRDefault="00773723" w:rsidP="00B878D5">
      <w:pPr>
        <w:shd w:val="clear" w:color="auto" w:fill="FFFFFF"/>
        <w:spacing w:after="0" w:line="360" w:lineRule="auto"/>
        <w:ind w:firstLine="374"/>
        <w:contextualSpacing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4</w:t>
      </w:r>
      <w:r w:rsidR="00016B62" w:rsidRPr="0077372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.</w:t>
      </w:r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Որոշումը լրացնել նոր՝ N 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</w:t>
      </w:r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հավելվածով` համաձայն հավելվածի:</w:t>
      </w:r>
    </w:p>
    <w:p w:rsidR="003A0CE6" w:rsidRPr="00773723" w:rsidRDefault="00773723" w:rsidP="006F76B0">
      <w:pPr>
        <w:shd w:val="clear" w:color="auto" w:fill="FFFFFF"/>
        <w:spacing w:after="0" w:line="360" w:lineRule="auto"/>
        <w:ind w:firstLine="37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7372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lastRenderedPageBreak/>
        <w:t>5</w:t>
      </w:r>
      <w:r w:rsidR="00016B62" w:rsidRPr="00773723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.</w:t>
      </w:r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Սույն որոշումն ուժի մեջ է մտնում </w:t>
      </w:r>
      <w:r w:rsidR="006F70A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«Հայաստանի Հ</w:t>
      </w:r>
      <w:r w:rsidR="006F70A6" w:rsidRPr="006F70A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անրապետության հարկային օրենսգրքում լրացումներ </w:t>
      </w:r>
      <w:r w:rsidR="006F70A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</w:t>
      </w:r>
      <w:r w:rsidR="006F70A6" w:rsidRPr="006F70A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փոփոխություններ կատարելու մասին</w:t>
      </w:r>
      <w:r w:rsidR="006F70A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» </w:t>
      </w:r>
      <w:r w:rsidR="00F3498F" w:rsidRPr="00F3498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2024</w:t>
      </w:r>
      <w:r w:rsidR="006F70A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թվականի փետրվարի 28-ի ՀՕ-       </w:t>
      </w:r>
      <w:bookmarkStart w:id="0" w:name="_GoBack"/>
      <w:bookmarkEnd w:id="0"/>
      <w:r w:rsidR="00F3498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-Ն օրենք</w:t>
      </w:r>
      <w:r w:rsidR="006F70A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="00F3498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ուժի մեջ մտնելու </w:t>
      </w:r>
      <w:r w:rsidR="00016B62" w:rsidRPr="00773723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օրվանից: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4521"/>
      </w:tblGrid>
      <w:tr w:rsidR="00016B62" w:rsidRPr="00F3498F" w:rsidTr="002A6F9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16B62" w:rsidRPr="00773723" w:rsidRDefault="00016B62" w:rsidP="006F76B0">
            <w:pPr>
              <w:spacing w:after="0" w:line="360" w:lineRule="auto"/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773723">
              <w:rPr>
                <w:rFonts w:ascii="GHEA Grapalat" w:hAnsi="GHEA Grapalat"/>
                <w:sz w:val="24"/>
                <w:szCs w:val="24"/>
                <w:lang w:val="hy-AM"/>
              </w:rPr>
              <w:br w:type="page"/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6F76B0" w:rsidRPr="00773723" w:rsidRDefault="006F76B0" w:rsidP="006F76B0">
            <w:pPr>
              <w:spacing w:after="0" w:line="36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016B62" w:rsidRPr="00B878D5" w:rsidRDefault="00016B62" w:rsidP="006F76B0">
            <w:pPr>
              <w:spacing w:after="0" w:line="360" w:lineRule="auto"/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F3498F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Հավելված </w:t>
            </w:r>
          </w:p>
          <w:p w:rsidR="00016B62" w:rsidRPr="00F3498F" w:rsidRDefault="00016B62" w:rsidP="006F76B0">
            <w:pPr>
              <w:spacing w:after="0" w:line="360" w:lineRule="auto"/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F3498F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ՀՀ կառավարության </w:t>
            </w:r>
            <w:r w:rsidRPr="00B878D5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------</w:t>
            </w:r>
            <w:r w:rsidRPr="00F3498F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:rsidR="00016B62" w:rsidRPr="00F3498F" w:rsidRDefault="00016B62" w:rsidP="006F76B0">
            <w:pPr>
              <w:spacing w:after="0" w:line="360" w:lineRule="auto"/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878D5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-------------</w:t>
            </w:r>
            <w:r w:rsidRPr="00F3498F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N </w:t>
            </w:r>
            <w:r w:rsidRPr="00B878D5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------</w:t>
            </w:r>
            <w:r w:rsidRPr="00F3498F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-Ն որոշման</w:t>
            </w:r>
          </w:p>
        </w:tc>
      </w:tr>
    </w:tbl>
    <w:p w:rsidR="00D927EA" w:rsidRPr="00F3498F" w:rsidRDefault="00016B62" w:rsidP="006F76B0">
      <w:pPr>
        <w:spacing w:after="0" w:line="360" w:lineRule="auto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F3498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927EA" w:rsidRPr="00B878D5" w:rsidRDefault="00E43645" w:rsidP="006F76B0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«</w:t>
      </w:r>
      <w:r w:rsidR="00D927EA" w:rsidRPr="00F3498F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Հավելված N </w:t>
      </w:r>
      <w:r w:rsidR="00D927EA"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3</w:t>
      </w:r>
    </w:p>
    <w:p w:rsidR="00D927EA" w:rsidRPr="00B878D5" w:rsidRDefault="00D927EA" w:rsidP="006F76B0">
      <w:pPr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ՀՀ կառավարության 2017 թվականի</w:t>
      </w:r>
    </w:p>
    <w:p w:rsidR="00016B62" w:rsidRPr="00B878D5" w:rsidRDefault="00D927EA" w:rsidP="006F76B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մայիսի 25-ի N 570-Ն որոշման</w:t>
      </w:r>
    </w:p>
    <w:p w:rsidR="00016B62" w:rsidRPr="00B878D5" w:rsidRDefault="00016B62" w:rsidP="00B878D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016B62" w:rsidRPr="00B878D5" w:rsidRDefault="00016B62" w:rsidP="006F76B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ՀԱՐԿԱՅԻՆ ՄԱՐՄՆԻ ԳՈՐԾՈՒՆԵՈՒԹՅԱՆ ՇՐՋԱՆԱԿՆԵՐՈՒՄ ՌԻՍԿԻ ՎՐԱ ՀԻՄՆՎԱԾ ԹԵՄԱՏԻԿ ՀԱՐԿԱՅԻՆ ՍՏՈՒԳՈՒՄՆԵՐԻ ՄԵԹՈԴԱԲԱՆՈՒԹՅՈՒՆԸ ԵՎ ՌԻՍԿԱՅՆՈՒԹՅՈՒՆԸ ՈՐՈՇՈՂ ՉԱՓԱՆԻՇՆԵՐԻ ԸՆԴՀԱՆՈՒՐ ՆԿԱՐԱԳԻՐԸ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16B62" w:rsidRPr="00B878D5" w:rsidRDefault="00016B62" w:rsidP="006F76B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I. ԸՆԴՀԱՆՈՒՐ ՏԵՂԵԿՈՒԹՅՈՒՆՆԵՐ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16B62" w:rsidRPr="00B878D5" w:rsidRDefault="00016B62" w:rsidP="00B878D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հավելվածով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սահմանվում է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մարմնի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կողմից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`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ռիսկի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վրա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հիմնված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թեմատիկ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ստուգումների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համակարգի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(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այսուհետ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`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ռիսկի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համակարգ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)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կիրառման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հետ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կապված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ընդհանուր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նկարագիրը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:</w:t>
      </w:r>
    </w:p>
    <w:p w:rsidR="00016B62" w:rsidRPr="00B878D5" w:rsidRDefault="00016B62" w:rsidP="00B878D5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Ռիսկի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համակարգի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նպատակն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թեմատիկ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ստուգման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ենթակա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վճարողների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ընտրությունը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կառուցել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ռիսկային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չափանիշների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հիման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վր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: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16B62" w:rsidRPr="00B878D5" w:rsidRDefault="00016B62" w:rsidP="006F76B0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II. ՌԻՍԿԻ ՍԱՀՄԱՆՈՒՄԸ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lastRenderedPageBreak/>
        <w:t>3</w:t>
      </w:r>
      <w:r w:rsidRPr="00B878D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Սույն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հավելվածի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իմաստով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ռիսկը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վճարողի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կողմից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հարկման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օբյեկտը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հարկման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բազան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թաքցնելուն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դրանք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պակաս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ցույց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տալուն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հարկերը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ճիշտ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չհաշվարկելուն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մարմնին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հսկողության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լիազորություններ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վերապահող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իրավական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ակտերի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այլ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պահանջներ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չկատարելուն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ուղղված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գործողության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անգործության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և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դրանց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արդյունքում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իրավախախտում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կատարելու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հավանականությունն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է՝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հաշվի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առնելով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դրա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հետևանքով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պետությանը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հասցված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կամ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ակնկալվող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վնասների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մեծությունն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ու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ծանրության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աստիճանը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</w:rPr>
        <w:t>: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16B62" w:rsidRPr="00B878D5" w:rsidRDefault="00016B62" w:rsidP="006F76B0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III. ՌԻՍԿԻ ՀԱՄԱԿԱՐԳԻ ՆԿԱՐԱԳՐՈՒԹՅՈՒՆԸ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sz w:val="24"/>
          <w:szCs w:val="24"/>
        </w:rPr>
      </w:pPr>
      <w:r w:rsidRPr="00B878D5">
        <w:rPr>
          <w:rFonts w:ascii="GHEA Grapalat" w:eastAsia="Times New Roman" w:hAnsi="GHEA Grapalat" w:cs="Arial"/>
          <w:b/>
          <w:sz w:val="24"/>
          <w:szCs w:val="24"/>
          <w:lang w:val="hy-AM"/>
        </w:rPr>
        <w:t>4</w:t>
      </w:r>
      <w:r w:rsidRPr="00B878D5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Ռիսկի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համակարգը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հիմնված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հարկ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վճարողների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կողմից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հարկային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մարմին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ներկայացված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հաշվարկների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հայտարարագրերի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հաշվարկային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փաստաթղթերի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տվյալների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հարկային մարմնի տեղեկատվական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>հավաքագրվող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տեղեկությունների,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ինչպես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նաև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օրենքով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սահմանված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կարգով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ստացված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կամ ձեռքբերված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այլ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տեղեկությունների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հիման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վրա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հարկ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վճարողի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գործունեության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ռիսկայնության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գնահատման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sz w:val="24"/>
          <w:szCs w:val="24"/>
        </w:rPr>
        <w:t>վրա</w:t>
      </w:r>
      <w:proofErr w:type="spellEnd"/>
      <w:r w:rsidRPr="00B878D5">
        <w:rPr>
          <w:rFonts w:ascii="GHEA Grapalat" w:eastAsia="Times New Roman" w:hAnsi="GHEA Grapalat" w:cs="Arial"/>
          <w:sz w:val="24"/>
          <w:szCs w:val="24"/>
        </w:rPr>
        <w:t>: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5</w:t>
      </w:r>
      <w:r w:rsidRPr="00B878D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Ռիսկի համակարգի միջոցով ռիսկերը գնահատվում են ռիսկային չափանիշների հիման վրա</w:t>
      </w:r>
      <w:r w:rsidRPr="00B878D5" w:rsidDel="00C41F4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։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016B62" w:rsidRPr="00B878D5" w:rsidRDefault="00016B62" w:rsidP="006F76B0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IV. ՀԱՐԿ ՎՃԱՐՈՂՆԵՐԻ ԽՄԲԱՎՈՐՈՒՄԸ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6</w:t>
      </w:r>
      <w:r w:rsidRPr="00B878D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Սահմանված չափանիշների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ռիսկայնության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որոշման արդյունքներով` կախված թեմատիկ հարկային ստուգման նպատակից, վերլուծության ուղղվածությունից և այլ չափանիշներից` հարկ վճարողները կարող են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խմբավորվել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ըստ հարկման համակարգի, գործունեության ոլորտի, և այլն: 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16B62" w:rsidRPr="00B878D5" w:rsidRDefault="00016B62" w:rsidP="006F76B0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V. ՌԻՍԿԱՅԻՆ ՉԱՓԱՆԻՇՆԵՐԻ ԸՆԴՀԱՆՈՒՐ ՆԿԱՐԱԳԻՐԸ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lastRenderedPageBreak/>
        <w:t>7</w:t>
      </w:r>
      <w:r w:rsidRPr="00B878D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Ռիսկային չափանիշների ընտրությունը հիմնված է հարկ վճարողի կողմից հարկային մարմին ներկայացված հարկային հաշվարկներում, հայտարարագրերում, հաշվարկային փաստաթղթերում արտացոլված տվյալների, հարկային մարմնի տեղեկատվական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բազայում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հավաքագրվող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տեղեկությունների, </w:t>
      </w:r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 xml:space="preserve">օրենքով սահմանված կարգով ստացված կամ ձեռքբերված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այլ տեղեկությունների, դրանց վերլուծության արդյունքների, հարկ վճարողի թույլ տված օրենսդրական պահանջների խախտումների </w:t>
      </w:r>
      <w:r w:rsidRPr="00B878D5">
        <w:rPr>
          <w:rFonts w:ascii="GHEA Grapalat" w:eastAsia="Times New Roman" w:hAnsi="GHEA Grapalat" w:cs="Arial"/>
          <w:sz w:val="24"/>
          <w:szCs w:val="24"/>
          <w:lang w:val="hy-AM"/>
        </w:rPr>
        <w:t>վրա: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8</w:t>
      </w:r>
      <w:r w:rsidRPr="00B878D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Ռիսկի համակարգի կիրառման առումով հիմք են ընդունվում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հետևյալ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ռիսկային չափանիշները կամ դրանցից մեկը`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Իրացման և ձեռքբերման ցուցանիշների համադրման արդյունքները.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Շահութաբերության (եկամտաբերության) և (կամ) վերադիրի մակարդակը</w:t>
      </w:r>
      <w:r w:rsidRPr="00B878D5" w:rsidDel="008F6FF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B878D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Հաշվարկային փաստաթղթերի տվյալների, հարկային մարմին ներկայացված հարկային հաշվարկների և(կամ) հարկային մարմնին հայտնի դարձած (այդ թվում՝ երրորդ անձից ստացված) տեղեկությունների համադրման արդյունքները</w:t>
      </w:r>
      <w:r w:rsidRPr="00B878D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Հարկման տարբեր համակարգերի առկայությունը (ընդհանուր հարկման, հատուկ հարկման և այլն).</w:t>
      </w:r>
    </w:p>
    <w:p w:rsidR="00016B62" w:rsidRPr="00B878D5" w:rsidRDefault="001A032F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Նախկինում կատարված ս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տուգ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ների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(ուսումնասիրությ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ների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) կամ օպերատիվ հետախուզա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կան միջոցառումների արդյունքները.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Գործունեության ոլորտները, գործունեության վայրերը, ինչպես նաև դրանց առանձնահատկությունները (այդ թվում՝ կապված արտարժույթի առք ու վաճառքի գործառնությունների գրանցման կարգի, անկանխիկ վճարումների ընդունման հնարավորության, կանխիկ դրամով գումարի ընդունման սահմանափակումների  հետ և այլն)</w:t>
      </w:r>
      <w:r w:rsidRPr="00B878D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Հարկային մարմնի կողմից ստացված կամ ձեռքբերված տեղեկությունների վերլուծության արդյունքները.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Հաշվարկային փաստաթղթերի քանակի և (կամ) դրանցով արտացոլված արժեքների և (կամ) բովանդակության, ինչպես նաև հաշվարկային փաստաթղթերում արտացոլվող այլ տվյալների համադրման արդյունքները: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>Հաշվարկային փաստաթղթերում արտացոլված ապրանքների, կատարված աշխատանքների, մատուցված ծառայությունների գների  վերլուծության արդյունքները, ինչպես նաև հարկային մարմնին հայտնի դարձած (այդ թվում՝ երրորդ անձից ստացված) գների վերաբերյալ տեղեկությունների համադրման արդյունքները</w:t>
      </w:r>
      <w:r w:rsidRPr="00B878D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Աշխատողների քանակի կամ պաշտոնների կամ մասնագիտությունների կամ աշխատաժամերի կամ աշխատողների գծով եկամտային հարկով հարկման օբյեկտի կամ հարկման բազայի վերլուծության և(կամ) համադրման արդյունքները.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Իրացման շրջանառության, համախառն եկամտի և գրանցված աշխատողների համադրման արդյունքները.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Ակցիզային դրոշմանիշերի և (կամ) </w:t>
      </w:r>
      <w:proofErr w:type="spellStart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դրոշմապիտակների</w:t>
      </w:r>
      <w:proofErr w:type="spellEnd"/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և(կամ) հսկիչ նշանների ստացման և (կամ) օգտագործման և (կամ)  էլեկտրոնային եղանակով գրանցումների կատարման, ինչպես նաև դրոշմավորման ենթակա ապրանքների ձեռքբերման (այդ թվում` ներմուծման) կամ օտարման (այդ թվում` արտահանման) վերլուծությունների արդյունքները.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Պետական տուրքի գանձման օբյեկտ հանդիսացող տեղեկությունների համադրման արդյունքները.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Տնտեսական գործունեության նույն տեսակը ունեցող հարկ վճարողների գործունեության ցուցանիշների և տվյալների համադրման արդյունքները.</w:t>
      </w:r>
      <w:r w:rsidRPr="00B878D5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Արհեստական բանականության և մեքենայացված ուսուցման գործիքների կիրառմամբ Հայաստանի Հանրապետության 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Pr="00B878D5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եկամուտների կոմիտեի տվյալների բազայի վերլուծության արդյունքում արտասովոր (</w:t>
      </w:r>
      <w:proofErr w:type="spellStart"/>
      <w:r w:rsidRPr="00B878D5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անոմալ</w:t>
      </w:r>
      <w:proofErr w:type="spellEnd"/>
      <w:r w:rsidRPr="00B878D5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) գնահատված ցուցանիշները.</w:t>
      </w:r>
    </w:p>
    <w:p w:rsidR="00016B62" w:rsidRPr="00B878D5" w:rsidRDefault="00016B62" w:rsidP="00B878D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Վարչական կամ քրեական վարույթում կամ օպերատիվ հետախուզական գործունեության ընթացքում կամ արդյունքում որպես ապացույց ստացված բացատրությունների, ցուցմունքների և(կամ) այլ տեղեկությունների առկայությունը.</w:t>
      </w:r>
    </w:p>
    <w:p w:rsidR="00016B62" w:rsidRPr="006F76B0" w:rsidRDefault="00016B62" w:rsidP="008A2565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6F76B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Հարկային մարմնին հսկողության լիազորություններ վերապահող իրավական ակտերի պահանջների հնարավոր խախտումների վերաբերյալ գրավոր ստացված  տեղեկությունների (այդ թվում՝ երրորդ անձից կամ այլ անձանցից ստացված տեղեկություններ, դիմում-բողոքներ և այլն) առկայությունը:</w:t>
      </w:r>
    </w:p>
    <w:p w:rsidR="00016B62" w:rsidRPr="00B878D5" w:rsidRDefault="00016B62" w:rsidP="00B878D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016B62" w:rsidRPr="00B878D5" w:rsidRDefault="00016B62" w:rsidP="006F76B0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VI. ՌԻՍԿԱՅԻՆ ՉԱՓԱՆԻՇՆԵՐԻ ԳՆԱՀԱՏՈՒՄԸ ԵՎ</w:t>
      </w:r>
    </w:p>
    <w:p w:rsidR="006F76B0" w:rsidRDefault="00016B62" w:rsidP="006F76B0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ԳՆԱՀԱՏՄԱՆ ՊԱՐԲԵՐԱԿԱՆՈՒԹՅՈՒՆԸ</w:t>
      </w:r>
    </w:p>
    <w:p w:rsidR="00016B62" w:rsidRPr="00B878D5" w:rsidRDefault="00D927EA" w:rsidP="006F76B0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9</w:t>
      </w:r>
      <w:r w:rsidR="00016B62" w:rsidRPr="00B878D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Յուրաքանչյուր ռիսկային չափանիշ իր մեջ պարունակում է գնահատման ենթակա մեկ կամ մի քանի ռիսկային </w:t>
      </w:r>
      <w:proofErr w:type="spellStart"/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ցուցիչներ</w:t>
      </w:r>
      <w:proofErr w:type="spellEnd"/>
      <w:r w:rsidR="00016B62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: </w:t>
      </w:r>
    </w:p>
    <w:p w:rsidR="00002D52" w:rsidRPr="00B878D5" w:rsidRDefault="00016B62" w:rsidP="006F76B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1</w:t>
      </w:r>
      <w:r w:rsidR="00D927EA" w:rsidRPr="00B878D5"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0</w:t>
      </w:r>
      <w:r w:rsidRPr="00B878D5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Ռիսկային չափանիշներ</w:t>
      </w:r>
      <w:r w:rsidR="00052FF3"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</w:t>
      </w:r>
      <w:r w:rsidRPr="00B87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կարող են գնահատվել օրական, շաբաթական, ամսական, եռամսյակային, կիսամյակային, տարեկան կամ ցանկացած այլ պարբերականությամբ:</w:t>
      </w:r>
      <w:r w:rsidR="00E4364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»:</w:t>
      </w:r>
    </w:p>
    <w:sectPr w:rsidR="00002D52" w:rsidRPr="00B878D5" w:rsidSect="001A032F"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27095"/>
    <w:multiLevelType w:val="hybridMultilevel"/>
    <w:tmpl w:val="9D1236D6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D886A6E"/>
    <w:multiLevelType w:val="hybridMultilevel"/>
    <w:tmpl w:val="6F965F7A"/>
    <w:lvl w:ilvl="0" w:tplc="488A2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62"/>
    <w:rsid w:val="00002D52"/>
    <w:rsid w:val="00016B62"/>
    <w:rsid w:val="00052FF3"/>
    <w:rsid w:val="001A032F"/>
    <w:rsid w:val="003A0CE6"/>
    <w:rsid w:val="00606046"/>
    <w:rsid w:val="006F70A6"/>
    <w:rsid w:val="006F76B0"/>
    <w:rsid w:val="00773723"/>
    <w:rsid w:val="009A113C"/>
    <w:rsid w:val="00B878D5"/>
    <w:rsid w:val="00C2078A"/>
    <w:rsid w:val="00D927EA"/>
    <w:rsid w:val="00E43645"/>
    <w:rsid w:val="00F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A819E-847A-4744-9A77-7700AE0B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Melkumova</dc:creator>
  <cp:keywords/>
  <dc:description/>
  <cp:lastModifiedBy>Mariam Ilanjyan</cp:lastModifiedBy>
  <cp:revision>9</cp:revision>
  <dcterms:created xsi:type="dcterms:W3CDTF">2024-03-15T10:38:00Z</dcterms:created>
  <dcterms:modified xsi:type="dcterms:W3CDTF">2024-03-18T06:45:00Z</dcterms:modified>
</cp:coreProperties>
</file>