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6A17" w14:textId="734ACE28" w:rsidR="0079677E" w:rsidRPr="002E3765" w:rsidRDefault="00483FD3" w:rsidP="002E3765">
      <w:pPr>
        <w:spacing w:after="0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                                                                               </w:t>
      </w:r>
      <w:r w:rsidR="004F6EE5"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                                  </w:t>
      </w:r>
      <w:r w:rsidR="0079677E" w:rsidRPr="002E376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  <w:t>ՆԱԽԱԳԻԾ</w:t>
      </w:r>
    </w:p>
    <w:p w14:paraId="0EDEE400" w14:textId="77777777" w:rsidR="0079677E" w:rsidRPr="00E772FD" w:rsidRDefault="0079677E" w:rsidP="008C6FE9">
      <w:pPr>
        <w:spacing w:after="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14:paraId="55BA9EF3" w14:textId="77777777" w:rsidR="00483FD3" w:rsidRDefault="0079677E" w:rsidP="0071645A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14:paraId="17DDA034" w14:textId="6BB68FE1" w:rsidR="0079677E" w:rsidRDefault="0079677E" w:rsidP="0071645A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 ՕՐԵՆՔԸ</w:t>
      </w:r>
    </w:p>
    <w:p w14:paraId="664419DB" w14:textId="77777777" w:rsidR="005858F1" w:rsidRPr="00E772FD" w:rsidRDefault="005858F1" w:rsidP="0071645A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2C57BA51" w14:textId="77777777" w:rsidR="0079677E" w:rsidRPr="00E772FD" w:rsidRDefault="0079677E" w:rsidP="0071645A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«ԵՐԿԱԹՈՒՂԱՅԻՆ ՏՐԱՆՍՊՈՐՏԻ ՄԱՍԻՆ» ՀԱՅԱՍՏԱՆԻ ՀԱՆՐԱՊԵՏՈՒԹՅԱՆ ՕՐԵՆՔՈՒՄ ՓՈՓՈԽՈՒԹՅՈՒՆՆԵՐ ԵՎ ԼՐԱՑՈՒՄՆԵՐ ԿԱՏԱՐԵԼՈՒ</w:t>
      </w:r>
      <w:r w:rsidRPr="00E772FD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ՄԱՍԻՆ»</w:t>
      </w:r>
    </w:p>
    <w:p w14:paraId="3C937D95" w14:textId="77777777" w:rsidR="0079677E" w:rsidRPr="00D36947" w:rsidRDefault="0079677E" w:rsidP="008C6FE9">
      <w:pPr>
        <w:spacing w:after="0"/>
        <w:ind w:right="-18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33545681" w14:textId="77777777" w:rsidR="008569C5" w:rsidRPr="00D36947" w:rsidRDefault="008569C5" w:rsidP="006702DF">
      <w:pPr>
        <w:spacing w:after="0"/>
        <w:ind w:right="-180"/>
        <w:jc w:val="both"/>
        <w:rPr>
          <w:rFonts w:ascii="Sylfaen" w:hAnsi="Sylfaen"/>
          <w:b/>
          <w:bCs/>
          <w:sz w:val="28"/>
          <w:szCs w:val="28"/>
          <w:lang w:val="hy-AM"/>
        </w:rPr>
      </w:pPr>
    </w:p>
    <w:p w14:paraId="2B1C43C0" w14:textId="07F6A5DC" w:rsidR="008569C5" w:rsidRPr="00E772FD" w:rsidRDefault="008569C5" w:rsidP="008569C5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Հոդված 1.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«Երկաթուղային տրանսպորտի մասին» Հայաստանի Հանրապետության 2007 թվականի նոյեմբերի 28-ի ՀՕ-293-Ն օրենքի </w:t>
      </w:r>
      <w:r w:rsidR="00483FD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(այսուհետ՝ Օրենք)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3-րդ հոդված</w:t>
      </w:r>
      <w:r w:rsidR="00483FD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լրացնել </w:t>
      </w:r>
      <w:r w:rsidR="00D8120A" w:rsidRPr="002E37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հետևյալ բովանդակությամբ 45-50-րդ կետերով.</w:t>
      </w:r>
    </w:p>
    <w:p w14:paraId="765FF17E" w14:textId="1379CB6C" w:rsidR="008569C5" w:rsidRPr="00E772FD" w:rsidRDefault="00483FD3" w:rsidP="008569C5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8569C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45) </w:t>
      </w:r>
      <w:r w:rsidR="008569C5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տոմսերի վաճառքի գործակալ</w:t>
      </w:r>
      <w:r w:rsidR="00D8120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՝</w:t>
      </w:r>
      <w:r w:rsidR="008569C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 ուղևորափոխադրման տոմսեր վաճառելու իրավունք ունեցող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569C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երկաթուղային տրանսպորտի կազմակերպութան անունից կամ իր անունից տոմսեր վաճառող՝ երկաթուղային տրանսպորտի ոլորտի ծառայությունների ցանկացած գործակալ. </w:t>
      </w:r>
    </w:p>
    <w:p w14:paraId="59C05952" w14:textId="56C2E048" w:rsidR="008569C5" w:rsidRPr="00E772FD" w:rsidRDefault="008569C5" w:rsidP="008569C5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46)  </w:t>
      </w:r>
      <w:r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ձեռքի ուղեբեռ</w:t>
      </w:r>
      <w:r w:rsidR="00D8120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՝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 ուղ</w:t>
      </w:r>
      <w:r w:rsidR="00483FD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որի կողմից իր վրա կամ իր հետ ունեցած հեշտ տնօրինվող պարագանե</w:t>
      </w:r>
      <w:r w:rsidR="000C784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ր՝ ուսապարկ կամ ճամպրուկ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32F8404" w14:textId="44A813F4" w:rsidR="008569C5" w:rsidRPr="00E772FD" w:rsidRDefault="008569C5" w:rsidP="008569C5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47) </w:t>
      </w:r>
      <w:r w:rsidR="00483FD3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</w:t>
      </w:r>
      <w:r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ենդանի</w:t>
      </w:r>
      <w:r w:rsidR="00483FD3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/</w:t>
      </w:r>
      <w:r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կենդանիներ՝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մանր տնային/սենյակային/ կենդանիների այն տեսակները՝ որոնք, որպես ուղեբեռ,  կարող են տեղափոխվել երկաթուղային տրանսպորտով, առանց վնաս, անհանգստաթյուն կամ անհարմարություն պատճառելու այլ  ուղ</w:t>
      </w:r>
      <w:r w:rsidR="00483FD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որների</w:t>
      </w:r>
      <w:r w:rsidR="00D36947" w:rsidRPr="00E772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10E87681" w14:textId="6F48A115" w:rsidR="008569C5" w:rsidRPr="00E772FD" w:rsidRDefault="008569C5" w:rsidP="008569C5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48)  </w:t>
      </w:r>
      <w:r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մեքենավար, մեքենավարի օգնական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՝ անձ, ով ունի սույն օրենքով, պաշտոնեական հրահանգով պահանջվող աշխատանքային ստաժ և </w:t>
      </w:r>
      <w:r w:rsidRPr="00A95D4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երկաթուղային շարժակազմ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վարելու թույլտվություն/վկայական/</w:t>
      </w:r>
      <w:r w:rsidR="00D36947" w:rsidRPr="00E772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5D5A14F5" w14:textId="737436CF" w:rsidR="004C31F8" w:rsidRPr="00E772FD" w:rsidRDefault="008569C5" w:rsidP="004C31F8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49) </w:t>
      </w:r>
      <w:r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ուսումանական կենտրոն`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վերապատրաստման դասընթացներ տրամադրող և ենթակառուցվածքի կառավարչի կամ ենթակառուցվածքի սեփականատիրոջ կազմում գործող ստորաբաժանում կամ</w:t>
      </w:r>
      <w:r w:rsidR="00D36947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</w:t>
      </w:r>
      <w:r w:rsidR="004C31F8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ասնագիտական կրթական ծրագրեր իրականացնող</w:t>
      </w:r>
      <w:r w:rsidR="00D36947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կազմակերպություն</w:t>
      </w:r>
      <w:r w:rsidR="00D36947" w:rsidRPr="00E772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7A656468" w14:textId="0C9197A1" w:rsidR="00D8120A" w:rsidRPr="00D36947" w:rsidRDefault="0043659F" w:rsidP="00112218">
      <w:pPr>
        <w:jc w:val="both"/>
        <w:rPr>
          <w:rFonts w:ascii="Sylfaen" w:hAnsi="Sylfaen"/>
          <w:sz w:val="28"/>
          <w:szCs w:val="28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50) </w:t>
      </w:r>
      <w:r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ազատ տեխնիկատնտեսական հզորություն՝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66A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տեխնիկական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սարքավորումների, սահմանված աշխատանքային ռեժիմի լիարժեք և փաստացի օգտագործման տարբերություն</w:t>
      </w:r>
      <w:r w:rsidR="00D8120A" w:rsidRPr="002E3765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»:</w:t>
      </w:r>
    </w:p>
    <w:p w14:paraId="7B24B67D" w14:textId="378F79B2" w:rsidR="007B6519" w:rsidRDefault="00112218" w:rsidP="00112218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Հոդված 2</w:t>
      </w:r>
      <w:r w:rsidR="00926463"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8120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16-րդ հոդված</w:t>
      </w:r>
      <w:r w:rsidR="007B651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ում</w:t>
      </w:r>
    </w:p>
    <w:p w14:paraId="0BB899ED" w14:textId="4872AFA3" w:rsidR="00112218" w:rsidRPr="00E772FD" w:rsidRDefault="00112218" w:rsidP="00112218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B651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1-ին մասը լրացնել 6)-րդ կետով</w:t>
      </w:r>
      <w:r w:rsidR="007B6519" w:rsidRPr="007B651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B651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հետևյալ բովանդակությամբ՝</w:t>
      </w:r>
    </w:p>
    <w:p w14:paraId="45770EF0" w14:textId="008D6738" w:rsidR="00112218" w:rsidRDefault="00D8120A" w:rsidP="00112218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2E37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«6)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12218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ենթակառուցվածքի օգտագործման թույլտվություն ստացած փոխադրողներին և/կամ օպերատորներին՝  լրացուցիչ օժանդակ վճարովի ծառայություններ պատվիրելու դեպքում ապահովվել դրանց կատարումը: Լրացուցիչ օժանդակ ծառայութունների ցանկը, պայմանները և վճարի չափը  սահմանում է ենթակառուցվածքի կառավարիչը</w:t>
      </w:r>
      <w:r w:rsidR="00613C3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  <w:r w:rsidR="00613C38" w:rsidRPr="002E37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</w:t>
      </w:r>
      <w:r w:rsidR="00112218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55C42087" w14:textId="6858A983" w:rsidR="00613C38" w:rsidRPr="00E772FD" w:rsidRDefault="007B6519" w:rsidP="00112218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613C38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2-րդ մաս</w:t>
      </w:r>
      <w:r w:rsidR="00613C3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լրացնել նոր պարբերությամբ</w:t>
      </w:r>
      <w:r w:rsidR="00613C3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13C38" w:rsidRPr="002E37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հետևյալ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բովանդակությամբ՝</w:t>
      </w:r>
    </w:p>
    <w:p w14:paraId="1F5769EC" w14:textId="6CF7CA1C" w:rsidR="00112218" w:rsidRPr="00E772FD" w:rsidRDefault="00112218" w:rsidP="00112218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13C38" w:rsidRPr="002E3765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Ենթակառուցվածքի կառավարիչը, ենթակառուցվածքի ազատ տեխնիկատնտեսական հզորությունների և թողունակության կարողության պայմաններում, ենթակառուցվածքի օգտագործման վճարի դիմաց ապահովվում է փոխադրողների և/կամ օպերատորների մուտքը ենթակառուցվածք</w:t>
      </w:r>
      <w:r w:rsidR="00613C3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  <w:r w:rsidR="00613C38" w:rsidRPr="002E37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6FF4D7B5" w14:textId="6EC06DB5" w:rsidR="007B6519" w:rsidRPr="00A83371" w:rsidRDefault="00885931" w:rsidP="006702DF">
      <w:pPr>
        <w:spacing w:after="0"/>
        <w:ind w:right="-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A8337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7B6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3</w:t>
      </w:r>
      <w:r w:rsidR="00F87FE0" w:rsidRPr="00A8337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="00E8125D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7412F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Օրենք</w:t>
      </w:r>
      <w:r w:rsidR="004A1B7D" w:rsidRPr="002E37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</w:t>
      </w:r>
      <w:r w:rsidR="0057412F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6BA0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19-րդ </w:t>
      </w:r>
      <w:r w:rsidR="0079677E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="00E8125D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ոդված</w:t>
      </w:r>
      <w:r w:rsidR="007B651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ում՝</w:t>
      </w:r>
    </w:p>
    <w:p w14:paraId="65479F11" w14:textId="673DA612" w:rsidR="00E8125D" w:rsidRPr="00A83371" w:rsidRDefault="00885931" w:rsidP="002E3765">
      <w:pPr>
        <w:spacing w:after="0"/>
        <w:ind w:right="-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B651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="00F16BA0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1-ին </w:t>
      </w:r>
      <w:r w:rsidR="0079677E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մաս</w:t>
      </w:r>
      <w:r w:rsidR="00F16BA0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</w:t>
      </w:r>
      <w:r w:rsidR="00E8125D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շարադրել </w:t>
      </w:r>
      <w:r w:rsidR="0079677E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="00E8125D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խմբագրությամբ</w:t>
      </w:r>
      <w:r w:rsidR="00F87FE0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7AE3815" w14:textId="77777777" w:rsidR="00E8125D" w:rsidRPr="00A83371" w:rsidRDefault="0079677E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«1. </w:t>
      </w:r>
      <w:r w:rsidR="00E8125D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Ուղևորների, բեռների, ուղեբեռների, բեռնածանրոցների փոխադրումը երկաթուղային տրանսպորտով իրականացվում է </w:t>
      </w:r>
      <w:r w:rsidR="00A50281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սույն օրենքով, </w:t>
      </w:r>
      <w:r w:rsidR="00E8125D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="00A50281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="00E8125D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երկաթուղային տրանսպորտի տեխնիկական շահագործման կանոններով, Հայաստանի Հանրապետության օրենսդրությանը համապատասխան կնքված փոխադրման պ</w:t>
      </w:r>
      <w:r w:rsidR="00A50281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այմանագրերով</w:t>
      </w:r>
      <w:r w:rsidR="001A2D5C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 որոնցով սահմանվում են փոխադրման ընդհանուր պայմաններ</w:t>
      </w:r>
      <w:r w:rsidR="00885931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</w:t>
      </w:r>
      <w:r w:rsidR="00E8125D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  <w:r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41AA2198" w14:textId="4D3B30EF" w:rsidR="00845AE8" w:rsidRPr="00E772FD" w:rsidRDefault="007B6519" w:rsidP="002E3765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4A1B7D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լրացնել նոր </w:t>
      </w:r>
      <w:r w:rsidR="00845AE8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7-</w:t>
      </w:r>
      <w:r w:rsidR="0079677E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րդ և 8-րդ մասեր</w:t>
      </w:r>
      <w:r w:rsidR="00845AE8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ով՝ հետևյալ </w:t>
      </w:r>
      <w:r w:rsidR="00885931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="00F87FE0" w:rsidRPr="00A8337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6D7A540" w14:textId="77777777" w:rsidR="00845AE8" w:rsidRPr="00E772FD" w:rsidRDefault="0079677E" w:rsidP="006702D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«7. </w:t>
      </w:r>
      <w:r w:rsidR="002A0189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Փոխադրողը</w:t>
      </w:r>
      <w:r w:rsidR="002B15C7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63DD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 տոմսի վաճառքի գործակալը պարտավոր է երկաթ</w:t>
      </w:r>
      <w:r w:rsidR="002734C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ուղ</w:t>
      </w:r>
      <w:r w:rsidR="00FE37BF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ային տրանսպորտ</w:t>
      </w:r>
      <w:r w:rsidR="00363DD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ով </w:t>
      </w:r>
      <w:r w:rsidR="00BA5E76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</w:t>
      </w:r>
      <w:r w:rsidR="00116D6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="00BA5E76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63DD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ուղևորություն կատարելու համար տոմսեր վաճառելիս ուղևորներին հասանելի տարբերակով տեղեկացնել իրենց իրավունքների և պարտա</w:t>
      </w:r>
      <w:r w:rsidR="00A5028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</w:t>
      </w:r>
      <w:r w:rsidR="00363DD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նությունների մասին։</w:t>
      </w:r>
    </w:p>
    <w:p w14:paraId="4D51215E" w14:textId="72D116C4" w:rsidR="004A1B7D" w:rsidRDefault="0079677E" w:rsidP="004A1B7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8.</w:t>
      </w:r>
      <w:r w:rsidR="00363DD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Երկաթուղային տրանսպորտի ուղևորատար ծառայություններ</w:t>
      </w:r>
      <w:r w:rsidR="009208A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</w:t>
      </w:r>
      <w:r w:rsidR="00363DD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պետք է </w:t>
      </w:r>
      <w:r w:rsidR="00A5028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հասանելի լինեն </w:t>
      </w:r>
      <w:r w:rsidR="00363DD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բոլոր </w:t>
      </w:r>
      <w:r w:rsidR="00A5028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անձանց՝ այդ թվում </w:t>
      </w:r>
      <w:r w:rsidR="00363DD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հաշմանդամություն </w:t>
      </w:r>
      <w:r w:rsidR="00A5028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="00CA0E4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/</w:t>
      </w:r>
      <w:r w:rsidR="00A5028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կամ տեղաշարժման սահմանափակ հնարավորություն </w:t>
      </w:r>
      <w:r w:rsidR="00363DD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ունեցող </w:t>
      </w:r>
      <w:r w:rsidR="00A5028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անձանց</w:t>
      </w:r>
      <w:r w:rsidR="00363DD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2AB7BCCC" w14:textId="77777777" w:rsidR="004A1B7D" w:rsidRPr="00E772FD" w:rsidRDefault="004A1B7D" w:rsidP="006702D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09D936F7" w14:textId="37BB061E" w:rsidR="004A1B7D" w:rsidRDefault="00885931" w:rsidP="004A1B7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57412F"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B6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4</w:t>
      </w:r>
      <w:r w:rsidR="00F87FE0"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="0057412F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6BA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Օրենքը</w:t>
      </w:r>
      <w:r w:rsidR="00A26FE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լ</w:t>
      </w:r>
      <w:r w:rsidR="00E8125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րացնել</w:t>
      </w:r>
      <w:r w:rsidR="00F16BA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նոր </w:t>
      </w:r>
      <w:r w:rsidR="00E8125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19</w:t>
      </w:r>
      <w:r w:rsidR="00F87FE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E8125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="00F16BA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-րդ</w:t>
      </w:r>
      <w:r w:rsidR="00E8125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6BA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="00E8125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ոդվածով</w:t>
      </w:r>
      <w:r w:rsidR="008F7A93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</w:t>
      </w:r>
      <w:r w:rsidR="00E8125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6BA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հետևյալ բովանդակությամբ.</w:t>
      </w:r>
    </w:p>
    <w:p w14:paraId="425D39E7" w14:textId="77777777" w:rsidR="004A1B7D" w:rsidRPr="00E772FD" w:rsidRDefault="004A1B7D" w:rsidP="002E376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628C2BF1" w14:textId="1CE68E15" w:rsidR="004A1B7D" w:rsidRPr="00E772FD" w:rsidRDefault="009822EA" w:rsidP="002E3765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885931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Հոդված 19</w:t>
      </w:r>
      <w:r w:rsidR="00F87FE0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="00885931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1</w:t>
      </w:r>
      <w:r w:rsidR="00F87FE0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="00885931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0404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Ուղևորների </w:t>
      </w:r>
      <w:r w:rsidR="0086040A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ձեռքի ծանրոցի, </w:t>
      </w:r>
      <w:r w:rsidR="00320404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ուղեբեռների</w:t>
      </w:r>
      <w:r w:rsidR="00EF74CA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5E5655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կենդանիների</w:t>
      </w:r>
      <w:r w:rsidR="00EF74CA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0404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փոխադրման պայմանները</w:t>
      </w:r>
    </w:p>
    <w:p w14:paraId="6D4D6C71" w14:textId="77777777" w:rsidR="0061095B" w:rsidRDefault="00845AE8" w:rsidP="004A1B7D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="00F87FE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D780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Շ</w:t>
      </w:r>
      <w:r w:rsidR="00A5028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արժակազմ</w:t>
      </w:r>
      <w:r w:rsidR="002F5D83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ում տեխնիկական</w:t>
      </w:r>
      <w:r w:rsidR="00A5028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հնարավորություն ունենալու դեպքում</w:t>
      </w:r>
      <w:r w:rsidR="00373B4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 փոխադրողը</w:t>
      </w:r>
      <w:r w:rsidR="00A5028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 թույլ է տալիս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ուղևորներին գնացք </w:t>
      </w:r>
      <w:r w:rsidR="00A5028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բարձրացնել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հեծանիվ</w:t>
      </w:r>
      <w:r w:rsidR="00A5028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դրա համար գանձելով վճար</w:t>
      </w:r>
      <w:r w:rsidR="004A1B7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5E9763E8" w14:textId="2745698E" w:rsidR="00320404" w:rsidRPr="00E772FD" w:rsidRDefault="006702DF" w:rsidP="004A1B7D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Վճարման չափ</w:t>
      </w:r>
      <w:r w:rsidR="008C634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ը, կարգը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ու պայմանները սահմանում է </w:t>
      </w:r>
      <w:r w:rsidR="00D4542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ենթակառուցվածքի սեփականատերը</w:t>
      </w:r>
      <w:r w:rsidR="00DC253E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4542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="00DC253E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5246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երկաթուղու ենթակառուցվածք</w:t>
      </w:r>
      <w:r w:rsidR="00015C09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</w:t>
      </w:r>
      <w:r w:rsidR="00D4542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5246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կառավար</w:t>
      </w:r>
      <w:r w:rsidR="00D4542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իչը՝ կառավարման ողջ ժամանակահատվածի ընթացքում:</w:t>
      </w:r>
    </w:p>
    <w:p w14:paraId="70E0B689" w14:textId="030FCF8B" w:rsidR="00FC69DB" w:rsidRPr="00E772FD" w:rsidRDefault="00A26FE2" w:rsidP="00FC69DB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</w:t>
      </w:r>
      <w:r w:rsidR="00F87FE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Ուղևորները կարող են իրենց հետ գնացք բարձրացնել հեշտ տնօրինվող պարագաներ (ձեռքի </w:t>
      </w:r>
      <w:r w:rsidR="0086040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ծանրոց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) և կենդանիներ՝ </w:t>
      </w:r>
      <w:r w:rsidR="00A5028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եթե դրանք վտանգ չեն ներկայացնում մյուս ուղևորների համար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։ </w:t>
      </w:r>
      <w:r w:rsidR="00FC69D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Կենդանիների փոխադրման համար վճարի չափը, կարգը ու պայմանները սահմանում է </w:t>
      </w:r>
      <w:r w:rsidR="00D4542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ենթակառուցվածքի սեփականատերը կամ երկաթուղու ենթակառուցվածքի  կառավարիչը՝ կառավարման ողջ ժամանակահատվածի ընթացքում:</w:t>
      </w:r>
    </w:p>
    <w:p w14:paraId="77C79E40" w14:textId="20CF00D3" w:rsidR="00320404" w:rsidRPr="00E772FD" w:rsidRDefault="009208A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3</w:t>
      </w:r>
      <w:r w:rsidR="00F87FE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BA5E76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Միջ</w:t>
      </w:r>
      <w:r w:rsidR="00116D6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="00BA5E76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ուղևորության ընթացքում ո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ւղևորները պետք է պահպանեն մաքսային և այլ վարչական մարմինների կողմից պահանջվող ձևակերպումների պահանջները, երբ փոխադրելիս իրենց հետ կրում են պարագաներ (ձեռքի </w:t>
      </w:r>
      <w:r w:rsidR="00737A0F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ծանրոց, գրանցված ուղեբեռ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) կամ</w:t>
      </w:r>
      <w:r w:rsidR="002B7987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կենդանիներ: </w:t>
      </w:r>
      <w:r w:rsidR="00CA0E4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Ուղևորը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պետք է ներկա գտնվի այդ պարագաների զննման ընթացք</w:t>
      </w:r>
      <w:r w:rsidR="006702DF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ին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` բացառությամբ օրենքով նախատեսված դեպքերի</w:t>
      </w:r>
      <w:r w:rsidR="00A045F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00F0073" w14:textId="77777777" w:rsidR="00320404" w:rsidRPr="00E772FD" w:rsidRDefault="009208A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4</w:t>
      </w:r>
      <w:r w:rsidR="00F87FE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737A0F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Իր հետ վերցրած ձեռքի ծանրոցի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կենդանիների հսկմ</w:t>
      </w:r>
      <w:r w:rsidR="009E1DE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ան պարտականությունը կրում է ուղևորը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1A9117B8" w14:textId="77777777" w:rsidR="00320404" w:rsidRPr="00E772FD" w:rsidRDefault="009208A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5</w:t>
      </w:r>
      <w:r w:rsidR="00F87FE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Ուղևոր</w:t>
      </w:r>
      <w:r w:rsidR="005E565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 մահվան կամ առո</w:t>
      </w:r>
      <w:r w:rsidR="005B003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ղ</w:t>
      </w:r>
      <w:r w:rsidR="00CA0E4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ջությանը</w:t>
      </w:r>
      <w:r w:rsidR="005E565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0E4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վնաս պատճառվելու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դեպքու</w:t>
      </w:r>
      <w:r w:rsidR="00737A0F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 փոխադրողը </w:t>
      </w:r>
      <w:r w:rsidR="009E1DE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պատասխանատվություն</w:t>
      </w:r>
      <w:r w:rsidR="00737A0F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է </w:t>
      </w:r>
      <w:r w:rsidR="009E1DE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կրում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ուղևորի վրա կամ </w:t>
      </w:r>
      <w:r w:rsidR="00CA0E4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նրա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հետ ունեցած պարագաների</w:t>
      </w:r>
      <w:r w:rsidR="003B40E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լրիվ կամ</w:t>
      </w:r>
      <w:r w:rsidR="003B40E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մասնակի կորստի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կամ </w:t>
      </w:r>
      <w:r w:rsidR="00CA0E4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դ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րանց հասցված վնասի համար</w:t>
      </w:r>
      <w:r w:rsidR="009E1DE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սույն հոդվածի 11-րդ, 12-րդ և 13-րդ մասերի կարգով</w:t>
      </w:r>
      <w:r w:rsidR="001F5C48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B479C73" w14:textId="77777777" w:rsidR="003B40E5" w:rsidRPr="00E772FD" w:rsidRDefault="003B40E5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Վերոգրյալ դեպքերում  փոխադրողը պատասխանատու է նաև ուղևորի հետ ունեցած կենդանիների կորստի կամ դրանց հասցված վնասի համար։</w:t>
      </w:r>
    </w:p>
    <w:p w14:paraId="1549C0DF" w14:textId="77777777" w:rsidR="00634A68" w:rsidRPr="00E772FD" w:rsidRDefault="00634A68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6. Փոխադրողը պատասխանատվություն է կրում գրանցված ուղեբեռի լրիվ կամ մասնակի կորստի կամ դրան հասցված վնասի համար, որն առաջացել է փոխադրողի կողմից այն վերցնելու և այն հետ հանձնելու միջև ընկած ժամանակահատվածում, ինչպես նաև ուղեբեռի հանձնումն ուշացնելու ընթացքում։</w:t>
      </w:r>
    </w:p>
    <w:p w14:paraId="4978DD5D" w14:textId="77777777" w:rsidR="00320404" w:rsidRPr="00E772FD" w:rsidRDefault="009E1DE1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7</w:t>
      </w:r>
      <w:r w:rsidR="00F87FE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E565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Փ</w:t>
      </w:r>
      <w:r w:rsidR="008C6FE9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ոխադրողը պատասխանատու չէ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պարագաների, ձեռքի</w:t>
      </w:r>
      <w:r w:rsidR="00737A0F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ծանրոցի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կամ կենդանիների լրիվ կամ մասնակի կորստի կամ վնասի համար, եթե դրանց հսկողությունը ուղևորի պատասխանատվությու</w:t>
      </w:r>
      <w:r w:rsidR="008C6FE9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նն է՝ բացառությամբ եթե դրանց կորուստը կամ վնաս պատճառելը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եղել</w:t>
      </w:r>
      <w:r w:rsidR="008C6FE9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է փոխադրողի սխալի արդյունքում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CD11506" w14:textId="77777777" w:rsidR="00320404" w:rsidRPr="00E772FD" w:rsidRDefault="009E1DE1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8</w:t>
      </w:r>
      <w:r w:rsidR="00F87FE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4A68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Փոխադրողն ազատվում է պարագաների կորստի կամ վնասի համար պատասխանատվությունից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34A68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եթե կորուստը կամ վնասը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առաջացել է</w:t>
      </w:r>
      <w:r w:rsidR="008C6FE9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ուղևոր</w:t>
      </w:r>
      <w:r w:rsidR="008C6FE9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ի կողմից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մաքսային կամ այլ վարչական մարմինների </w:t>
      </w:r>
      <w:r w:rsidR="008C6FE9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սահմանած պարտադիր ձևակերպումների պահանջները չպահպանելու հետևանքով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C2051A9" w14:textId="77777777" w:rsidR="00320404" w:rsidRPr="00E772FD" w:rsidRDefault="009208A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9</w:t>
      </w:r>
      <w:r w:rsidR="00F87FE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Փոխադրողն ազատվում է </w:t>
      </w:r>
      <w:r w:rsidR="00E9610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պատասխանատվությունից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եթե կորուստը, վնասը կամ </w:t>
      </w:r>
      <w:r w:rsidR="008C6FE9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հանձնման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ուշացումը տեղի է ունեցել ուղևորի սխալի, </w:t>
      </w:r>
      <w:r w:rsidR="00E9610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գրանցված ուղեբեռի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խոտանի կամ </w:t>
      </w:r>
      <w:r w:rsidR="00E9610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այլ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հանգամանքների հետևանքով, որոնցից փոխադրողը չէր կարող խուսափել և </w:t>
      </w:r>
      <w:r w:rsidR="00E9610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չէր կարող կանխել հետևանքները։</w:t>
      </w:r>
    </w:p>
    <w:p w14:paraId="3EE98900" w14:textId="77777777" w:rsidR="00320404" w:rsidRPr="00E772FD" w:rsidRDefault="009208A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10</w:t>
      </w:r>
      <w:r w:rsidR="00F87FE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Փոխադրողն ազատվում է </w:t>
      </w:r>
      <w:r w:rsidR="00E9610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պատասխանատվությունից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 եթե կորուստը կամ վնասն առաջանում է</w:t>
      </w:r>
      <w:r w:rsidR="00E9610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փ</w:t>
      </w:r>
      <w:r w:rsidR="00E9610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աթեթավորման բացակայության կամ սխալ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փ</w:t>
      </w:r>
      <w:r w:rsidR="00E9610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աթեթավորման հետևանքով</w:t>
      </w:r>
      <w:r w:rsidR="003C5E7E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 ինչպես նաև ուղևորի կողմից անթույլատրելի պարագաների փոխադրման դեպքում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20399F37" w14:textId="77777777" w:rsidR="008C6FE9" w:rsidRPr="00E772FD" w:rsidRDefault="009208A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11</w:t>
      </w:r>
      <w:r w:rsidR="00F87FE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BA5E76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Միջ</w:t>
      </w:r>
      <w:r w:rsidR="00116D6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="00BA5E76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ուղևորության ընթացքում գ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րանցված ուղեբեռի լրիվ կամ մասնակի կորստի դեպքում փոխադրողը</w:t>
      </w:r>
      <w:r w:rsidR="009822E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պետք է </w:t>
      </w:r>
      <w:r w:rsidR="003C5E7E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փոխհատուցի</w:t>
      </w:r>
      <w:r w:rsidR="009822E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br/>
      </w:r>
      <w:r w:rsidR="00A26FE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="00A0560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եթե հասցված կորստի կամ վնասի գումարի չափն ապացուցված է՝ այդ գու</w:t>
      </w:r>
      <w:r w:rsidR="003C5E7E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մարին համարժեք </w:t>
      </w:r>
    </w:p>
    <w:p w14:paraId="5D9DCF21" w14:textId="77777777" w:rsidR="00320404" w:rsidRPr="00E772FD" w:rsidRDefault="00A26FE2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</w:t>
      </w:r>
      <w:r w:rsidR="00A0560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9822E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թե հասցված կորստի կամ վնասի գումարի չափը </w:t>
      </w:r>
      <w:r w:rsidR="00224F1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ապացուցված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չէ՝ ուղեբեռի գրանցված զանգվածի մեկ կիլոգրամի համար՝ 10</w:t>
      </w:r>
      <w:r w:rsidR="009822E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000 ՀՀ դրամ։</w:t>
      </w:r>
    </w:p>
    <w:p w14:paraId="0A201024" w14:textId="77777777" w:rsidR="003C5E7E" w:rsidRPr="00E772FD" w:rsidRDefault="009208A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12</w:t>
      </w:r>
      <w:r w:rsidR="003C5E7E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BA5E76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</w:t>
      </w:r>
      <w:r w:rsidR="00116D6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="00BA5E76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ուղևորության ընթացքում գ</w:t>
      </w:r>
      <w:r w:rsidR="003C5E7E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րանցված ուղեբեռի լրիվ կամ մասնակի վնասի դեպքում փոխադրողը, պետք է կատարի ուղեբեռի հասցված վնասին համարժեք փոխհատուցում։</w:t>
      </w:r>
    </w:p>
    <w:p w14:paraId="0B17DED1" w14:textId="77777777" w:rsidR="00320404" w:rsidRPr="00E772FD" w:rsidRDefault="009208A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13</w:t>
      </w:r>
      <w:r w:rsidR="00FF611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Սույն հոդվածի 11</w:t>
      </w:r>
      <w:r w:rsidR="003C5E7E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-րդ և 1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</w:t>
      </w:r>
      <w:r w:rsidR="003C5E7E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-րդ մասերով նախատեսված փոխհատուցումներից բացի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3C5E7E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փոխադրողը պարտավոր է փոխհատուցել</w:t>
      </w:r>
      <w:r w:rsidR="00F729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ուղեբեռի փոխադրման համար գանձված վճարը և </w:t>
      </w:r>
      <w:r w:rsidR="00F729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կորած  կամ վնասված ուղեբեռի հետ կապված </w:t>
      </w:r>
      <w:r w:rsidR="003C5E7E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փոխադրողին վճարված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այլ գումարներ</w:t>
      </w:r>
      <w:r w:rsidR="00F729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ը, 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ինչպես</w:t>
      </w:r>
      <w:r w:rsidR="00F729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նաև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վճարված մաքսային տուրքերը և ակցիզային հարկերը։</w:t>
      </w:r>
    </w:p>
    <w:p w14:paraId="2DCBB212" w14:textId="77777777" w:rsidR="00320404" w:rsidRPr="00E772FD" w:rsidRDefault="009208A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14</w:t>
      </w:r>
      <w:r w:rsidR="00A26FE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29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րկաթուղա</w:t>
      </w:r>
      <w:r w:rsidR="00F729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յին տրանսպորտի կազմակերպության կողմից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հաշմանդամություն ունեցող կամ տեղաշարժման սահմանափակ հնարավորություն ունեցող </w:t>
      </w:r>
      <w:r w:rsidR="00B27501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անձանց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կողմից օգտագործվող տեղաշարժման միջոցի կամ այլ հատուկ սարքավորման ամբողջական կամ մասնակի կորստի կամ վնասի</w:t>
      </w:r>
      <w:r w:rsidR="00F729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համար պատասխանատու լինելու դեպքում դրամական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փոխհատուցման սահմանափակում կիրառելի չէ։</w:t>
      </w:r>
      <w:r w:rsidR="002E0F3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7A7B3494" w14:textId="77777777" w:rsidR="00F72904" w:rsidRPr="00E772FD" w:rsidRDefault="00F72904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62C7403B" w14:textId="7070CC28" w:rsidR="0061095B" w:rsidRPr="00E772FD" w:rsidRDefault="00A26FE2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7B6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5</w:t>
      </w:r>
      <w:r w:rsidR="00F87FE0"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6BA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Օրենքը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լրացնել </w:t>
      </w:r>
      <w:r w:rsidR="00F16BA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նոր 23.1</w:t>
      </w:r>
      <w:r w:rsidR="00392FB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-րդ</w:t>
      </w:r>
      <w:r w:rsidR="00C1424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</w:t>
      </w:r>
      <w:r w:rsidR="00F16BA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243C9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23.2-րդ </w:t>
      </w:r>
      <w:r w:rsidR="00C1424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և 23.3-րդ </w:t>
      </w:r>
      <w:r w:rsidR="00F16BA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0243C9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ներով</w:t>
      </w:r>
      <w:r w:rsidR="008F7A93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</w:t>
      </w:r>
      <w:r w:rsidR="00F16BA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հետևյալ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="008F7A93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187CEED0" w14:textId="77777777" w:rsidR="00A26FE2" w:rsidRPr="002E3765" w:rsidRDefault="009822EA" w:rsidP="002E3765">
      <w:pPr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A26FE2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Հոդված 23</w:t>
      </w:r>
      <w:r w:rsidR="00F87FE0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="00A26FE2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1</w:t>
      </w:r>
      <w:r w:rsidR="00F87FE0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="00A26FE2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D47FD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Ե</w:t>
      </w:r>
      <w:r w:rsidR="00A26FE2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րկաթուղային տրանսպորտով </w:t>
      </w:r>
      <w:r w:rsidR="00116D6A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միջազգային </w:t>
      </w:r>
      <w:r w:rsidR="00A26FE2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փոխադրման ծառայություններին ներկայացվող որակի չափ</w:t>
      </w:r>
      <w:r w:rsidR="00FF7E9C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որոշիչ</w:t>
      </w:r>
      <w:r w:rsidR="00A26FE2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ները</w:t>
      </w:r>
    </w:p>
    <w:p w14:paraId="0BE24E60" w14:textId="0C22B8D4" w:rsidR="00B558BC" w:rsidRPr="00E772FD" w:rsidRDefault="00A05602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="00F87FE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08433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Երկաթուղային տրանսպորտի կազմակերպությունները</w:t>
      </w:r>
      <w:r w:rsidR="00D4542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 անկախ կառավարման տեսակից,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48C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պարտավոր են 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սահմանե</w:t>
      </w:r>
      <w:r w:rsidR="004A48C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լ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 կառավարե</w:t>
      </w:r>
      <w:r w:rsidR="004A48C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լ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4A48C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վերահսկել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երկաթուղային </w:t>
      </w:r>
      <w:r w:rsidR="00116D6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միջազգային 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ուղևորատար ծառայությունների ոլորտում</w:t>
      </w:r>
      <w:r w:rsidR="004A48C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որակի </w:t>
      </w:r>
      <w:r w:rsidR="00FF7E9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չափորոշիչներ</w:t>
      </w:r>
      <w:r w:rsidR="00B558B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3E55DD2" w14:textId="77777777" w:rsidR="00BA297D" w:rsidRPr="00E772FD" w:rsidRDefault="002D29E5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2.</w:t>
      </w:r>
      <w:r w:rsidR="00381A5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Ծառայությունների որակի </w:t>
      </w:r>
      <w:r w:rsidR="00FF7E9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չափորոշիչները 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առնվազն </w:t>
      </w:r>
      <w:r w:rsidR="00381A5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պետք է </w:t>
      </w:r>
      <w:r w:rsidR="00FF7E9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ներառ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են</w:t>
      </w:r>
      <w:r w:rsidR="003853D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114CE376" w14:textId="77777777" w:rsidR="00084330" w:rsidRPr="00E772FD" w:rsidRDefault="002E63A5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="00A0560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)</w:t>
      </w:r>
      <w:r w:rsidR="0032040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822E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տ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եղեկությունների և տոմսերի </w:t>
      </w:r>
      <w:r w:rsidR="00B558B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տրամադրման կարգն ու պայմանները,</w:t>
      </w:r>
    </w:p>
    <w:p w14:paraId="4DBED2C0" w14:textId="77777777" w:rsidR="002D29E5" w:rsidRPr="00E772FD" w:rsidRDefault="002E63A5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</w:t>
      </w:r>
      <w:r w:rsidR="00A0560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)</w:t>
      </w:r>
      <w:r w:rsidR="003853D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822E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ծ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առայությունների ճշտապահություն</w:t>
      </w:r>
      <w:r w:rsidR="00FF7E9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</w:t>
      </w:r>
      <w:r w:rsidR="00B558B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2CA7E206" w14:textId="77777777" w:rsidR="00084330" w:rsidRPr="00E772FD" w:rsidRDefault="002E0F30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3) </w:t>
      </w:r>
      <w:r w:rsidR="00B558B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մատուցվող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ծառայությունների </w:t>
      </w:r>
      <w:r w:rsidR="00FF7E9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և հետաձգումների 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ընդհատումների խնդիրները</w:t>
      </w:r>
      <w:r w:rsidR="0008433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լուծելու ընդհանուր սկզբունքներ</w:t>
      </w:r>
      <w:r w:rsidR="00FF7E9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</w:t>
      </w:r>
      <w:r w:rsidR="009822E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F96C497" w14:textId="77777777" w:rsidR="00084330" w:rsidRPr="00E772FD" w:rsidRDefault="002E63A5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4</w:t>
      </w:r>
      <w:r w:rsidR="00A0560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)</w:t>
      </w:r>
      <w:r w:rsidR="009822E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0E4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կայարանի և </w:t>
      </w:r>
      <w:r w:rsidR="009822E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շ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արժակազմի մաքրություն</w:t>
      </w:r>
      <w:r w:rsidR="00FF7E9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(վագոններում օդի որակը, սանիտարահիգիենիկ հարմարությունների մաքրությունը և այլն</w:t>
      </w:r>
      <w:r w:rsidR="0008433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)</w:t>
      </w:r>
    </w:p>
    <w:p w14:paraId="1600A87A" w14:textId="77777777" w:rsidR="00FF7E9C" w:rsidRPr="00E772FD" w:rsidRDefault="002E63A5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5</w:t>
      </w:r>
      <w:r w:rsidR="00A0560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)</w:t>
      </w:r>
      <w:r w:rsidR="0008433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822E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</w:t>
      </w:r>
      <w:r w:rsidR="00FF7E9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ողոքների</w:t>
      </w:r>
      <w:r w:rsidR="00BA297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F7E9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լուծմ</w:t>
      </w:r>
      <w:r w:rsidR="00B558B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ան կարգը</w:t>
      </w:r>
      <w:r w:rsidR="00FF611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24C1F12" w14:textId="77777777" w:rsidR="00F070AE" w:rsidRPr="00E772FD" w:rsidRDefault="002E63A5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</w:t>
      </w:r>
      <w:r w:rsidR="00F87FE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="0008433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3F7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Երկաթուղային տրանսպորտի կազմակերպությունները </w:t>
      </w:r>
      <w:r w:rsidR="00F070AE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յուրաքանչյուր տարի</w:t>
      </w:r>
      <w:r w:rsidR="00D642A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3F8F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մինչև հաշվետու տարվան հաջորդող տարվա մարտի 1-ը </w:t>
      </w:r>
      <w:r w:rsidR="00F070AE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հրապարակում են ծառայության որակի </w:t>
      </w:r>
      <w:r w:rsidR="00FE37BF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չափորոշիչների համապատասխանության վերաբերյալ</w:t>
      </w:r>
      <w:r w:rsidR="009C3F74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հաշվետվություն</w:t>
      </w:r>
      <w:r w:rsidR="002E0F3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D50CBB5" w14:textId="77777777" w:rsidR="002D29E5" w:rsidRPr="00E772FD" w:rsidRDefault="002D29E5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0FA3B440" w14:textId="32551ACF" w:rsidR="00E8125D" w:rsidRPr="002E3765" w:rsidRDefault="009822EA" w:rsidP="002E3765">
      <w:pPr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2E63A5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Հոդված 23</w:t>
      </w:r>
      <w:r w:rsidR="00F87FE0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="002E63A5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="00F87FE0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="002E63A5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16D6A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Միջազգային փ</w:t>
      </w:r>
      <w:r w:rsidR="00F30B82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ոխադրման ընթացքում պատճառված վնասի և մահվան դեպքում պատասխանատվության հիմքերը</w:t>
      </w:r>
    </w:p>
    <w:p w14:paraId="1646B865" w14:textId="77777777" w:rsidR="00FC368B" w:rsidRPr="00E772FD" w:rsidRDefault="00FC368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1. Երկաթուղու շահագործման </w:t>
      </w:r>
      <w:r w:rsidR="00B558BC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կաննոների խախտման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հետ կապված պատահարի հետևանքով ուղևորի մահվան կամ նրան պատճառած ֆիզիկական վնասի համար փոխադրողը պատասխանատու է սույն հոդվածի 2-րդ և 3-րդ մասերի կարգով։</w:t>
      </w:r>
    </w:p>
    <w:p w14:paraId="321CB68F" w14:textId="77777777" w:rsidR="00FC368B" w:rsidRPr="00E772FD" w:rsidRDefault="00FC368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2. Ուղևորի մահվան դեպքում վնասի փոխհատուցումը ներառում է մահվան հետ կապված կատարված ծախսերը, ներառյալ՝ մարմնի տեղափոխումը և հուղարկավորության ծախսերը:</w:t>
      </w:r>
    </w:p>
    <w:p w14:paraId="12946AD0" w14:textId="77777777" w:rsidR="00FC368B" w:rsidRPr="00E772FD" w:rsidRDefault="00FC368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Եթե մահը վրա է հասել առողջությանը վնաս պատճառվելուց որոշ ժամանակ անց, ապա փոխհատուցումը ներառում է սույն հոդվածի 3-րդ մասով նախատեսված ծախսերը:</w:t>
      </w:r>
    </w:p>
    <w:p w14:paraId="62D25F63" w14:textId="77777777" w:rsidR="00FC368B" w:rsidRPr="00E772FD" w:rsidRDefault="00FC368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3. Ուղևորի առողջությանը հասցված վնասի դեպքում փոխհատուցումը ներառում է՝ </w:t>
      </w:r>
    </w:p>
    <w:p w14:paraId="3BA25127" w14:textId="77777777" w:rsidR="00FC368B" w:rsidRPr="00E772FD" w:rsidRDefault="00FC368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1)  բուժհաստատություն տեղափոխման և բուժման հետ կապված անհրաժեշտ ծախսերը </w:t>
      </w:r>
    </w:p>
    <w:p w14:paraId="5D100621" w14:textId="77777777" w:rsidR="00FC368B" w:rsidRPr="00E772FD" w:rsidRDefault="00FC368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2) աշխատունակության լրիվ կամ մասնակի կորստի հետ կամ բուժման ընթացքում հավելյալ ծախսերի հետ կապված դրամական փոխհատուցումը:</w:t>
      </w:r>
    </w:p>
    <w:p w14:paraId="4AC80C56" w14:textId="4159F9BB" w:rsidR="00FC368B" w:rsidRPr="00E772FD" w:rsidRDefault="00FC368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4. Սույն հոդվածի 2-րդ և 3-րդ մասերով սահմանված փոխհատուցումից բացի, փոխադրողը պարտավոր է ունենալ ուղևորների ապահովագրություն, ընդ որում ուղևորի մահվան դեպքում ապահովագրման գումարը չպետք է </w:t>
      </w:r>
      <w:r w:rsidR="002271F9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ավելի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լինի </w:t>
      </w:r>
      <w:r w:rsidR="00D4542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7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4542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0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00 000 </w:t>
      </w:r>
      <w:r w:rsidR="00D4542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դրամից</w:t>
      </w:r>
      <w:r w:rsidR="008569C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: Սույն դրույթը </w:t>
      </w:r>
      <w:r w:rsidR="00C51386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4542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չի տարածվում</w:t>
      </w:r>
      <w:r w:rsidR="008569C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եթե </w:t>
      </w:r>
      <w:r w:rsidR="0010338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առկա</w:t>
      </w:r>
      <w:r w:rsidR="008569C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է </w:t>
      </w:r>
      <w:r w:rsidR="0010338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գործող </w:t>
      </w:r>
      <w:r w:rsidR="008569C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կոնցեսիոն </w:t>
      </w:r>
      <w:r w:rsidR="0010338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իրավահարաբերություն</w:t>
      </w:r>
      <w:r w:rsidR="008569C5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Ապահովագրական գումարի վճարումը պետք է իրականացվի անձի ինքնության բացահայտումից 15 </w:t>
      </w:r>
      <w:r w:rsidR="0010338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աշխատանքային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օր</w:t>
      </w:r>
      <w:r w:rsidR="0010338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 </w:t>
      </w:r>
      <w:r w:rsidR="00103382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78E0BBE" w14:textId="77777777" w:rsidR="00FC368B" w:rsidRPr="00E772FD" w:rsidRDefault="00FC368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5. Փոխադրողն ազատվում է պատասխանատվությունից, եթե՝ </w:t>
      </w:r>
    </w:p>
    <w:p w14:paraId="1F656353" w14:textId="77777777" w:rsidR="00FC368B" w:rsidRPr="00E772FD" w:rsidRDefault="00FC368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1) պատահարը տեղի է ունեցել երկաթուղու շահագործման </w:t>
      </w:r>
      <w:r w:rsidR="004A34D9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կանոնների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հետ չկապված հանգամանքներում, որից, չնայած փոխադրողի կողմից ձեռնարկված միջոցների, հնարավոր չէր խուսափել, և որի հետևանքները փոխադրողը չէր կարող կանխել, </w:t>
      </w:r>
    </w:p>
    <w:p w14:paraId="0FA01ED4" w14:textId="05F24FD8" w:rsidR="00FC368B" w:rsidRPr="00E772FD" w:rsidRDefault="00FC368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2)</w:t>
      </w:r>
      <w:r w:rsidR="0061095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պատահարը տեղի է ունեցել ուղևորի</w:t>
      </w:r>
      <w:r w:rsidR="001A7DB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կողմից երկաթուղու շահագործման անվտանգության կանոնների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A7DB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խախտման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հետևանքով, </w:t>
      </w:r>
    </w:p>
    <w:p w14:paraId="0CCB5CEC" w14:textId="77777777" w:rsidR="00FC368B" w:rsidRPr="00E772FD" w:rsidRDefault="00FC368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3) պատահարը տեղի է ունեցել երրորդ անձի գործողությունների հետևանքով, և չնայած փոխադրողի կողմից ձեռնարկված միջոցների, հնարավոր չէր դրանից խուսափել, և որի հետևանքները փոխադրողը չէր կարող կանխել:</w:t>
      </w:r>
    </w:p>
    <w:p w14:paraId="70B87C29" w14:textId="4556DBD7" w:rsidR="00FE24AC" w:rsidRPr="00E772FD" w:rsidRDefault="00FC368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6. Ուղևորը պաստախանատվություն է կրում փոխադրողին պատճառած կորստի կամ վնասի համար, որը առաջացել է նրա մեղավորությամբ կամ ծագել է </w:t>
      </w:r>
      <w:r w:rsidR="001A7DB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ուղևորի մոտ առկա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ապրանքների </w:t>
      </w:r>
      <w:r w:rsidR="009C01E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և/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="0045709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կենդանիների </w:t>
      </w:r>
      <w:r w:rsidR="009C01E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նկատմամբ ոչ պատշաճ հսկողության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հետևանքով, բացառությամբ, եթե ուղևորն ապացուցում է, որ վնասը կամ կորուստն առաջացել է այնպիսի հանգամանքների հետևանքով, որոնք ինքը չէր կարող </w:t>
      </w:r>
      <w:r w:rsidR="009C01EA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կան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խատեսել կամ չէր կարող խուսափել դրանից, և որոնց հետևանքները, չնայած իր կողմից ողջամտորեն ձեռնարկված ջանքերի, չի կարողացել կանխել։</w:t>
      </w:r>
      <w:r w:rsidR="002E0F30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303CB33A" w14:textId="23B49608" w:rsidR="00C1424B" w:rsidRPr="00E772FD" w:rsidRDefault="00C1424B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494BE1CD" w14:textId="2FD8AD15" w:rsidR="00C1424B" w:rsidRPr="002E3765" w:rsidRDefault="00C1424B" w:rsidP="00C1424B">
      <w:pPr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Հոդված 23.3  Ենթակառուցվածքի օգտագործման համար մեկից ավելի հայտերի քննարկման կարգը</w:t>
      </w:r>
    </w:p>
    <w:p w14:paraId="7F22584D" w14:textId="5D057299" w:rsidR="00C1424B" w:rsidRPr="00E772FD" w:rsidRDefault="00C1424B" w:rsidP="00C1424B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1. Ենթակառուցվածքի օգտագործման համար մեկից ավելի հայտերի առկայության դեպքում, ենթակառուցվածքի սեփականատերը և/կամ ենթակառուցվածքի կառավարիչը, համաձայն  ազատ տեխնիկատնտեսական հզորությունների և թողունակության կարողությունների ժամանակացույցի, բաշխում է հայտերի ապահովումը: Ազատ տեխնիկատնտեսական հզորությունների և թողունակության կարողությունների նախնական ժամանակացույցը հաստատում է ենթակառուցվածքի կառավարիչը: </w:t>
      </w:r>
    </w:p>
    <w:p w14:paraId="6A0485B7" w14:textId="2AF9F17A" w:rsidR="00C1424B" w:rsidRPr="00E772FD" w:rsidRDefault="00C1424B" w:rsidP="00C1424B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2. Ենթակառուցվածքի օգտագործման համար մեկից ավելի հայտերի առկայության պարագայում, ազատ տեխնիկատնտեսական հզորությունների և թողունակության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կարողությունների բաշխման ժամանակացույցը հաստատում է ենթակառուցվածքի կառավարիչը՝ իր կողմից երեսունօրյա ժամկետում կազմակերպվող քննարկման արդյունքում, հրավիրելով բոլոր հայտատուներին: Հայտատուների կողմից ժամանակացույցով սահմանված պայմաններին անհամաձայնություն հայտնելու դեպքում, ենթակառուցվածքի կառավարիչը կայացնում է միանձնյա որոշում՝ հաստատելով ժամանակացույցը:</w:t>
      </w:r>
      <w:r w:rsidR="0061095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37B8CF96" w14:textId="25F607F6" w:rsidR="0061095B" w:rsidRDefault="000C784B" w:rsidP="000C784B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7B6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6</w:t>
      </w: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Օրենքը լրացնել նոր 2</w:t>
      </w:r>
      <w:r w:rsidR="00C869ED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9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.1-րդ հոդվածով՝ հետևյալ բովանդակությամբ.</w:t>
      </w:r>
    </w:p>
    <w:p w14:paraId="1F6B29A1" w14:textId="77777777" w:rsidR="0061095B" w:rsidRPr="00E772FD" w:rsidRDefault="0061095B" w:rsidP="000C784B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1F92D514" w14:textId="09163A97" w:rsidR="000C784B" w:rsidRPr="002E3765" w:rsidRDefault="000C784B" w:rsidP="002E3765">
      <w:pPr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Հոդված 2</w:t>
      </w:r>
      <w:r w:rsidR="00C869ED"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9</w:t>
      </w:r>
      <w:r w:rsidRPr="002E37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.1 Ընդհանուր օգտագործման երկաթուղային տրանսպորտում գնացքների անվտանգ երթևեկության և ուղևորների սպասարկման կազմակերպմանն անմիջականորեն մասնակցող աշխատակիցների որակավորումը:</w:t>
      </w:r>
    </w:p>
    <w:p w14:paraId="5F0517B7" w14:textId="77777777" w:rsidR="000C784B" w:rsidRPr="00E772FD" w:rsidRDefault="000C784B" w:rsidP="000C784B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1.Մեքենավար, մեքենավարի օգնական կարող է աշխատել 20 տարեկանը լրացած այն անձը, ով ունի առնվազն իննամյա կամ միջին մասնագիտական կրթություն, պաշտոնեական հրահանգով սահմանված համապատասխան աշխատանքային ստաժ և մասնագիտական փորձառություն, անցել է ՀՀ գործող օրենդրությանը համապատասխան բժշկական զննություն, ունի երկաթուղային շարժակազմ վարելու թույլտվություն/վկայական/:  Երկաթուղային շարժակազմ վարելու թույլտվության տրամադրման, կասեցման, դադադերցման կարգն ու պայմանները սահմանում է ենթակառուցվածքի սեփականատերը կամ ենթակառուցվածքի կառավարչի կողմից հաստատված ներքին իրավական ակտով:</w:t>
      </w:r>
    </w:p>
    <w:p w14:paraId="616BA1D8" w14:textId="77777777" w:rsidR="000C784B" w:rsidRPr="00E772FD" w:rsidRDefault="000C784B" w:rsidP="000C784B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2. Մասնագիտական գիտելիքների ամրապնդման, բարձրացման և վերապատրաստման համար մեքենավարը և մեքենավարի օգնականը պետք է առնվազն տարին մեկ անգամ հանձնեն տեսական և գործնական քննություն: Տեսական և գործնական քննության, վերաքննություն անցկացման կարգը, պայամնները սահմանում է ենթակառուցվածքի սեփականատերը կամ ենթակառուցվածքի կառավարչի կողմից սահմանված ներքին իրավական ակտով: </w:t>
      </w:r>
    </w:p>
    <w:p w14:paraId="792CB78D" w14:textId="75AFB7BF" w:rsidR="000C784B" w:rsidRPr="00E772FD" w:rsidRDefault="000C784B" w:rsidP="000C784B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3. Երկաթուղային շարժակազմ վարելու թույլտվության վկայականը տրամադրում է ենթակառուցվածքի սեփականատերը կամ ենթակառուցվածքի կառավար</w:t>
      </w:r>
      <w:r w:rsidR="005D5668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իչը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ով աշխատանք է տրամադրել կամ պայմանագիր է կնքել մեքենավարի, մեքենավարի օգնականի հետ: Վկայականը հանդիսանում է տվյալ ենթակառուցվածքի սեփականատիրոջ կամ ենթակառուցվածքի կառավարչի սեփականությունը: </w:t>
      </w:r>
    </w:p>
    <w:p w14:paraId="7152D9BA" w14:textId="75110CA1" w:rsidR="005D5668" w:rsidRPr="00E772FD" w:rsidRDefault="005D5668" w:rsidP="005D5668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4.</w:t>
      </w:r>
      <w:r w:rsidR="000E0136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Երկաթուղային շարժակազմ վարելու</w:t>
      </w:r>
      <w:r w:rsidR="000E0136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թույլտվությունը</w:t>
      </w:r>
      <w:r w:rsidR="000E0136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/վկայականը/վավերական է միայն </w:t>
      </w:r>
      <w:r w:rsidR="00926463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դրանում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նշված ենթակառուցվածքների եւ շարժակազմերի շահագործման համար և վավեր է տրամադրման պահից 10 տարի ժամկետով:</w:t>
      </w:r>
    </w:p>
    <w:p w14:paraId="438AA57E" w14:textId="364D9DCD" w:rsidR="000C784B" w:rsidRPr="00E772FD" w:rsidRDefault="005D5668" w:rsidP="000C784B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5</w:t>
      </w:r>
      <w:r w:rsidR="000C784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. Երթևեկության անանվտանգության ապահովման խնդիրներին ամիջականորեն առնչություն ունեցող այլ աշխատակիցները ևս պետք է մասնագիտական գիտելիքների ամրապնդման, բարձրացման և վերապատրաստման համար հանձնեն տեսական և/կամ </w:t>
      </w:r>
      <w:r w:rsidR="000C784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գործնական քննություններ: Տեսական և/կամ գործնական քննություններ</w:t>
      </w:r>
      <w:r w:rsidR="00926463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</w:t>
      </w:r>
      <w:r w:rsidR="000C784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անցկացման կարգն</w:t>
      </w:r>
      <w:r w:rsidR="00926463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0C784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պայմանները և ցանկը սահման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</w:t>
      </w:r>
      <w:r w:rsidR="000C784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ում է  ենթակառուցվածքի սեփականատիրոջ կամ ենթակառուցվածքի կառավարչի ներքին իրավական ակտով:  </w:t>
      </w:r>
    </w:p>
    <w:p w14:paraId="38FBA39F" w14:textId="033B0FC1" w:rsidR="000C784B" w:rsidRPr="00E772FD" w:rsidRDefault="0061095B" w:rsidP="000C784B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6</w:t>
      </w:r>
      <w:r w:rsidR="000C784B"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 ՀՀ ռեզիդենտ չհանդիսացող մեքենավար և/կամ մեքենավարի օգնականը ՀՀ տարածքում ընդհանուր օգտագործման երկաթուղային գծերով   երկաթուղային շարժակազմ վարելու համար պետք է անցնի վերապատրաստում: Վերապատրաստման կարգն ու պայմանները մշակում է ենթակառուցվածքի կառավարիչը, որը հաստատում է ՀՀ պետական լիազոր մարմինը: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388475C0" w14:textId="77777777" w:rsidR="000C784B" w:rsidRPr="00E772FD" w:rsidRDefault="000C784B" w:rsidP="006702DF">
      <w:pPr>
        <w:spacing w:after="0"/>
        <w:ind w:right="-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6959D4BF" w14:textId="0BD81A76" w:rsidR="00C1424B" w:rsidRDefault="00C1424B" w:rsidP="00C1424B">
      <w:pPr>
        <w:spacing w:after="0"/>
        <w:ind w:right="-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7B6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7</w:t>
      </w: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Օրենքի հավելված 2-ի 158-րդ կետը կետը շարադրել հետևյալ խմբագրությամբ.</w:t>
      </w:r>
    </w:p>
    <w:p w14:paraId="61EBC1BB" w14:textId="77777777" w:rsidR="001A523D" w:rsidRPr="00E772FD" w:rsidRDefault="001A523D" w:rsidP="00C1424B">
      <w:pPr>
        <w:spacing w:after="0"/>
        <w:ind w:right="-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3643823F" w14:textId="77777777" w:rsidR="00C1424B" w:rsidRPr="00E772FD" w:rsidRDefault="00C1424B" w:rsidP="00C1424B">
      <w:pPr>
        <w:spacing w:after="0"/>
        <w:ind w:right="-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«158. Ուղևորային փոխադրումներ իրականացնելիս փոխադրողը պարտավոր է անվճար տրամադրել երկաթուղային տրանսպորտի ծառայություններից օգտվողներին գնացքների մեկնման և ժամանման, ուղևորատոմսերի, ինչպես նաև լրացուցիչ ծառայությունների արժեքի, տոմսարկղերի աշխատաժամերի, կայարանաշենքի տարածքների տեղակայման, քաղաքացիների որոշակի խմբերին տրամադրվող ծառայությունների և զեղչերի/առկայության պայմաններում/ վերաբերյալ հավաստի տեղեկատվություն:</w:t>
      </w:r>
    </w:p>
    <w:p w14:paraId="56E88314" w14:textId="7C7BCEF2" w:rsidR="00C1424B" w:rsidRPr="00E772FD" w:rsidRDefault="00C1424B" w:rsidP="00C1424B">
      <w:pPr>
        <w:spacing w:after="0"/>
        <w:ind w:right="-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Տեսալսողական խնդիրներ ունեցող ուղևորներին վերոնշյալ տեղեկատվությունները պարտավոր է տրամադրել նրանց հասանելի տարբերակով։»</w:t>
      </w:r>
      <w:r w:rsidR="001A523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2AB25219" w14:textId="77777777" w:rsidR="00C1424B" w:rsidRPr="00E772FD" w:rsidRDefault="00C1424B" w:rsidP="006702DF">
      <w:pPr>
        <w:spacing w:after="0"/>
        <w:ind w:right="-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5F115A73" w14:textId="34BF25F2" w:rsidR="0045709D" w:rsidRPr="00E772FD" w:rsidRDefault="0045709D" w:rsidP="006702DF">
      <w:pPr>
        <w:spacing w:after="0"/>
        <w:ind w:right="-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7B6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8</w:t>
      </w: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Օրենքի հավելված 2-ի 160-րդ կետն ուժը կորցրած ճանաչել:</w:t>
      </w:r>
    </w:p>
    <w:p w14:paraId="37C7CF8F" w14:textId="77777777" w:rsidR="0045709D" w:rsidRPr="00E772FD" w:rsidRDefault="0045709D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4E19C657" w14:textId="241F9234" w:rsidR="00B4737E" w:rsidRDefault="002E63A5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7B65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9</w:t>
      </w:r>
      <w:r w:rsidRPr="00E772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E772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 Սույն օրենքն ուժի մեջ է մտնում պաշտոնական հրապարակման օրվան հաջորդող տասներորդ օրը:</w:t>
      </w:r>
    </w:p>
    <w:p w14:paraId="7129909A" w14:textId="77777777" w:rsidR="001A523D" w:rsidRDefault="001A523D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09716D62" w14:textId="77777777" w:rsidR="001A523D" w:rsidRDefault="001A523D" w:rsidP="001A523D">
      <w:pPr>
        <w:spacing w:after="0"/>
        <w:ind w:right="-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54A6A6F4" w14:textId="4E7C1654" w:rsidR="001A523D" w:rsidRDefault="001A523D" w:rsidP="001A523D">
      <w:pPr>
        <w:spacing w:after="0"/>
        <w:ind w:right="-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</w:p>
    <w:p w14:paraId="1F7D2B20" w14:textId="7C5A5163" w:rsidR="001A523D" w:rsidRPr="001A523D" w:rsidRDefault="001A523D" w:rsidP="002E3765">
      <w:pPr>
        <w:spacing w:after="0"/>
        <w:ind w:right="-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               Նախագահ                                                                               Վ</w:t>
      </w:r>
      <w:r w:rsidRPr="001A523D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E37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E3765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Խաչատ</w:t>
      </w:r>
      <w:r w:rsidRPr="002E376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ուրյան</w:t>
      </w:r>
    </w:p>
    <w:p w14:paraId="4DDAC72E" w14:textId="77777777" w:rsidR="00B4737E" w:rsidRPr="00E772FD" w:rsidRDefault="00B4737E" w:rsidP="006702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56AB1461" w14:textId="35238D63" w:rsidR="00E64F02" w:rsidRPr="00E772FD" w:rsidRDefault="00E64F02" w:rsidP="004924EC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sectPr w:rsidR="00E64F02" w:rsidRPr="00E772FD" w:rsidSect="00D56AA4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7D"/>
    <w:rsid w:val="00002EAE"/>
    <w:rsid w:val="00005459"/>
    <w:rsid w:val="0000751C"/>
    <w:rsid w:val="00015C09"/>
    <w:rsid w:val="000243C9"/>
    <w:rsid w:val="00084330"/>
    <w:rsid w:val="00087774"/>
    <w:rsid w:val="000B7194"/>
    <w:rsid w:val="000C784B"/>
    <w:rsid w:val="000D5FA9"/>
    <w:rsid w:val="000E0136"/>
    <w:rsid w:val="000E1377"/>
    <w:rsid w:val="000F1F36"/>
    <w:rsid w:val="00103382"/>
    <w:rsid w:val="00112218"/>
    <w:rsid w:val="00116D6A"/>
    <w:rsid w:val="001203BB"/>
    <w:rsid w:val="001224E1"/>
    <w:rsid w:val="00131592"/>
    <w:rsid w:val="00134B06"/>
    <w:rsid w:val="00171863"/>
    <w:rsid w:val="00176662"/>
    <w:rsid w:val="00176E4A"/>
    <w:rsid w:val="001A2D5C"/>
    <w:rsid w:val="001A523D"/>
    <w:rsid w:val="001A7DB0"/>
    <w:rsid w:val="001B6397"/>
    <w:rsid w:val="001D0283"/>
    <w:rsid w:val="001F5C48"/>
    <w:rsid w:val="00204B15"/>
    <w:rsid w:val="002059B9"/>
    <w:rsid w:val="0021353F"/>
    <w:rsid w:val="00224F10"/>
    <w:rsid w:val="002271F9"/>
    <w:rsid w:val="00253E8A"/>
    <w:rsid w:val="00261B61"/>
    <w:rsid w:val="00261B84"/>
    <w:rsid w:val="00262FD9"/>
    <w:rsid w:val="002734CA"/>
    <w:rsid w:val="002A0189"/>
    <w:rsid w:val="002B15C7"/>
    <w:rsid w:val="002B7987"/>
    <w:rsid w:val="002C3DAE"/>
    <w:rsid w:val="002D29E5"/>
    <w:rsid w:val="002E0F30"/>
    <w:rsid w:val="002E3765"/>
    <w:rsid w:val="002E63A5"/>
    <w:rsid w:val="002F5D83"/>
    <w:rsid w:val="0031038B"/>
    <w:rsid w:val="00320404"/>
    <w:rsid w:val="00360CBC"/>
    <w:rsid w:val="00363DD5"/>
    <w:rsid w:val="00373B40"/>
    <w:rsid w:val="003764F5"/>
    <w:rsid w:val="00381A55"/>
    <w:rsid w:val="003853D0"/>
    <w:rsid w:val="00392FB0"/>
    <w:rsid w:val="003B40E5"/>
    <w:rsid w:val="003C5E7E"/>
    <w:rsid w:val="003D360A"/>
    <w:rsid w:val="003D4907"/>
    <w:rsid w:val="003E107C"/>
    <w:rsid w:val="003E19DB"/>
    <w:rsid w:val="003F3D73"/>
    <w:rsid w:val="00421654"/>
    <w:rsid w:val="0043659F"/>
    <w:rsid w:val="004414D7"/>
    <w:rsid w:val="004448D2"/>
    <w:rsid w:val="0045709D"/>
    <w:rsid w:val="00477518"/>
    <w:rsid w:val="00483FD3"/>
    <w:rsid w:val="004924EC"/>
    <w:rsid w:val="004A1B7D"/>
    <w:rsid w:val="004A3058"/>
    <w:rsid w:val="004A34D9"/>
    <w:rsid w:val="004A3F8F"/>
    <w:rsid w:val="004A48CD"/>
    <w:rsid w:val="004A78BF"/>
    <w:rsid w:val="004C1EE3"/>
    <w:rsid w:val="004C31F8"/>
    <w:rsid w:val="004C57C4"/>
    <w:rsid w:val="004F6EE5"/>
    <w:rsid w:val="00526690"/>
    <w:rsid w:val="00546B41"/>
    <w:rsid w:val="0057412F"/>
    <w:rsid w:val="00576B27"/>
    <w:rsid w:val="00582ADA"/>
    <w:rsid w:val="00584529"/>
    <w:rsid w:val="005858F1"/>
    <w:rsid w:val="00586952"/>
    <w:rsid w:val="0059111A"/>
    <w:rsid w:val="00591F81"/>
    <w:rsid w:val="005A12B4"/>
    <w:rsid w:val="005A664E"/>
    <w:rsid w:val="005B003C"/>
    <w:rsid w:val="005D5668"/>
    <w:rsid w:val="005E335F"/>
    <w:rsid w:val="005E49AE"/>
    <w:rsid w:val="005E5655"/>
    <w:rsid w:val="005F5B5E"/>
    <w:rsid w:val="00601287"/>
    <w:rsid w:val="0060482F"/>
    <w:rsid w:val="0060681D"/>
    <w:rsid w:val="0061095B"/>
    <w:rsid w:val="00613136"/>
    <w:rsid w:val="00613C38"/>
    <w:rsid w:val="00634A68"/>
    <w:rsid w:val="0064201D"/>
    <w:rsid w:val="006423F1"/>
    <w:rsid w:val="006702DF"/>
    <w:rsid w:val="00683E35"/>
    <w:rsid w:val="006C3C80"/>
    <w:rsid w:val="006E256A"/>
    <w:rsid w:val="006F43A0"/>
    <w:rsid w:val="00703384"/>
    <w:rsid w:val="00706240"/>
    <w:rsid w:val="0071645A"/>
    <w:rsid w:val="00734D53"/>
    <w:rsid w:val="00737A0F"/>
    <w:rsid w:val="00745024"/>
    <w:rsid w:val="00756CE9"/>
    <w:rsid w:val="0079677E"/>
    <w:rsid w:val="007A1CF7"/>
    <w:rsid w:val="007B6519"/>
    <w:rsid w:val="007C5FD7"/>
    <w:rsid w:val="007D780B"/>
    <w:rsid w:val="007F096E"/>
    <w:rsid w:val="00805FB5"/>
    <w:rsid w:val="00832BE2"/>
    <w:rsid w:val="00845AE8"/>
    <w:rsid w:val="008569C5"/>
    <w:rsid w:val="0086040A"/>
    <w:rsid w:val="008675E3"/>
    <w:rsid w:val="0087410E"/>
    <w:rsid w:val="00885931"/>
    <w:rsid w:val="008A2D78"/>
    <w:rsid w:val="008C6345"/>
    <w:rsid w:val="008C6FE9"/>
    <w:rsid w:val="008D6B4E"/>
    <w:rsid w:val="008D7C0C"/>
    <w:rsid w:val="008F7A93"/>
    <w:rsid w:val="00901680"/>
    <w:rsid w:val="00904998"/>
    <w:rsid w:val="00912082"/>
    <w:rsid w:val="009208AB"/>
    <w:rsid w:val="009233BB"/>
    <w:rsid w:val="00926463"/>
    <w:rsid w:val="00934722"/>
    <w:rsid w:val="009365C6"/>
    <w:rsid w:val="00960147"/>
    <w:rsid w:val="009814A4"/>
    <w:rsid w:val="009822EA"/>
    <w:rsid w:val="00986FC4"/>
    <w:rsid w:val="009A5CC6"/>
    <w:rsid w:val="009C01EA"/>
    <w:rsid w:val="009C3F74"/>
    <w:rsid w:val="009D2E0C"/>
    <w:rsid w:val="009E1DE1"/>
    <w:rsid w:val="00A045F4"/>
    <w:rsid w:val="00A05602"/>
    <w:rsid w:val="00A1654F"/>
    <w:rsid w:val="00A25E45"/>
    <w:rsid w:val="00A26FE2"/>
    <w:rsid w:val="00A366AA"/>
    <w:rsid w:val="00A42641"/>
    <w:rsid w:val="00A50281"/>
    <w:rsid w:val="00A83371"/>
    <w:rsid w:val="00A95D43"/>
    <w:rsid w:val="00AC5CAE"/>
    <w:rsid w:val="00AD7A8B"/>
    <w:rsid w:val="00B01DC8"/>
    <w:rsid w:val="00B11643"/>
    <w:rsid w:val="00B16A11"/>
    <w:rsid w:val="00B16BD8"/>
    <w:rsid w:val="00B25259"/>
    <w:rsid w:val="00B27501"/>
    <w:rsid w:val="00B3334F"/>
    <w:rsid w:val="00B4737E"/>
    <w:rsid w:val="00B5246A"/>
    <w:rsid w:val="00B558BC"/>
    <w:rsid w:val="00BA297D"/>
    <w:rsid w:val="00BA5E76"/>
    <w:rsid w:val="00BA7D63"/>
    <w:rsid w:val="00BB39F7"/>
    <w:rsid w:val="00BD0E5E"/>
    <w:rsid w:val="00C026C5"/>
    <w:rsid w:val="00C12BF8"/>
    <w:rsid w:val="00C1424B"/>
    <w:rsid w:val="00C2352C"/>
    <w:rsid w:val="00C51386"/>
    <w:rsid w:val="00C65007"/>
    <w:rsid w:val="00C8429A"/>
    <w:rsid w:val="00C869ED"/>
    <w:rsid w:val="00CA0E4C"/>
    <w:rsid w:val="00CE792E"/>
    <w:rsid w:val="00CF1E3C"/>
    <w:rsid w:val="00CF44FF"/>
    <w:rsid w:val="00CF49A8"/>
    <w:rsid w:val="00D12212"/>
    <w:rsid w:val="00D1225A"/>
    <w:rsid w:val="00D14096"/>
    <w:rsid w:val="00D14440"/>
    <w:rsid w:val="00D2173C"/>
    <w:rsid w:val="00D24AA7"/>
    <w:rsid w:val="00D35538"/>
    <w:rsid w:val="00D36947"/>
    <w:rsid w:val="00D40906"/>
    <w:rsid w:val="00D4542B"/>
    <w:rsid w:val="00D50203"/>
    <w:rsid w:val="00D56AA4"/>
    <w:rsid w:val="00D57D2D"/>
    <w:rsid w:val="00D642AC"/>
    <w:rsid w:val="00D8120A"/>
    <w:rsid w:val="00D84CF3"/>
    <w:rsid w:val="00D86737"/>
    <w:rsid w:val="00D91D7D"/>
    <w:rsid w:val="00DC0DD3"/>
    <w:rsid w:val="00DC253E"/>
    <w:rsid w:val="00DC7DDC"/>
    <w:rsid w:val="00DD2122"/>
    <w:rsid w:val="00DD6676"/>
    <w:rsid w:val="00DE269C"/>
    <w:rsid w:val="00DF6B24"/>
    <w:rsid w:val="00E25BE4"/>
    <w:rsid w:val="00E64F02"/>
    <w:rsid w:val="00E772FD"/>
    <w:rsid w:val="00E8125D"/>
    <w:rsid w:val="00E836F8"/>
    <w:rsid w:val="00E96101"/>
    <w:rsid w:val="00EA6AFC"/>
    <w:rsid w:val="00EB39CA"/>
    <w:rsid w:val="00ED47FD"/>
    <w:rsid w:val="00EE5DF7"/>
    <w:rsid w:val="00EF1CA2"/>
    <w:rsid w:val="00EF2364"/>
    <w:rsid w:val="00EF74CA"/>
    <w:rsid w:val="00F05C65"/>
    <w:rsid w:val="00F070AE"/>
    <w:rsid w:val="00F16BA0"/>
    <w:rsid w:val="00F22FD0"/>
    <w:rsid w:val="00F30B82"/>
    <w:rsid w:val="00F33014"/>
    <w:rsid w:val="00F40142"/>
    <w:rsid w:val="00F46E22"/>
    <w:rsid w:val="00F72904"/>
    <w:rsid w:val="00F87FE0"/>
    <w:rsid w:val="00FC2F22"/>
    <w:rsid w:val="00FC368B"/>
    <w:rsid w:val="00FC69DB"/>
    <w:rsid w:val="00FE24AC"/>
    <w:rsid w:val="00FE37BF"/>
    <w:rsid w:val="00FF58E0"/>
    <w:rsid w:val="00FF611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8A4B"/>
  <w15:docId w15:val="{8BA5AC91-9644-46B7-A65E-DC545F4D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1D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1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91D7D"/>
    <w:rPr>
      <w:i/>
      <w:iCs/>
    </w:rPr>
  </w:style>
  <w:style w:type="paragraph" w:styleId="ListParagraph">
    <w:name w:val="List Paragraph"/>
    <w:basedOn w:val="Normal"/>
    <w:uiPriority w:val="34"/>
    <w:qFormat/>
    <w:rsid w:val="00FE2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4D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3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52EE-535A-47DA-B843-2339E4D5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16486</TotalTime>
  <Pages>7</Pages>
  <Words>2191</Words>
  <Characters>12494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Gevorg</dc:creator>
  <cp:lastModifiedBy>Tigran Gasparyan</cp:lastModifiedBy>
  <cp:revision>31</cp:revision>
  <cp:lastPrinted>2024-02-27T11:01:00Z</cp:lastPrinted>
  <dcterms:created xsi:type="dcterms:W3CDTF">2023-06-22T06:32:00Z</dcterms:created>
  <dcterms:modified xsi:type="dcterms:W3CDTF">2024-02-27T12:19:00Z</dcterms:modified>
</cp:coreProperties>
</file>