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BB" w:rsidRPr="000B4148" w:rsidRDefault="00EF2CBB" w:rsidP="00EF2CBB">
      <w:pPr>
        <w:spacing w:after="0" w:line="360" w:lineRule="auto"/>
        <w:ind w:left="3420" w:right="-694" w:firstLine="54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Հավելված</w:t>
      </w:r>
      <w:proofErr w:type="spell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 N1</w:t>
      </w:r>
    </w:p>
    <w:p w:rsidR="00EF2CBB" w:rsidRPr="000B4148" w:rsidRDefault="00EF2CBB" w:rsidP="00EF2CBB">
      <w:pPr>
        <w:spacing w:after="0" w:line="360" w:lineRule="auto"/>
        <w:ind w:left="3420" w:right="-694" w:firstLine="54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 2024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</w:p>
    <w:p w:rsidR="00EF2CBB" w:rsidRPr="000B4148" w:rsidRDefault="00EF2CBB" w:rsidP="00EF2CBB">
      <w:pPr>
        <w:shd w:val="clear" w:color="auto" w:fill="FFFFFF"/>
        <w:spacing w:after="0" w:line="360" w:lineRule="auto"/>
        <w:ind w:left="3420" w:right="-694" w:firstLine="540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bookmarkStart w:id="0" w:name="_GoBack"/>
      <w:bookmarkEnd w:id="0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………………….. N ……</w:t>
      </w:r>
      <w:proofErr w:type="gram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….-</w:t>
      </w:r>
      <w:proofErr w:type="gram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Ն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F2CBB" w:rsidRPr="00D80E0E" w:rsidRDefault="00EF2CBB" w:rsidP="00EF2CBB">
      <w:pPr>
        <w:shd w:val="clear" w:color="auto" w:fill="FFFFFF"/>
        <w:spacing w:after="0" w:line="360" w:lineRule="auto"/>
        <w:ind w:left="-540" w:right="-694" w:firstLine="54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80E0E">
        <w:rPr>
          <w:rFonts w:ascii="GHEA Grapalat" w:eastAsia="Times New Roman" w:hAnsi="GHEA Grapalat" w:cs="Times New Roman"/>
          <w:b/>
          <w:bCs/>
          <w:sz w:val="24"/>
          <w:szCs w:val="24"/>
        </w:rPr>
        <w:t>Կ Ա Ր Գ</w:t>
      </w:r>
    </w:p>
    <w:p w:rsidR="00EF2CBB" w:rsidRPr="00D80E0E" w:rsidRDefault="00EF2CBB" w:rsidP="00EF2CBB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94" w:firstLine="540"/>
        <w:jc w:val="center"/>
        <w:rPr>
          <w:rFonts w:ascii="GHEA Grapalat" w:hAnsi="GHEA Grapalat" w:cs="Arial"/>
          <w:b/>
        </w:rPr>
      </w:pPr>
      <w:r w:rsidRPr="00D80E0E">
        <w:rPr>
          <w:rFonts w:ascii="GHEA Grapalat" w:hAnsi="GHEA Grapalat" w:cs="Arial"/>
          <w:b/>
        </w:rPr>
        <w:t>ՈՉ ՀԻՄՆԱԿԱՆ ՇԻՆՈՒԹՅՈՒՆՆԵՐՈՒՄ ԲՆԱԿՎՈՂ ԸՆՏԱՆԻՔՆԵՐԻՆ ԲՆԱԿԱՐԱՆՆԵՐԻ ԳՆՄԱՆ ՎԿԱՅԱԳՐԵՐԻ ՏՐԱՄԱԴՐՄԱՆ</w:t>
      </w:r>
    </w:p>
    <w:p w:rsidR="00EF2CBB" w:rsidRPr="000B4148" w:rsidRDefault="00EF2CBB" w:rsidP="00EF2CBB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94" w:firstLine="540"/>
        <w:jc w:val="center"/>
        <w:rPr>
          <w:rFonts w:ascii="GHEA Grapalat" w:hAnsi="GHEA Grapalat"/>
          <w:sz w:val="12"/>
          <w:szCs w:val="12"/>
        </w:rPr>
      </w:pP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Calibri" w:eastAsia="Times New Roman" w:hAnsi="Calibri" w:cs="Calibri"/>
          <w:sz w:val="24"/>
          <w:szCs w:val="24"/>
        </w:rPr>
        <w:t> 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2-րդ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կետի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1-ին և 2-րդ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ենթակետերի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«ա»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պարբերություններում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նշված</w:t>
      </w:r>
      <w:proofErr w:type="spellEnd"/>
      <w:r w:rsidRPr="00DB660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B6609">
        <w:rPr>
          <w:rFonts w:ascii="GHEA Grapalat" w:hAnsi="GHEA Grapalat" w:cs="Arial"/>
          <w:sz w:val="24"/>
          <w:szCs w:val="24"/>
        </w:rPr>
        <w:t>ընտանիքներին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բերելու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գնման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անվանական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հավաստում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տարածքում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ցանկացած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պատրաստի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իրավունքը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կամավորության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սկզբունքով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արժեթուղթ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չէ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չէ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օտարման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գրավադրման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բռնագանձման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ծագած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իրավունքներն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պարտականությունները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անխզելիորեն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իրավունքներ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պարտականություններ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պարունակում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վավերապայմանները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թողարկման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սերիան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ամսաթիվը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ազգանունը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հայրանունը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ծննդյան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տարեթիվը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անձնագրային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տվյալները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5.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անգամ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օրինակից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               36-րդ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որոշվում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</w:t>
      </w:r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հոկետմբերի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13-ի N1601-Ն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ենթակետը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35-րդ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կադաստրի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կոմիտեի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հրապարակված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2024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հունվար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ձևավորված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շուկայական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միջինացված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տվյալները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Գյումրի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170200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Սպիտակ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133000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Ստեփանավան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90000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7.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ցուցաբերվում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վճարումների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արժեքը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բայց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ավելի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քան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վճարելով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վաճառողին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հաշվեհամարին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1)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ցածր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արժողությամբ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գումարի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տարբերությունը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</w:t>
      </w:r>
      <w:r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բարձր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արժեք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ունեցող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արժեքների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տարբերությունը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լրացվում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սեփական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զբաղեցված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շինությունը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հոկետմբերի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13-ի N1601-Ն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10-րդ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8-րդ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ազատելու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քանդելու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բերվող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11.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բերվող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տոն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ճանաչվում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</w:t>
      </w:r>
      <w:r w:rsidRPr="009726B0">
        <w:rPr>
          <w:rFonts w:ascii="GHEA Grapalat" w:eastAsia="Times New Roman" w:hAnsi="GHEA Grapalat" w:cs="Times New Roman"/>
          <w:sz w:val="24"/>
          <w:szCs w:val="24"/>
        </w:rPr>
        <w:t>ահառու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բոլոր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ընդհանուր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համատեղ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726B0">
        <w:rPr>
          <w:rFonts w:ascii="GHEA Grapalat" w:eastAsia="Times New Roman" w:hAnsi="GHEA Grapalat" w:cs="Times New Roman"/>
          <w:sz w:val="24"/>
          <w:szCs w:val="24"/>
        </w:rPr>
        <w:t>իրավունքը</w:t>
      </w:r>
      <w:proofErr w:type="spellEnd"/>
      <w:r w:rsidRPr="009726B0">
        <w:rPr>
          <w:rFonts w:ascii="GHEA Grapalat" w:eastAsia="Times New Roman" w:hAnsi="GHEA Grapalat" w:cs="Times New Roman"/>
          <w:sz w:val="24"/>
          <w:szCs w:val="24"/>
        </w:rPr>
        <w:t>: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12.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ամրագրված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չբերելու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լուծված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13.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կորստի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կորցրած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ճանաչվում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անվավեր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փոխարեն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կորցրած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վավերապայմաններով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hAnsi="GHEA Grapalat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proofErr w:type="spellStart"/>
      <w:r w:rsidRPr="000B4148">
        <w:rPr>
          <w:rFonts w:ascii="GHEA Grapalat" w:hAnsi="GHEA Grapalat"/>
          <w:sz w:val="24"/>
          <w:szCs w:val="24"/>
        </w:rPr>
        <w:t>Վկայագիր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ստացած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անձի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մահվան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դեպքում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շահառու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ընտանիքի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կազմում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ընդգրկված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անդամների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դիմումի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համաձայն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4148">
        <w:rPr>
          <w:rFonts w:ascii="GHEA Grapalat" w:hAnsi="GHEA Grapalat"/>
          <w:sz w:val="24"/>
          <w:szCs w:val="24"/>
        </w:rPr>
        <w:t>վկայագիրը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վերաձևակերպվում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4148">
        <w:rPr>
          <w:rFonts w:ascii="GHEA Grapalat" w:hAnsi="GHEA Grapalat"/>
          <w:sz w:val="24"/>
          <w:szCs w:val="24"/>
        </w:rPr>
        <w:t>նրանցից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մեկի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անունով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վավերապայմաններով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եկ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</w:t>
      </w:r>
      <w:r w:rsidRPr="000B4148">
        <w:rPr>
          <w:rFonts w:ascii="GHEA Grapalat" w:hAnsi="GHEA Grapalat" w:cs="Times New Roman"/>
          <w:sz w:val="24"/>
          <w:szCs w:val="24"/>
        </w:rPr>
        <w:t>կայագիր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 w:cs="Times New Roman"/>
          <w:sz w:val="24"/>
          <w:szCs w:val="24"/>
        </w:rPr>
        <w:t>անձի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 w:cs="Times New Roman"/>
          <w:sz w:val="24"/>
          <w:szCs w:val="24"/>
        </w:rPr>
        <w:t>մահվան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 w:cs="Times New Roman"/>
          <w:sz w:val="24"/>
          <w:szCs w:val="24"/>
        </w:rPr>
        <w:t>դեպք</w:t>
      </w:r>
      <w:r w:rsidRPr="000B4148">
        <w:rPr>
          <w:rFonts w:ascii="GHEA Grapalat" w:hAnsi="GHEA Grapalat"/>
          <w:sz w:val="24"/>
          <w:szCs w:val="24"/>
        </w:rPr>
        <w:t>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վկայագիրը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մարվում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այդ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անձի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կողմից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մարզպետի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հետ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կնքված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պայմանագիրը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148">
        <w:rPr>
          <w:rFonts w:ascii="GHEA Grapalat" w:hAnsi="GHEA Grapalat"/>
          <w:sz w:val="24"/>
          <w:szCs w:val="24"/>
        </w:rPr>
        <w:t>համարվում</w:t>
      </w:r>
      <w:proofErr w:type="spellEnd"/>
      <w:r w:rsidRPr="000B414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4148">
        <w:rPr>
          <w:rFonts w:ascii="GHEA Grapalat" w:hAnsi="GHEA Grapalat"/>
          <w:sz w:val="24"/>
          <w:szCs w:val="24"/>
        </w:rPr>
        <w:t>լուծված</w:t>
      </w:r>
      <w:proofErr w:type="spellEnd"/>
      <w:r w:rsidRPr="000B4148">
        <w:rPr>
          <w:rFonts w:ascii="GHEA Grapalat" w:hAnsi="GHEA Grapalat"/>
          <w:sz w:val="24"/>
          <w:szCs w:val="24"/>
        </w:rPr>
        <w:t>:</w:t>
      </w:r>
    </w:p>
    <w:p w:rsidR="00EF2CBB" w:rsidRPr="000B4148" w:rsidRDefault="00EF2CBB" w:rsidP="00EF2CBB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94" w:firstLine="540"/>
        <w:jc w:val="both"/>
        <w:rPr>
          <w:rFonts w:ascii="GHEA Grapalat" w:hAnsi="GHEA Grapalat"/>
        </w:rPr>
      </w:pPr>
      <w:r w:rsidRPr="000B4148">
        <w:rPr>
          <w:rFonts w:ascii="GHEA Grapalat" w:hAnsi="GHEA Grapalat"/>
        </w:rPr>
        <w:t xml:space="preserve">15. </w:t>
      </w:r>
      <w:proofErr w:type="spellStart"/>
      <w:r w:rsidRPr="000B4148">
        <w:rPr>
          <w:rFonts w:ascii="GHEA Grapalat" w:hAnsi="GHEA Grapalat"/>
        </w:rPr>
        <w:t>Աջակցություն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ստանալու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հնարավորությունից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հրաժարված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կամ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աջակցություն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ստանալու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հնարավորություն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ստացած</w:t>
      </w:r>
      <w:proofErr w:type="spellEnd"/>
      <w:r w:rsidRPr="000B4148">
        <w:rPr>
          <w:rFonts w:ascii="GHEA Grapalat" w:hAnsi="GHEA Grapalat"/>
        </w:rPr>
        <w:t xml:space="preserve">, </w:t>
      </w:r>
      <w:proofErr w:type="spellStart"/>
      <w:r w:rsidRPr="000B4148">
        <w:rPr>
          <w:rFonts w:ascii="GHEA Grapalat" w:hAnsi="GHEA Grapalat"/>
        </w:rPr>
        <w:t>սակայն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այդ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հնարավորությունը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սույն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որոշմամբ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նախատեսված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կարգով</w:t>
      </w:r>
      <w:proofErr w:type="spellEnd"/>
      <w:r w:rsidRPr="000B4148">
        <w:rPr>
          <w:rFonts w:ascii="GHEA Grapalat" w:hAnsi="GHEA Grapalat"/>
        </w:rPr>
        <w:t xml:space="preserve"> և </w:t>
      </w:r>
      <w:proofErr w:type="spellStart"/>
      <w:r w:rsidRPr="000B4148">
        <w:rPr>
          <w:rFonts w:ascii="GHEA Grapalat" w:hAnsi="GHEA Grapalat"/>
        </w:rPr>
        <w:t>ժամկետներում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չիրացրած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ընտանիքների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մասով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կիրառելի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են</w:t>
      </w:r>
      <w:proofErr w:type="spellEnd"/>
      <w:r w:rsidRPr="000B414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</w:t>
      </w:r>
      <w:r w:rsidRPr="00D16A87">
        <w:rPr>
          <w:rFonts w:ascii="GHEA Grapalat" w:hAnsi="GHEA Grapalat"/>
        </w:rPr>
        <w:t xml:space="preserve">ՀՀ </w:t>
      </w:r>
      <w:proofErr w:type="spellStart"/>
      <w:r w:rsidRPr="00D16A87">
        <w:rPr>
          <w:rFonts w:ascii="GHEA Grapalat" w:hAnsi="GHEA Grapalat"/>
        </w:rPr>
        <w:t>կառավարության</w:t>
      </w:r>
      <w:proofErr w:type="spellEnd"/>
      <w:r w:rsidRPr="00D16A87">
        <w:rPr>
          <w:rFonts w:ascii="GHEA Grapalat" w:hAnsi="GHEA Grapalat"/>
        </w:rPr>
        <w:t xml:space="preserve"> 2022 </w:t>
      </w:r>
      <w:proofErr w:type="spellStart"/>
      <w:r w:rsidRPr="00D16A87">
        <w:rPr>
          <w:rFonts w:ascii="GHEA Grapalat" w:hAnsi="GHEA Grapalat"/>
        </w:rPr>
        <w:t>թվականի</w:t>
      </w:r>
      <w:proofErr w:type="spellEnd"/>
      <w:r w:rsidRPr="00D16A87">
        <w:rPr>
          <w:rFonts w:ascii="GHEA Grapalat" w:hAnsi="GHEA Grapalat"/>
        </w:rPr>
        <w:t xml:space="preserve"> </w:t>
      </w:r>
      <w:proofErr w:type="spellStart"/>
      <w:r w:rsidRPr="00D16A87">
        <w:rPr>
          <w:rFonts w:ascii="GHEA Grapalat" w:hAnsi="GHEA Grapalat"/>
        </w:rPr>
        <w:t>հոկետմբերի</w:t>
      </w:r>
      <w:proofErr w:type="spellEnd"/>
      <w:r w:rsidRPr="00D16A87">
        <w:rPr>
          <w:rFonts w:ascii="GHEA Grapalat" w:hAnsi="GHEA Grapalat"/>
        </w:rPr>
        <w:t xml:space="preserve"> 13-ի N1601-Ն </w:t>
      </w:r>
      <w:proofErr w:type="spellStart"/>
      <w:r w:rsidRPr="00D16A87">
        <w:rPr>
          <w:rFonts w:ascii="GHEA Grapalat" w:hAnsi="GHEA Grapalat"/>
        </w:rPr>
        <w:t>որոշման</w:t>
      </w:r>
      <w:proofErr w:type="spellEnd"/>
      <w:r w:rsidRPr="00826903">
        <w:rPr>
          <w:rFonts w:ascii="GHEA Grapalat" w:hAnsi="GHEA Grapalat"/>
        </w:rPr>
        <w:t xml:space="preserve"> </w:t>
      </w:r>
      <w:r w:rsidRPr="000B4148">
        <w:rPr>
          <w:rFonts w:ascii="GHEA Grapalat" w:hAnsi="GHEA Grapalat"/>
        </w:rPr>
        <w:t xml:space="preserve">2-րդ </w:t>
      </w:r>
      <w:proofErr w:type="spellStart"/>
      <w:r w:rsidRPr="000B4148">
        <w:rPr>
          <w:rFonts w:ascii="GHEA Grapalat" w:hAnsi="GHEA Grapalat"/>
        </w:rPr>
        <w:t>կետի</w:t>
      </w:r>
      <w:proofErr w:type="spellEnd"/>
      <w:r w:rsidRPr="000B4148">
        <w:rPr>
          <w:rFonts w:ascii="GHEA Grapalat" w:hAnsi="GHEA Grapalat"/>
        </w:rPr>
        <w:t xml:space="preserve"> 6-րդ </w:t>
      </w:r>
      <w:proofErr w:type="spellStart"/>
      <w:r w:rsidRPr="000B4148">
        <w:rPr>
          <w:rFonts w:ascii="GHEA Grapalat" w:hAnsi="GHEA Grapalat"/>
        </w:rPr>
        <w:t>ենթակետի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դրույթները</w:t>
      </w:r>
      <w:proofErr w:type="spellEnd"/>
      <w:r w:rsidRPr="000B4148">
        <w:rPr>
          <w:rFonts w:ascii="GHEA Grapalat" w:hAnsi="GHEA Grapalat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16.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շահառուներին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ուշ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քան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մտնելուց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ընթացակարգով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ծանուցվում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ծանուցումն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կցելով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հաստատող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lastRenderedPageBreak/>
        <w:t>հոկետմբերի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13-ի N1601-Ն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կարգավիճակը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հիմնավորող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պատճենները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իմումները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հաշվառվում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մատյանում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ներկայացրած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ծանուցվում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Ծանուցումն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նրան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չներկայացրած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հրաժարվածներ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>18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բերվող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տարբերակն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ընտրելուց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տարբերակի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մշտական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ուսումնասիրություն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խնդրանքով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19.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18-րդ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ուսումնասիրությունը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կատարում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ստեղծված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խումբը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                    5-օրյա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ւսումնասիրության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կազմ</w:t>
      </w:r>
      <w:r>
        <w:rPr>
          <w:rFonts w:ascii="GHEA Grapalat" w:eastAsia="Times New Roman" w:hAnsi="GHEA Grapalat" w:cs="Times New Roman"/>
          <w:sz w:val="24"/>
          <w:szCs w:val="24"/>
        </w:rPr>
        <w:t>վ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արձանագրություն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</w:t>
      </w:r>
      <w:r>
        <w:rPr>
          <w:rFonts w:ascii="GHEA Grapalat" w:eastAsia="Times New Roman" w:hAnsi="GHEA Grapalat" w:cs="Times New Roman"/>
          <w:sz w:val="24"/>
          <w:szCs w:val="24"/>
        </w:rPr>
        <w:t>վ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20.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19-րդ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արձանագրությունն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բնօրինակներից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մեկը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5-օրյա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աշխատակազմ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նշելով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պատկանող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հաշի</w:t>
      </w:r>
      <w:r>
        <w:rPr>
          <w:rFonts w:ascii="GHEA Grapalat" w:eastAsia="Times New Roman" w:hAnsi="GHEA Grapalat" w:cs="Times New Roman"/>
          <w:sz w:val="24"/>
          <w:szCs w:val="24"/>
        </w:rPr>
        <w:t>վների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վավերապայմանները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</w:t>
      </w:r>
      <w:r w:rsidRPr="00593921">
        <w:rPr>
          <w:rFonts w:ascii="GHEA Grapalat" w:eastAsia="Times New Roman" w:hAnsi="GHEA Grapalat" w:cs="Times New Roman"/>
          <w:sz w:val="24"/>
          <w:szCs w:val="24"/>
        </w:rPr>
        <w:t>ույն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8-րդ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2-րդ</w:t>
      </w:r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կցվում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արժեքի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տարբերությունը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ստացողի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սեփական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միջոցներից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վաճառողի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հաշվեհամարին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փոխանցելու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բանկի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տրված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մուտքի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քաղվածքի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93921">
        <w:rPr>
          <w:rFonts w:ascii="GHEA Grapalat" w:eastAsia="Times New Roman" w:hAnsi="GHEA Grapalat" w:cs="Times New Roman"/>
          <w:sz w:val="24"/>
          <w:szCs w:val="24"/>
        </w:rPr>
        <w:t>պատճենը</w:t>
      </w:r>
      <w:proofErr w:type="spellEnd"/>
      <w:r w:rsidRPr="0059392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21.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բերվող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վճարումը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կատարվում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շահառու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աշխատակազմ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lastRenderedPageBreak/>
        <w:t>ներկայացվելուց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վաճառողի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հաշվեհամարին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գումարի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60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տոկոսին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մնացած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40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տոկոսը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վաճառված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ստորագրված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հանձնման-ընդունման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ակտն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հանձնման-ընդունման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ակտը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միաժամանակ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ներկայացվելու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ամբողջ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ծավալով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22.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ստացած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տարբերակը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բերելու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հիփոթեքային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միջոցներ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ներգրավելու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ցանկություն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հայտնելու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18-րդ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արձանագրությունն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հիփոթեքային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քննարկման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խնդրանքով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23.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22-րդ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5-օրյա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դիմողի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ընտրված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նստացված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դիմումը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միջնորդագիր-գրություն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դիմողին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անշարժ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գույքի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հիփոթեքի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կանխավճար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վաճառողի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Pr="000B4148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24.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միջնորդությունն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ուսումնասիրում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դիմողի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վճարունակության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ուսումնասիրության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լինելու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տեղեկացնում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դիմողին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բացասական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լինելու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տեղեկացնում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մերժման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25.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դրական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անշարժ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գույքի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առուվաճառքի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հիփոթեքի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բնօրինակները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երկօրյա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աշխատակազմ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նշելով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վավերապայմանները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ինչից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lastRenderedPageBreak/>
        <w:t>հաշվեհամարին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վարկառուի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վկայագրում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չափին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F2CBB" w:rsidRDefault="00EF2CBB" w:rsidP="00EF2CBB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9083F" w:rsidRDefault="0069083F"/>
    <w:sectPr w:rsidR="00690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3E"/>
    <w:rsid w:val="00192A3E"/>
    <w:rsid w:val="0069083F"/>
    <w:rsid w:val="00E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F710D-7D37-4659-BC88-A2121D2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EF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EF2C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Musayelyan</dc:creator>
  <cp:keywords/>
  <dc:description/>
  <cp:lastModifiedBy>Heghine Musayelyan</cp:lastModifiedBy>
  <cp:revision>2</cp:revision>
  <dcterms:created xsi:type="dcterms:W3CDTF">2024-03-13T13:49:00Z</dcterms:created>
  <dcterms:modified xsi:type="dcterms:W3CDTF">2024-03-13T13:50:00Z</dcterms:modified>
</cp:coreProperties>
</file>