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B64AE" w14:textId="77777777" w:rsidR="00B709BB" w:rsidRPr="00793B38" w:rsidRDefault="008D02FF" w:rsidP="0077593B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 w:rsidRPr="00206CF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ՆԱԽԱԳԻԾ</w:t>
      </w:r>
    </w:p>
    <w:p w14:paraId="7C8241DF" w14:textId="77777777" w:rsidR="008D02FF" w:rsidRPr="00206CFB" w:rsidRDefault="008D02FF" w:rsidP="0077593B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8"/>
        </w:rPr>
      </w:pPr>
      <w:r w:rsidRPr="00206CFB">
        <w:rPr>
          <w:rFonts w:ascii="GHEA Grapalat" w:eastAsia="Times New Roman" w:hAnsi="GHEA Grapalat" w:cs="Times New Roman"/>
          <w:b/>
          <w:bCs/>
          <w:color w:val="000000"/>
          <w:sz w:val="24"/>
          <w:szCs w:val="28"/>
        </w:rPr>
        <w:t>ՀԱՅԱՍՏԱՆԻ</w:t>
      </w:r>
      <w:r w:rsidRPr="00206CFB">
        <w:rPr>
          <w:rFonts w:ascii="Calibri" w:eastAsia="Times New Roman" w:hAnsi="Calibri" w:cs="Calibri"/>
          <w:b/>
          <w:bCs/>
          <w:color w:val="000000"/>
          <w:sz w:val="24"/>
          <w:szCs w:val="28"/>
        </w:rPr>
        <w:t> </w:t>
      </w:r>
      <w:r w:rsidRPr="00206CFB">
        <w:rPr>
          <w:rFonts w:ascii="GHEA Grapalat" w:eastAsia="Times New Roman" w:hAnsi="GHEA Grapalat" w:cs="Arial Unicode"/>
          <w:b/>
          <w:bCs/>
          <w:color w:val="000000"/>
          <w:sz w:val="24"/>
          <w:szCs w:val="28"/>
        </w:rPr>
        <w:t>ՀԱՆՐԱՊԵՏՈՒԹՅԱՆ</w:t>
      </w:r>
      <w:r w:rsidRPr="00206CFB">
        <w:rPr>
          <w:rFonts w:ascii="GHEA Grapalat" w:eastAsia="Times New Roman" w:hAnsi="GHEA Grapalat" w:cs="Times New Roman"/>
          <w:b/>
          <w:bCs/>
          <w:color w:val="000000"/>
          <w:sz w:val="24"/>
          <w:szCs w:val="28"/>
        </w:rPr>
        <w:t xml:space="preserve"> ԿԱՌԱՎԱՐՈՒԹՅՈՒՆ</w:t>
      </w:r>
    </w:p>
    <w:p w14:paraId="2C25FFF9" w14:textId="77777777" w:rsidR="008D02FF" w:rsidRPr="00206CFB" w:rsidRDefault="008D02FF" w:rsidP="0077593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8"/>
        </w:rPr>
      </w:pPr>
      <w:r w:rsidRPr="00206CFB">
        <w:rPr>
          <w:rFonts w:ascii="GHEA Grapalat" w:eastAsia="Times New Roman" w:hAnsi="GHEA Grapalat" w:cs="Times New Roman"/>
          <w:b/>
          <w:bCs/>
          <w:color w:val="000000"/>
          <w:sz w:val="24"/>
          <w:szCs w:val="28"/>
        </w:rPr>
        <w:t>Ո Ր Ո Շ ՈՒ Մ</w:t>
      </w:r>
    </w:p>
    <w:p w14:paraId="48D9C5F4" w14:textId="77777777" w:rsidR="008D02FF" w:rsidRPr="00206CFB" w:rsidRDefault="008D02FF" w:rsidP="0077593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8"/>
        </w:rPr>
      </w:pPr>
    </w:p>
    <w:p w14:paraId="658BFAF4" w14:textId="40950F95" w:rsidR="008D02FF" w:rsidRPr="00206CFB" w:rsidRDefault="007F5628" w:rsidP="0077593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8"/>
        </w:rPr>
      </w:pPr>
      <w:r>
        <w:rPr>
          <w:rFonts w:ascii="GHEA Grapalat" w:eastAsia="Times New Roman" w:hAnsi="GHEA Grapalat" w:cs="Times New Roman"/>
          <w:color w:val="000000"/>
          <w:sz w:val="24"/>
          <w:szCs w:val="28"/>
        </w:rPr>
        <w:t>«</w:t>
      </w:r>
      <w:r w:rsidR="002075AD">
        <w:rPr>
          <w:rFonts w:ascii="GHEA Grapalat" w:eastAsia="Times New Roman" w:hAnsi="GHEA Grapalat" w:cs="Times New Roman"/>
          <w:color w:val="000000"/>
          <w:sz w:val="24"/>
          <w:szCs w:val="28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8"/>
        </w:rPr>
        <w:t>»</w:t>
      </w:r>
      <w:r w:rsidR="002075AD">
        <w:rPr>
          <w:rFonts w:ascii="GHEA Grapalat" w:eastAsia="Times New Roman" w:hAnsi="GHEA Grapalat" w:cs="Times New Roman"/>
          <w:color w:val="000000"/>
          <w:sz w:val="24"/>
          <w:szCs w:val="28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8"/>
        </w:rPr>
        <w:t>2024</w:t>
      </w:r>
      <w:r w:rsidR="00A818EC" w:rsidRPr="00206CFB">
        <w:rPr>
          <w:rFonts w:ascii="GHEA Grapalat" w:eastAsia="Times New Roman" w:hAnsi="GHEA Grapalat" w:cs="Times New Roman"/>
          <w:color w:val="000000"/>
          <w:sz w:val="24"/>
          <w:szCs w:val="28"/>
        </w:rPr>
        <w:t xml:space="preserve"> </w:t>
      </w:r>
      <w:r w:rsidR="008D02FF" w:rsidRPr="00206CFB">
        <w:rPr>
          <w:rFonts w:ascii="GHEA Grapalat" w:eastAsia="Times New Roman" w:hAnsi="GHEA Grapalat" w:cs="Times New Roman"/>
          <w:color w:val="000000"/>
          <w:sz w:val="24"/>
          <w:szCs w:val="28"/>
        </w:rPr>
        <w:t>թվականի</w:t>
      </w:r>
      <w:r w:rsidR="002075AD">
        <w:rPr>
          <w:rFonts w:ascii="GHEA Grapalat" w:eastAsia="Times New Roman" w:hAnsi="GHEA Grapalat" w:cs="Times New Roman"/>
          <w:color w:val="000000"/>
          <w:sz w:val="24"/>
          <w:szCs w:val="28"/>
        </w:rPr>
        <w:t xml:space="preserve"> </w:t>
      </w:r>
      <w:r w:rsidR="008D02FF" w:rsidRPr="00206CFB">
        <w:rPr>
          <w:rFonts w:ascii="GHEA Grapalat" w:eastAsia="Times New Roman" w:hAnsi="GHEA Grapalat" w:cs="Times New Roman"/>
          <w:color w:val="000000"/>
          <w:sz w:val="24"/>
          <w:szCs w:val="28"/>
        </w:rPr>
        <w:t>N</w:t>
      </w:r>
      <w:r w:rsidR="002075AD">
        <w:rPr>
          <w:rFonts w:ascii="GHEA Grapalat" w:eastAsia="Times New Roman" w:hAnsi="GHEA Grapalat" w:cs="Times New Roman"/>
          <w:color w:val="000000"/>
          <w:sz w:val="24"/>
          <w:szCs w:val="28"/>
        </w:rPr>
        <w:t xml:space="preserve"> </w:t>
      </w:r>
      <w:r w:rsidR="008D02FF" w:rsidRPr="00206CFB">
        <w:rPr>
          <w:rFonts w:ascii="GHEA Grapalat" w:eastAsia="Times New Roman" w:hAnsi="GHEA Grapalat" w:cs="Times New Roman"/>
          <w:color w:val="000000"/>
          <w:sz w:val="24"/>
          <w:szCs w:val="28"/>
        </w:rPr>
        <w:t>-Ն</w:t>
      </w:r>
    </w:p>
    <w:p w14:paraId="46275043" w14:textId="77777777" w:rsidR="008D02FF" w:rsidRPr="00206CFB" w:rsidRDefault="008D02FF" w:rsidP="0077593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8"/>
        </w:rPr>
      </w:pPr>
      <w:r w:rsidRPr="00206CFB">
        <w:rPr>
          <w:rFonts w:ascii="Calibri" w:eastAsia="Times New Roman" w:hAnsi="Calibri" w:cs="Calibri"/>
          <w:color w:val="000000"/>
          <w:sz w:val="24"/>
          <w:szCs w:val="28"/>
        </w:rPr>
        <w:t> </w:t>
      </w:r>
    </w:p>
    <w:p w14:paraId="6D3EEA36" w14:textId="77777777" w:rsidR="008D02FF" w:rsidRPr="0077593B" w:rsidRDefault="008D02FF" w:rsidP="0077593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</w:pPr>
      <w:r w:rsidRPr="0077593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ՀԱՅԱՍՏԱՆԻ </w:t>
      </w:r>
      <w:r w:rsidR="00A818EC" w:rsidRPr="0077593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ՀԱՆՐԱՊԵՏՈՒԹՅԱՆ ԿԱՌԱՎԱՐՈՒԹՅԱՆ 2019</w:t>
      </w:r>
      <w:r w:rsidRPr="0077593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ԹՎԱԿԱՆԻ </w:t>
      </w:r>
      <w:r w:rsidR="00A818EC" w:rsidRPr="0077593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ՄԱՅԻՍԻ 30</w:t>
      </w:r>
      <w:r w:rsidRPr="0077593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-Ի</w:t>
      </w:r>
      <w:r w:rsidRPr="0077593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77593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N </w:t>
      </w:r>
      <w:r w:rsidR="00A818EC" w:rsidRPr="0077593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685</w:t>
      </w:r>
      <w:r w:rsidRPr="0077593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-</w:t>
      </w:r>
      <w:r w:rsidRPr="0077593B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Ն</w:t>
      </w:r>
      <w:r w:rsidRPr="0077593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77593B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ՈՐՈՇ</w:t>
      </w:r>
      <w:r w:rsidR="00A818EC" w:rsidRPr="0077593B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 xml:space="preserve">ՄԱՆ ՄԵՋ ՓՈՓՈԽՈՒԹՅՈՒՆՆԵՐ ԿԱՏԱՐԵԼՈՒ </w:t>
      </w:r>
      <w:r w:rsidRPr="0077593B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ՄԱՍԻՆ</w:t>
      </w:r>
    </w:p>
    <w:p w14:paraId="21AC0B96" w14:textId="77777777" w:rsidR="008D02FF" w:rsidRPr="0077593B" w:rsidRDefault="008D02FF" w:rsidP="0077593B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6045379B" w14:textId="77777777" w:rsidR="008D02FF" w:rsidRPr="0077593B" w:rsidRDefault="008D02FF" w:rsidP="0077593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Հիմք ընդունելով </w:t>
      </w:r>
      <w:r w:rsidR="00FC4E22"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>«Նորմատիվ իրավական</w:t>
      </w:r>
      <w:r w:rsidR="00206CFB"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ակտերի մասին» օրենքի 33-րդ և </w:t>
      </w:r>
      <w:r w:rsidR="00FC4E22"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>34-րդ հոդվածները`</w:t>
      </w:r>
      <w:r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Հայաստանի Հանրապետության կառավարությունը</w:t>
      </w:r>
      <w:r w:rsidRPr="0077593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 </w:t>
      </w:r>
      <w:r w:rsidRPr="0077593B">
        <w:rPr>
          <w:rFonts w:ascii="GHEA Grapalat" w:eastAsia="Times New Roman" w:hAnsi="GHEA Grapalat" w:cs="Arial Unicode"/>
          <w:b/>
          <w:bCs/>
          <w:i/>
          <w:iCs/>
          <w:color w:val="000000"/>
          <w:sz w:val="24"/>
          <w:szCs w:val="24"/>
        </w:rPr>
        <w:t>որոշում</w:t>
      </w:r>
      <w:r w:rsidRPr="0077593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77593B">
        <w:rPr>
          <w:rFonts w:ascii="GHEA Grapalat" w:eastAsia="Times New Roman" w:hAnsi="GHEA Grapalat" w:cs="Arial Unicode"/>
          <w:b/>
          <w:bCs/>
          <w:i/>
          <w:iCs/>
          <w:color w:val="000000"/>
          <w:sz w:val="24"/>
          <w:szCs w:val="24"/>
        </w:rPr>
        <w:t>է</w:t>
      </w:r>
      <w:r w:rsidRPr="0077593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.</w:t>
      </w:r>
    </w:p>
    <w:p w14:paraId="5A732566" w14:textId="161FD4BA" w:rsidR="008D02FF" w:rsidRPr="0077593B" w:rsidRDefault="008D02FF" w:rsidP="0077593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>1. Հայաստանի Հանրապետության կառավարության 2019 թվականի մայիսի 30-ի «Դ</w:t>
      </w:r>
      <w:r w:rsidRPr="0077593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ատավորի պաշտոնում նշանակմանը խոչընդոտող ֆիզիկական արատների և հիվանդությունների ցանկը, դատավորի պաշտոնում նշանակմանը խոչընդոտող ֆիզիկական արատների և հիվանդությունների բացակայության մասին տրամադրվող տեղեկանքի ձ</w:t>
      </w:r>
      <w:r w:rsidR="009038E6" w:rsidRPr="0077593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և</w:t>
      </w:r>
      <w:r w:rsidRPr="0077593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ը, դատավորի պաշտոնում նշանակմանը խոչընդոտող ֆիզիկական արատների և հիվանդությունների բացակայության մասին տեղեկանք տրամադրելու կարգը սահմանելու և Հայաստանի Հանրապե</w:t>
      </w:r>
      <w:bookmarkStart w:id="0" w:name="_GoBack"/>
      <w:bookmarkEnd w:id="0"/>
      <w:r w:rsidRPr="0077593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տության կառավարության 2007 թվականի հոկտեմբերի 11-ի</w:t>
      </w:r>
      <w:r w:rsidRPr="0077593B">
        <w:rPr>
          <w:rFonts w:ascii="Calibri" w:eastAsia="Times New Roman" w:hAnsi="Calibri" w:cs="Calibri"/>
          <w:bCs/>
          <w:color w:val="000000"/>
          <w:sz w:val="24"/>
          <w:szCs w:val="24"/>
        </w:rPr>
        <w:t> </w:t>
      </w:r>
      <w:r w:rsidRPr="0077593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N 1184-</w:t>
      </w:r>
      <w:r w:rsidRPr="0077593B">
        <w:rPr>
          <w:rFonts w:ascii="GHEA Grapalat" w:eastAsia="Times New Roman" w:hAnsi="GHEA Grapalat" w:cs="Arial Unicode"/>
          <w:bCs/>
          <w:color w:val="000000"/>
          <w:sz w:val="24"/>
          <w:szCs w:val="24"/>
        </w:rPr>
        <w:t>Ն</w:t>
      </w:r>
      <w:r w:rsidRPr="0077593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r w:rsidRPr="0077593B">
        <w:rPr>
          <w:rFonts w:ascii="GHEA Grapalat" w:eastAsia="Times New Roman" w:hAnsi="GHEA Grapalat" w:cs="Arial Unicode"/>
          <w:bCs/>
          <w:color w:val="000000"/>
          <w:sz w:val="24"/>
          <w:szCs w:val="24"/>
        </w:rPr>
        <w:t>որոշումը</w:t>
      </w:r>
      <w:r w:rsidRPr="0077593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r w:rsidRPr="0077593B">
        <w:rPr>
          <w:rFonts w:ascii="GHEA Grapalat" w:eastAsia="Times New Roman" w:hAnsi="GHEA Grapalat" w:cs="Arial Unicode"/>
          <w:bCs/>
          <w:color w:val="000000"/>
          <w:sz w:val="24"/>
          <w:szCs w:val="24"/>
        </w:rPr>
        <w:t>ուժը</w:t>
      </w:r>
      <w:r w:rsidRPr="0077593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r w:rsidRPr="0077593B">
        <w:rPr>
          <w:rFonts w:ascii="GHEA Grapalat" w:eastAsia="Times New Roman" w:hAnsi="GHEA Grapalat" w:cs="Arial Unicode"/>
          <w:bCs/>
          <w:color w:val="000000"/>
          <w:sz w:val="24"/>
          <w:szCs w:val="24"/>
        </w:rPr>
        <w:t>կորցրած</w:t>
      </w:r>
      <w:r w:rsidRPr="0077593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r w:rsidRPr="0077593B">
        <w:rPr>
          <w:rFonts w:ascii="GHEA Grapalat" w:eastAsia="Times New Roman" w:hAnsi="GHEA Grapalat" w:cs="Arial Unicode"/>
          <w:bCs/>
          <w:color w:val="000000"/>
          <w:sz w:val="24"/>
          <w:szCs w:val="24"/>
        </w:rPr>
        <w:t>ճանաչելու</w:t>
      </w:r>
      <w:r w:rsidRPr="0077593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r w:rsidRPr="0077593B">
        <w:rPr>
          <w:rFonts w:ascii="GHEA Grapalat" w:eastAsia="Times New Roman" w:hAnsi="GHEA Grapalat" w:cs="Arial Unicode"/>
          <w:bCs/>
          <w:color w:val="000000"/>
          <w:sz w:val="24"/>
          <w:szCs w:val="24"/>
        </w:rPr>
        <w:t>մասին» թիվ 685-Ն որոշման մեջ կատարել հետևյալ փոփոխությունները</w:t>
      </w:r>
      <w:r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</w:p>
    <w:p w14:paraId="0E6EB012" w14:textId="77777777" w:rsidR="008D02FF" w:rsidRPr="0077593B" w:rsidRDefault="00FC4E22" w:rsidP="0077593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1) </w:t>
      </w:r>
      <w:r w:rsidR="008D02FF"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>վերնագիրը շարադրել հետևյալ խմբագրությամբ.</w:t>
      </w:r>
    </w:p>
    <w:p w14:paraId="4765593D" w14:textId="77777777" w:rsidR="008D02FF" w:rsidRPr="0077593B" w:rsidRDefault="008D02FF" w:rsidP="0077593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r w:rsidR="00A95A84"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>ԴԱՏԱՎՈՐԻ ՊԱՇՏՈՆՈՒՄ ՆՇԱՆԱԿՄԱՆԸ, ՆՇԱՆԱԿՎԵԼՈՒՑ ՀԵՏՈ ՊԱՇՏՈՆԱՎԱՐՄԱՆԸ ԽՈՉԸՆԴՈՏՈՂ ՀԻՎԱՆԴՈՒԹՅՈՒՆՆԵՐԻ ԵՎ ՎԻՃԱԿՆԵՐԻ ՑԱՆԿԸ</w:t>
      </w:r>
      <w:r w:rsidR="00754B24"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A95A84"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>ԴԱՏԱՎՈՐԻ ՊԱՇՏՈՆՈՒՄ ՆՇԱՆԱԿՄԱՆԸ, ՆՇԱՆԱԿՎԵԼՈՒՑ ՀԵՏՈ ՊԱՇՏՈՆԱՎԱՐՄԱՆԸ ԽՈՉԸՆԴՈՏՈՂ ՀԻՎԱՆԴՈՒԹՅՈՒՆՆԵՐԻ ԵՎ ՎԻՃԱԿՆԵՐԻ ԲԱՑԱԿԱՅՈՒԹՅԱՆ ՄԱՍԻՆ ՓԱՍՏԱԹՂԹԻ ՁԵՎԸ</w:t>
      </w:r>
      <w:r w:rsidR="00754B24"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040683"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>ԴԱՏԱՎՈՐԻ ԹԵԿՆԱԾՈՒԻ ՀԱՎԱԿՆՈՐԴԻ ԿԱՄ ԴԱՏԱՎՈՐԻ ԹԵԿՆԱԾՈՒԻ ԿԱՄ ԴԱՏԱՎՈՐԻ ԲԺՇԿԱԿԱՆ ԶՆՆՈՒԹՅԱՆ ԻՐԱԿԱՆԱՑՄԱՆ</w:t>
      </w:r>
      <w:r w:rsidR="00A95A84"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ԿԱՐԳԸ </w:t>
      </w:r>
      <w:r w:rsidR="00754B24"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ՍԱՀՄԱՆԵԼՈՒ ԵՎ ՀԱՅԱՍՏԱՆԻ ՀԱՆՐԱՊԵՏՈՒԹՅԱՆ ԿԱՌԱՎԱՐՈՒԹՅԱՆ 2007 ԹՎԱԿԱՆԻ ՀՈԿՏԵՄԲԵՐԻ 11-Ի N 1184-Ն ՈՐՈՇՈՒՄԸ ՈՒԺԸ ԿՈՐՑՐԱԾ ՃԱՆԱՉԵԼՈՒ ՄԱՍԻՆ»</w:t>
      </w:r>
      <w:r w:rsidR="001F021C"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161D4391" w14:textId="519C0EF9" w:rsidR="00B709BB" w:rsidRPr="0077593B" w:rsidRDefault="00B709BB" w:rsidP="0077593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 xml:space="preserve">2) 1-ին կետը շարադրել </w:t>
      </w:r>
      <w:r w:rsidR="001F021C"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նոր </w:t>
      </w:r>
      <w:r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>խմբագրությամբ.</w:t>
      </w:r>
    </w:p>
    <w:p w14:paraId="7BB5D34F" w14:textId="77777777" w:rsidR="00B709BB" w:rsidRPr="0077593B" w:rsidRDefault="00B709BB" w:rsidP="0077593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>«1.</w:t>
      </w:r>
      <w:r w:rsidRPr="0077593B">
        <w:rPr>
          <w:rFonts w:ascii="GHEA Grapalat" w:hAnsi="GHEA Grapalat"/>
          <w:sz w:val="24"/>
          <w:szCs w:val="24"/>
        </w:rPr>
        <w:t xml:space="preserve"> </w:t>
      </w:r>
      <w:r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Սահմանել՝ </w:t>
      </w:r>
    </w:p>
    <w:p w14:paraId="09788267" w14:textId="77777777" w:rsidR="008D02FF" w:rsidRPr="0077593B" w:rsidRDefault="00B709BB" w:rsidP="0077593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>1) դատավորի պաշտոնում նշանակմանը, նշանակվելուց հետո պաշտոնավարմանը խոչընդոտող հիվանդությունների և վիճակների ցանկը</w:t>
      </w:r>
      <w:r w:rsidR="008D02FF"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>` համաձայն N 1 հավելվածի.</w:t>
      </w:r>
    </w:p>
    <w:p w14:paraId="6F2F50E7" w14:textId="77777777" w:rsidR="008D02FF" w:rsidRPr="0077593B" w:rsidRDefault="008D02FF" w:rsidP="0077593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2) </w:t>
      </w:r>
      <w:r w:rsidR="00B709BB"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>դատավորի պաշտոնում նշանակմանը, նշանակվելուց հետո պաշտոնավարմանը խոչընդոտող հիվանդությունների և վիճակների բացակայության մասին</w:t>
      </w:r>
      <w:r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B709BB"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փաստաթղթի </w:t>
      </w:r>
      <w:r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>ձևը՝ համաձայն N 2 հավելվածի.</w:t>
      </w:r>
    </w:p>
    <w:p w14:paraId="053FA38F" w14:textId="77777777" w:rsidR="008D02FF" w:rsidRPr="0077593B" w:rsidRDefault="008D02FF" w:rsidP="0077593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3) </w:t>
      </w:r>
      <w:r w:rsidR="006A4C53"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դատավորի թեկնածուի հավակնորդի կամ դատավորի թեկնածուի կամ դատավորի բժշկական զննության իրականացման </w:t>
      </w:r>
      <w:r w:rsidR="00B709BB"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>կարգը</w:t>
      </w:r>
      <w:r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>` համաձայն N 3 հավելվածի:</w:t>
      </w:r>
      <w:r w:rsidR="00FC4E22"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>».</w:t>
      </w:r>
    </w:p>
    <w:p w14:paraId="75725F51" w14:textId="77777777" w:rsidR="00FC4E22" w:rsidRPr="0077593B" w:rsidRDefault="00FC4E22" w:rsidP="0077593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>3) հավելված N 1-ը շարադրել նոր խմբագրությամբ` համաձայն N 1 հավելվածի.</w:t>
      </w:r>
    </w:p>
    <w:p w14:paraId="3FBF935F" w14:textId="77777777" w:rsidR="00FC4E22" w:rsidRPr="0077593B" w:rsidRDefault="00FC4E22" w:rsidP="0077593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>4) հավելված N 2-ը շարադրել նոր խմբագրությամբ` համաձայն N 2 հավելվածի.</w:t>
      </w:r>
    </w:p>
    <w:p w14:paraId="3385818C" w14:textId="77777777" w:rsidR="00FC4E22" w:rsidRPr="0077593B" w:rsidRDefault="00FC4E22" w:rsidP="0077593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>5) հավելված N 3-ը շարադրել նոր խմբագրությամբ` համաձայն N 3 հավելվածի:</w:t>
      </w:r>
    </w:p>
    <w:p w14:paraId="6136F0B2" w14:textId="073B058B" w:rsidR="0077593B" w:rsidRPr="00206CFB" w:rsidRDefault="008D02FF" w:rsidP="0077593B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Calibri"/>
          <w:color w:val="000000"/>
          <w:sz w:val="21"/>
          <w:szCs w:val="21"/>
        </w:rPr>
      </w:pPr>
      <w:r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 Սույն որոշումն ուժի մեջ է մտնում պաշտոնական հրապարակմանը </w:t>
      </w:r>
      <w:r w:rsidR="0039554B"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>հաջորդող տասներորդ օրը:</w:t>
      </w:r>
    </w:p>
    <w:p w14:paraId="13BCC9FD" w14:textId="77777777" w:rsidR="006A4C53" w:rsidRPr="00206CFB" w:rsidRDefault="006A4C53" w:rsidP="0077593B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Calibri"/>
          <w:color w:val="000000"/>
          <w:sz w:val="21"/>
          <w:szCs w:val="21"/>
        </w:rPr>
      </w:pPr>
    </w:p>
    <w:sectPr w:rsidR="006A4C53" w:rsidRPr="00206CFB" w:rsidSect="002075AD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B2F2C"/>
    <w:multiLevelType w:val="hybridMultilevel"/>
    <w:tmpl w:val="A41E88F6"/>
    <w:lvl w:ilvl="0" w:tplc="9FBECF9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58F"/>
    <w:rsid w:val="00026543"/>
    <w:rsid w:val="00040683"/>
    <w:rsid w:val="000D0C2A"/>
    <w:rsid w:val="000D441E"/>
    <w:rsid w:val="000F32EF"/>
    <w:rsid w:val="001D1518"/>
    <w:rsid w:val="001F021C"/>
    <w:rsid w:val="001F129A"/>
    <w:rsid w:val="0020467B"/>
    <w:rsid w:val="00206CFB"/>
    <w:rsid w:val="002075AD"/>
    <w:rsid w:val="00241735"/>
    <w:rsid w:val="00295157"/>
    <w:rsid w:val="002A02EF"/>
    <w:rsid w:val="002C6E52"/>
    <w:rsid w:val="002D1B01"/>
    <w:rsid w:val="002E699A"/>
    <w:rsid w:val="00315148"/>
    <w:rsid w:val="0032365D"/>
    <w:rsid w:val="00365E3A"/>
    <w:rsid w:val="00375D5F"/>
    <w:rsid w:val="0039554B"/>
    <w:rsid w:val="004B7109"/>
    <w:rsid w:val="005701FC"/>
    <w:rsid w:val="005C1425"/>
    <w:rsid w:val="005C2DF0"/>
    <w:rsid w:val="0060182F"/>
    <w:rsid w:val="00602BA5"/>
    <w:rsid w:val="0063540C"/>
    <w:rsid w:val="006614B9"/>
    <w:rsid w:val="00662C31"/>
    <w:rsid w:val="0067655B"/>
    <w:rsid w:val="006A4C53"/>
    <w:rsid w:val="006B2D9E"/>
    <w:rsid w:val="006C3C3B"/>
    <w:rsid w:val="006C4536"/>
    <w:rsid w:val="007543EC"/>
    <w:rsid w:val="00754B24"/>
    <w:rsid w:val="0077593B"/>
    <w:rsid w:val="00792701"/>
    <w:rsid w:val="00793B38"/>
    <w:rsid w:val="007C3AE6"/>
    <w:rsid w:val="007D554F"/>
    <w:rsid w:val="007F5628"/>
    <w:rsid w:val="008C212D"/>
    <w:rsid w:val="008D02FF"/>
    <w:rsid w:val="008E5003"/>
    <w:rsid w:val="009038E6"/>
    <w:rsid w:val="00967D66"/>
    <w:rsid w:val="0099775E"/>
    <w:rsid w:val="009A31E9"/>
    <w:rsid w:val="009B5FEF"/>
    <w:rsid w:val="009C4C10"/>
    <w:rsid w:val="009F7D91"/>
    <w:rsid w:val="00A25876"/>
    <w:rsid w:val="00A818EC"/>
    <w:rsid w:val="00A82AD7"/>
    <w:rsid w:val="00A87BCF"/>
    <w:rsid w:val="00A95A84"/>
    <w:rsid w:val="00B34018"/>
    <w:rsid w:val="00B709BB"/>
    <w:rsid w:val="00BA1893"/>
    <w:rsid w:val="00BA6F94"/>
    <w:rsid w:val="00BC60F3"/>
    <w:rsid w:val="00C21CAC"/>
    <w:rsid w:val="00C82B8C"/>
    <w:rsid w:val="00CB1966"/>
    <w:rsid w:val="00CB1EB2"/>
    <w:rsid w:val="00CB49FE"/>
    <w:rsid w:val="00CC1F11"/>
    <w:rsid w:val="00CC3DE7"/>
    <w:rsid w:val="00CD4493"/>
    <w:rsid w:val="00CF45BB"/>
    <w:rsid w:val="00CF5818"/>
    <w:rsid w:val="00D00956"/>
    <w:rsid w:val="00D03795"/>
    <w:rsid w:val="00D2258F"/>
    <w:rsid w:val="00D67B42"/>
    <w:rsid w:val="00D91843"/>
    <w:rsid w:val="00DB0C5F"/>
    <w:rsid w:val="00E17149"/>
    <w:rsid w:val="00EA0867"/>
    <w:rsid w:val="00EA3D8D"/>
    <w:rsid w:val="00EB32A3"/>
    <w:rsid w:val="00EB52BD"/>
    <w:rsid w:val="00EB6233"/>
    <w:rsid w:val="00F25BFE"/>
    <w:rsid w:val="00F824D5"/>
    <w:rsid w:val="00FC4E22"/>
    <w:rsid w:val="00FC59C8"/>
    <w:rsid w:val="00F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312E4"/>
  <w15:chartTrackingRefBased/>
  <w15:docId w15:val="{85E8B87F-5490-4449-9785-DFAA55E41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F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C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CAC"/>
    <w:rPr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CAC"/>
    <w:rPr>
      <w:b/>
      <w:bCs/>
      <w:sz w:val="20"/>
      <w:szCs w:val="20"/>
      <w:lang w:val="hy-AM"/>
    </w:rPr>
  </w:style>
  <w:style w:type="paragraph" w:styleId="Revision">
    <w:name w:val="Revision"/>
    <w:hidden/>
    <w:uiPriority w:val="99"/>
    <w:semiHidden/>
    <w:rsid w:val="00C21CAC"/>
    <w:pPr>
      <w:spacing w:after="0" w:line="240" w:lineRule="auto"/>
    </w:pPr>
    <w:rPr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CAC"/>
    <w:rPr>
      <w:rFonts w:ascii="Segoe UI" w:hAnsi="Segoe UI" w:cs="Segoe UI"/>
      <w:sz w:val="18"/>
      <w:szCs w:val="18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7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Barseghyan</dc:creator>
  <cp:keywords>https:/mul2-moh.gov.am/tasks/620699/oneclick/b58bbecf9a0cc04cb58da72a9c2b7b647c54c67f5a92667f4cb8f13705360c59.docx?token=525cbb53f9cafa2f9d5bf11556c84b5d</cp:keywords>
  <dc:description/>
  <cp:lastModifiedBy>MOH</cp:lastModifiedBy>
  <cp:revision>3</cp:revision>
  <cp:lastPrinted>2023-12-15T12:28:00Z</cp:lastPrinted>
  <dcterms:created xsi:type="dcterms:W3CDTF">2024-02-19T11:30:00Z</dcterms:created>
  <dcterms:modified xsi:type="dcterms:W3CDTF">2024-02-19T11:39:00Z</dcterms:modified>
</cp:coreProperties>
</file>