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3D25A" w14:textId="77777777" w:rsidR="0017270B" w:rsidRPr="009A6B0B" w:rsidRDefault="0017270B" w:rsidP="0017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4F99752" w14:textId="77777777" w:rsidR="0017270B" w:rsidRPr="009A6B0B" w:rsidRDefault="0017270B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62EE958" w14:textId="77777777" w:rsidR="00C11297" w:rsidRPr="009A6B0B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0BADCE5" w14:textId="77777777" w:rsidR="00C11297" w:rsidRPr="009A6B0B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BB8DD7D" w14:textId="77777777" w:rsidR="00C11297" w:rsidRPr="009A6B0B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1E15C2E7" w14:textId="77777777" w:rsidR="00C11297" w:rsidRPr="009A6B0B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E2E9A1" w14:textId="4B8613AB" w:rsidR="00C11297" w:rsidRPr="009A6B0B" w:rsidRDefault="005913AA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02BF4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02B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02B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_________ </w:t>
      </w:r>
      <w:r w:rsidR="005420CF">
        <w:rPr>
          <w:rFonts w:ascii="GHEA Grapalat" w:eastAsia="Times New Roman" w:hAnsi="GHEA Grapalat" w:cs="Times New Roman"/>
          <w:color w:val="000000"/>
          <w:sz w:val="24"/>
          <w:szCs w:val="24"/>
        </w:rPr>
        <w:t>2024</w:t>
      </w:r>
      <w:r w:rsidR="0017270B"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</w:t>
      </w:r>
      <w:r w:rsidR="00B5219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219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B5219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B5219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1314E8"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>N -</w:t>
      </w:r>
      <w:r w:rsidR="001314E8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0860901F" w14:textId="77777777" w:rsidR="001314E8" w:rsidRPr="009A6B0B" w:rsidRDefault="001314E8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298F2D" w14:textId="77777777" w:rsidR="00C11297" w:rsidRPr="009A6B0B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C66B706" w14:textId="358F2EA9" w:rsidR="00C11297" w:rsidRPr="009A6B0B" w:rsidRDefault="00C11297" w:rsidP="001314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8261EE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 201</w:t>
      </w:r>
      <w:r w:rsidR="002E025D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</w:t>
      </w:r>
      <w:r w:rsidR="00AB7B5B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8261EE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ԴԵԿՏԵՄԲԵՐԻ 2</w:t>
      </w:r>
      <w:r w:rsidR="008261EE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-Ի N 1</w:t>
      </w:r>
      <w:r w:rsidR="002E025D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698</w:t>
      </w:r>
      <w:r w:rsidR="00BB4485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2E025D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BB4485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</w:t>
      </w:r>
      <w:r w:rsidR="00B7184A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 ՄԵՋ ՓՈՓ</w:t>
      </w:r>
      <w:r w:rsidR="000B29EA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</w:t>
      </w:r>
      <w:r w:rsidR="00B7184A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ԽՈՒԹՅՈՒՆ</w:t>
      </w:r>
      <w:r w:rsidR="002E025D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ՆԵՐ </w:t>
      </w:r>
      <w:r w:rsidR="00B7184A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</w:t>
      </w:r>
      <w:r w:rsidR="00B5219A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B4485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14:paraId="2B881675" w14:textId="77777777" w:rsidR="00C11297" w:rsidRPr="009A6B0B" w:rsidRDefault="00C11297" w:rsidP="001314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373DDE6" w14:textId="1FFC6B35" w:rsidR="00AC37B4" w:rsidRPr="009A6B0B" w:rsidRDefault="00C11297" w:rsidP="00AC37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ընդունելով</w:t>
      </w:r>
      <w:r w:rsidR="00AC37B4" w:rsidRPr="009A6B0B">
        <w:rPr>
          <w:rFonts w:ascii="GHEA Grapalat" w:hAnsi="GHEA Grapalat" w:cs="Arial"/>
          <w:sz w:val="24"/>
          <w:szCs w:val="24"/>
          <w:lang w:val="hy-AM"/>
        </w:rPr>
        <w:t>,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2E4C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«Աշխատանքային օրենսգրքի» 18</w:t>
      </w:r>
      <w:r w:rsidR="008261EE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</w:t>
      </w:r>
      <w:r w:rsidR="003D2E4C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261EE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մասը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5219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«Նորմատիվ իրավական ակտերի մասին» Հա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յաստանի Հանրապետության օրենքի </w:t>
      </w:r>
      <w:r w:rsidR="008261EE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33-րդ</w:t>
      </w:r>
      <w:r w:rsidR="009509C1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8261EE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34-րդ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</w:t>
      </w:r>
      <w:r w:rsidR="008261EE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</w:t>
      </w:r>
      <w:r w:rsidR="00BB4485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9A6B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A6B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16F8AF8A" w14:textId="77777777" w:rsidR="00AC37B4" w:rsidRPr="009A6B0B" w:rsidRDefault="00AC37B4" w:rsidP="00AC37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0B3B3324" w14:textId="725F0529" w:rsidR="00AC37B4" w:rsidRPr="009A6B0B" w:rsidRDefault="008261EE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>1.</w:t>
      </w:r>
      <w:r w:rsidR="00550FDE" w:rsidRPr="009A6B0B">
        <w:rPr>
          <w:rFonts w:ascii="GHEA Grapalat" w:hAnsi="GHEA Grapalat"/>
          <w:color w:val="000000"/>
          <w:lang w:val="hy-AM"/>
        </w:rPr>
        <w:t xml:space="preserve"> </w:t>
      </w:r>
      <w:r w:rsidR="00C11297" w:rsidRPr="009A6B0B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1314E8" w:rsidRPr="009A6B0B">
        <w:rPr>
          <w:rFonts w:ascii="GHEA Grapalat" w:hAnsi="GHEA Grapalat"/>
          <w:color w:val="000000"/>
          <w:lang w:val="hy-AM"/>
        </w:rPr>
        <w:t>կառավարության 201</w:t>
      </w:r>
      <w:r w:rsidR="003617F8" w:rsidRPr="009A6B0B">
        <w:rPr>
          <w:rFonts w:ascii="GHEA Grapalat" w:hAnsi="GHEA Grapalat"/>
          <w:color w:val="000000"/>
          <w:lang w:val="hy-AM"/>
        </w:rPr>
        <w:t>0</w:t>
      </w:r>
      <w:r w:rsidR="00C11297" w:rsidRPr="009A6B0B">
        <w:rPr>
          <w:rFonts w:ascii="GHEA Grapalat" w:hAnsi="GHEA Grapalat"/>
          <w:color w:val="000000"/>
          <w:lang w:val="hy-AM"/>
        </w:rPr>
        <w:t xml:space="preserve"> թվականի </w:t>
      </w:r>
      <w:r w:rsidRPr="009A6B0B">
        <w:rPr>
          <w:rFonts w:ascii="GHEA Grapalat" w:hAnsi="GHEA Grapalat"/>
          <w:color w:val="000000"/>
          <w:lang w:val="hy-AM"/>
        </w:rPr>
        <w:t>դեկտեմբերի 2</w:t>
      </w:r>
      <w:r w:rsidR="00C11297" w:rsidRPr="009A6B0B">
        <w:rPr>
          <w:rFonts w:ascii="GHEA Grapalat" w:hAnsi="GHEA Grapalat"/>
          <w:color w:val="000000"/>
          <w:lang w:val="hy-AM"/>
        </w:rPr>
        <w:t>-ի «</w:t>
      </w:r>
      <w:r w:rsidR="003617F8" w:rsidRPr="009A6B0B">
        <w:rPr>
          <w:rFonts w:ascii="GHEA Grapalat" w:hAnsi="GHEA Grapalat"/>
          <w:bCs/>
          <w:lang w:val="hy-AM"/>
        </w:rPr>
        <w:t xml:space="preserve">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</w:t>
      </w:r>
      <w:r w:rsidR="00F05E2B" w:rsidRPr="009A6B0B">
        <w:rPr>
          <w:rFonts w:ascii="GHEA Grapalat" w:hAnsi="GHEA Grapalat"/>
          <w:bCs/>
          <w:lang w:val="hy-AM"/>
        </w:rPr>
        <w:t>Հ</w:t>
      </w:r>
      <w:r w:rsidR="003617F8" w:rsidRPr="009A6B0B">
        <w:rPr>
          <w:rFonts w:ascii="GHEA Grapalat" w:hAnsi="GHEA Grapalat"/>
          <w:bCs/>
          <w:lang w:val="hy-AM"/>
        </w:rPr>
        <w:t xml:space="preserve">այաստանի </w:t>
      </w:r>
      <w:r w:rsidR="00F05E2B" w:rsidRPr="009A6B0B">
        <w:rPr>
          <w:rFonts w:ascii="GHEA Grapalat" w:hAnsi="GHEA Grapalat"/>
          <w:bCs/>
          <w:lang w:val="hy-AM"/>
        </w:rPr>
        <w:t>Հ</w:t>
      </w:r>
      <w:r w:rsidR="003617F8" w:rsidRPr="009A6B0B">
        <w:rPr>
          <w:rFonts w:ascii="GHEA Grapalat" w:hAnsi="GHEA Grapalat"/>
          <w:bCs/>
          <w:lang w:val="hy-AM"/>
        </w:rPr>
        <w:t>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 մի շարք որոշումներ ուժը կորցրած ճանաչելու մասին</w:t>
      </w:r>
      <w:r w:rsidR="001314E8" w:rsidRPr="009A6B0B">
        <w:rPr>
          <w:rFonts w:ascii="GHEA Grapalat" w:hAnsi="GHEA Grapalat"/>
          <w:color w:val="000000"/>
          <w:lang w:val="hy-AM"/>
        </w:rPr>
        <w:t>» N 1</w:t>
      </w:r>
      <w:r w:rsidR="003617F8" w:rsidRPr="009A6B0B">
        <w:rPr>
          <w:rFonts w:ascii="GHEA Grapalat" w:hAnsi="GHEA Grapalat"/>
          <w:color w:val="000000"/>
          <w:lang w:val="hy-AM"/>
        </w:rPr>
        <w:t>698</w:t>
      </w:r>
      <w:r w:rsidR="00AB7B5B" w:rsidRPr="009A6B0B">
        <w:rPr>
          <w:rFonts w:ascii="GHEA Grapalat" w:hAnsi="GHEA Grapalat"/>
          <w:color w:val="000000"/>
          <w:lang w:val="hy-AM"/>
        </w:rPr>
        <w:t>-Ն</w:t>
      </w:r>
      <w:r w:rsidRPr="009A6B0B">
        <w:rPr>
          <w:rFonts w:ascii="GHEA Grapalat" w:hAnsi="GHEA Grapalat"/>
          <w:color w:val="000000"/>
          <w:lang w:val="hy-AM"/>
        </w:rPr>
        <w:t xml:space="preserve"> որոշման մեջ կատարել </w:t>
      </w:r>
      <w:r w:rsidR="003617F8" w:rsidRPr="009A6B0B">
        <w:rPr>
          <w:rFonts w:ascii="GHEA Grapalat" w:hAnsi="GHEA Grapalat"/>
          <w:color w:val="000000"/>
          <w:lang w:val="hy-AM"/>
        </w:rPr>
        <w:t xml:space="preserve">հետևյալ </w:t>
      </w:r>
      <w:r w:rsidRPr="009A6B0B">
        <w:rPr>
          <w:rFonts w:ascii="GHEA Grapalat" w:hAnsi="GHEA Grapalat"/>
          <w:color w:val="000000"/>
          <w:lang w:val="hy-AM"/>
        </w:rPr>
        <w:t>փոփ</w:t>
      </w:r>
      <w:r w:rsidR="005913AA" w:rsidRPr="009A6B0B">
        <w:rPr>
          <w:rFonts w:ascii="GHEA Grapalat" w:hAnsi="GHEA Grapalat"/>
          <w:color w:val="000000"/>
          <w:lang w:val="hy-AM"/>
        </w:rPr>
        <w:t>ո</w:t>
      </w:r>
      <w:r w:rsidRPr="009A6B0B">
        <w:rPr>
          <w:rFonts w:ascii="GHEA Grapalat" w:hAnsi="GHEA Grapalat"/>
          <w:color w:val="000000"/>
          <w:lang w:val="hy-AM"/>
        </w:rPr>
        <w:t>խություն</w:t>
      </w:r>
      <w:r w:rsidR="00CC09EE">
        <w:rPr>
          <w:rFonts w:ascii="GHEA Grapalat" w:hAnsi="GHEA Grapalat"/>
          <w:color w:val="000000"/>
          <w:lang w:val="hy-AM"/>
        </w:rPr>
        <w:t>ները</w:t>
      </w:r>
      <w:r w:rsidR="003617F8" w:rsidRPr="009A6B0B">
        <w:rPr>
          <w:rFonts w:ascii="GHEA Grapalat" w:hAnsi="GHEA Grapalat"/>
          <w:color w:val="000000"/>
          <w:lang w:val="hy-AM"/>
        </w:rPr>
        <w:t>.</w:t>
      </w:r>
    </w:p>
    <w:p w14:paraId="5EE82616" w14:textId="74FAA182" w:rsidR="008261EE" w:rsidRPr="009A6B0B" w:rsidRDefault="008261EE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 xml:space="preserve">1) որոշման </w:t>
      </w:r>
      <w:r w:rsidR="00775D2A" w:rsidRPr="009A6B0B">
        <w:rPr>
          <w:rFonts w:ascii="GHEA Grapalat" w:hAnsi="GHEA Grapalat"/>
          <w:color w:val="000000"/>
          <w:lang w:val="hy-AM"/>
        </w:rPr>
        <w:t>հավելված 1-ի</w:t>
      </w:r>
      <w:r w:rsidRPr="009A6B0B">
        <w:rPr>
          <w:rFonts w:ascii="GHEA Grapalat" w:hAnsi="GHEA Grapalat"/>
          <w:color w:val="000000"/>
          <w:lang w:val="hy-AM"/>
        </w:rPr>
        <w:t xml:space="preserve"> </w:t>
      </w:r>
      <w:r w:rsidR="00775D2A" w:rsidRPr="009A6B0B">
        <w:rPr>
          <w:rFonts w:ascii="GHEA Grapalat" w:hAnsi="GHEA Grapalat"/>
          <w:color w:val="000000"/>
          <w:lang w:val="hy-AM"/>
        </w:rPr>
        <w:t xml:space="preserve">Ծանր, վնասակար արտադրությունների, աշխատանքների, մասնագիտությունների և պաշտոնների ցանկի «XIV. Առողջապահական և սոցիալական ապահովության հիմնարկներ» գլուխը </w:t>
      </w:r>
      <w:r w:rsidRPr="009A6B0B">
        <w:rPr>
          <w:rFonts w:ascii="GHEA Grapalat" w:hAnsi="GHEA Grapalat"/>
          <w:color w:val="000000"/>
          <w:lang w:val="hy-AM"/>
        </w:rPr>
        <w:t>շարադրել նոր խմբագրությամբ</w:t>
      </w:r>
      <w:r w:rsidR="001314E8" w:rsidRPr="009A6B0B">
        <w:rPr>
          <w:rFonts w:ascii="GHEA Grapalat" w:hAnsi="GHEA Grapalat"/>
          <w:color w:val="000000"/>
          <w:lang w:val="hy-AM"/>
        </w:rPr>
        <w:t>՝ հետևյալ բովանդակությամբ.</w:t>
      </w:r>
    </w:p>
    <w:p w14:paraId="55C93A21" w14:textId="7CAD9316" w:rsidR="0003003D" w:rsidRPr="009A6B0B" w:rsidRDefault="0003003D" w:rsidP="008E7E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 xml:space="preserve">«XIV. Առողջապահության բնագավառ և սոցիալական </w:t>
      </w:r>
      <w:r w:rsidR="00CE1318" w:rsidRPr="009A6B0B">
        <w:rPr>
          <w:rFonts w:ascii="GHEA Grapalat" w:hAnsi="GHEA Grapalat"/>
          <w:color w:val="000000"/>
          <w:lang w:val="hy-AM"/>
        </w:rPr>
        <w:t>ոլորտ</w:t>
      </w:r>
      <w:r w:rsidRPr="009A6B0B">
        <w:rPr>
          <w:rFonts w:ascii="GHEA Grapalat" w:hAnsi="GHEA Grapalat"/>
          <w:color w:val="000000"/>
          <w:lang w:val="hy-AM"/>
        </w:rPr>
        <w:t>»</w:t>
      </w:r>
    </w:p>
    <w:p w14:paraId="46A97E8A" w14:textId="77777777" w:rsidR="0003003D" w:rsidRPr="009A6B0B" w:rsidRDefault="0003003D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9750"/>
      </w:tblGrid>
      <w:tr w:rsidR="0003003D" w:rsidRPr="00402BF4" w14:paraId="6CEA2940" w14:textId="77777777" w:rsidTr="002417D3">
        <w:trPr>
          <w:trHeight w:val="4841"/>
        </w:trPr>
        <w:tc>
          <w:tcPr>
            <w:tcW w:w="0" w:type="auto"/>
            <w:hideMark/>
          </w:tcPr>
          <w:p w14:paraId="0FF49D3F" w14:textId="43B0B647" w:rsidR="0003003D" w:rsidRPr="009A6B0B" w:rsidRDefault="0003003D" w:rsidP="0003003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1. Հայաստանի Հանրապետության առողջապահության նախարարության «Հիվանդությունների վերահսկման և կանխարգելման ազգային կենտրոն» պետական ոչ առևտրային կ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ազմակերպության այն աշխատողները</w:t>
            </w:r>
            <w:r w:rsidRPr="009A6B0B">
              <w:rPr>
                <w:rFonts w:ascii="GHEA Grapalat" w:hAnsi="GHEA Grapalat"/>
                <w:color w:val="000000"/>
                <w:lang w:val="hy-AM"/>
              </w:rPr>
              <w:t>, որոնք աշխատանքային պարտականությունների կատարման ընթացքում անմիջականորեն առնչվում են հանրության համար վտանգ ներկայացնող վարակիչ հիվանդությունների հարուցիչների հետ:</w:t>
            </w:r>
          </w:p>
          <w:p w14:paraId="1EB6FBE4" w14:textId="5617059A" w:rsidR="0003003D" w:rsidRPr="009A6B0B" w:rsidRDefault="0003003D" w:rsidP="0003003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առողջապահական և աշխատանքի տեսչական մարմնի 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Pr="009A6B0B">
              <w:rPr>
                <w:rFonts w:ascii="GHEA Grapalat" w:hAnsi="GHEA Grapalat"/>
                <w:color w:val="000000"/>
                <w:lang w:val="hy-AM"/>
              </w:rPr>
              <w:t>, որոնք աշխատանքային պարտականությունների կատարման ընթացքում անմիջականորեն առնչվում են հանրության համար վտանգ ներկայացնող վարակիչ հիվանդությունների հարուցիչների հետ:</w:t>
            </w:r>
          </w:p>
        </w:tc>
      </w:tr>
      <w:tr w:rsidR="00775D2A" w:rsidRPr="00402BF4" w14:paraId="6E26A3C6" w14:textId="77777777" w:rsidTr="00775D2A">
        <w:tc>
          <w:tcPr>
            <w:tcW w:w="0" w:type="auto"/>
            <w:hideMark/>
          </w:tcPr>
          <w:p w14:paraId="3EA229B4" w14:textId="10B854DD" w:rsidR="00775D2A" w:rsidRPr="009A6B0B" w:rsidRDefault="005A0C1C" w:rsidP="00775D2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2</w:t>
            </w:r>
            <w:r w:rsidR="00775D2A" w:rsidRPr="009A6B0B">
              <w:rPr>
                <w:rFonts w:ascii="GHEA Grapalat" w:hAnsi="GHEA Grapalat"/>
                <w:color w:val="000000"/>
                <w:lang w:val="hy-AM"/>
              </w:rPr>
              <w:t xml:space="preserve">. Համաճարակաբանական, մանրէաբանական, վիրուսաբանական </w:t>
            </w:r>
            <w:r w:rsidR="007D2AEB" w:rsidRPr="009A6B0B">
              <w:rPr>
                <w:rFonts w:ascii="GHEA Grapalat" w:hAnsi="GHEA Grapalat"/>
                <w:color w:val="000000"/>
                <w:lang w:val="hy-AM"/>
              </w:rPr>
              <w:t xml:space="preserve">տեսակի բժշկական օգնություն և սպասարկում իրականացնողների 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7D2AEB" w:rsidRPr="009A6B0B">
              <w:rPr>
                <w:rFonts w:ascii="GHEA Grapalat" w:hAnsi="GHEA Grapalat"/>
                <w:color w:val="000000"/>
                <w:lang w:val="hy-AM"/>
              </w:rPr>
              <w:t xml:space="preserve">, որոնք աշխատանքային պարտականությունների կատարման ընթացքում անմիջականորեն առնչվում են </w:t>
            </w:r>
            <w:r w:rsidR="007D2AEB" w:rsidRPr="000D0812">
              <w:rPr>
                <w:rFonts w:ascii="GHEA Grapalat" w:hAnsi="GHEA Grapalat"/>
                <w:color w:val="000000"/>
                <w:lang w:val="hy-AM"/>
              </w:rPr>
              <w:t xml:space="preserve">հանրության համար վտանգ ներկայացնող վարակիչ հիվանդությունների </w:t>
            </w:r>
            <w:r w:rsidR="00E829D4" w:rsidRPr="000D0812">
              <w:rPr>
                <w:rFonts w:ascii="GHEA Grapalat" w:hAnsi="GHEA Grapalat"/>
                <w:color w:val="000000"/>
                <w:lang w:val="hy-AM"/>
              </w:rPr>
              <w:t>հարուցիչների հետ</w:t>
            </w:r>
            <w:r w:rsidR="000E108C" w:rsidRPr="000D0812">
              <w:rPr>
                <w:rFonts w:ascii="GHEA Grapalat" w:hAnsi="GHEA Grapalat"/>
                <w:color w:val="000000"/>
                <w:lang w:val="hy-AM"/>
              </w:rPr>
              <w:t xml:space="preserve">, 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E829D4" w:rsidRPr="000D0812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775D2A" w:rsidRPr="00402BF4" w14:paraId="6A2CD61F" w14:textId="77777777" w:rsidTr="00775D2A">
        <w:tc>
          <w:tcPr>
            <w:tcW w:w="0" w:type="auto"/>
            <w:hideMark/>
          </w:tcPr>
          <w:p w14:paraId="5B65C469" w14:textId="2E6FBF06" w:rsidR="00775D2A" w:rsidRPr="009A6B0B" w:rsidRDefault="005A0C1C" w:rsidP="00775D2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3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 xml:space="preserve">. Մաշկաբանական և վեներաբանական տեսակի բժշկական օգնություն և սպասարկում իրականացնողների 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>, որոնք աշխատանքային պարտականությունների կատարման ընթացքում անմիջականորեն առնչվում են հանրության համար վտանգ ներկայացնող վարակիչ հիվանդությունների հարուցիչների հետ</w:t>
            </w:r>
            <w:r w:rsidR="000E108C" w:rsidRPr="000D0812">
              <w:rPr>
                <w:rFonts w:ascii="GHEA Grapalat" w:hAnsi="GHEA Grapalat"/>
                <w:color w:val="000000"/>
                <w:lang w:val="hy-AM"/>
              </w:rPr>
              <w:t xml:space="preserve">, 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E829D4" w:rsidRPr="000D0812">
              <w:rPr>
                <w:rFonts w:ascii="GHEA Grapalat" w:hAnsi="GHEA Grapalat"/>
                <w:color w:val="000000"/>
                <w:lang w:val="hy-AM"/>
              </w:rPr>
              <w:t>: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5F36CA" w:rsidRPr="00402BF4" w14:paraId="7D8E2BAC" w14:textId="77777777" w:rsidTr="00775D2A">
        <w:tc>
          <w:tcPr>
            <w:tcW w:w="0" w:type="auto"/>
          </w:tcPr>
          <w:p w14:paraId="58F30185" w14:textId="70800628" w:rsidR="005F36CA" w:rsidRPr="009A6B0B" w:rsidRDefault="005A0C1C" w:rsidP="0030459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4</w:t>
            </w:r>
            <w:r w:rsidR="005F36CA" w:rsidRPr="009A6B0B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5F36CA" w:rsidRPr="009A6B0B">
              <w:rPr>
                <w:rFonts w:ascii="GHEA Grapalat" w:hAnsi="GHEA Grapalat"/>
                <w:lang w:val="hy-AM"/>
              </w:rPr>
              <w:t xml:space="preserve"> </w:t>
            </w:r>
            <w:r w:rsidR="008326B2" w:rsidRPr="009A6B0B">
              <w:rPr>
                <w:rFonts w:ascii="GHEA Grapalat" w:hAnsi="GHEA Grapalat"/>
                <w:color w:val="000000"/>
                <w:lang w:val="hy-AM"/>
              </w:rPr>
              <w:t>Տուբերկուլ</w:t>
            </w:r>
            <w:r w:rsidR="005F36CA" w:rsidRPr="009A6B0B">
              <w:rPr>
                <w:rFonts w:ascii="GHEA Grapalat" w:hAnsi="GHEA Grapalat"/>
                <w:color w:val="000000"/>
                <w:lang w:val="hy-AM"/>
              </w:rPr>
              <w:t xml:space="preserve">ոզային տեսակի բժշկական օգնություն և սպասարկում իրականացնողների 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5F36CA" w:rsidRPr="009A6B0B">
              <w:rPr>
                <w:rFonts w:ascii="GHEA Grapalat" w:hAnsi="GHEA Grapalat"/>
                <w:color w:val="000000"/>
                <w:lang w:val="hy-AM"/>
              </w:rPr>
              <w:t xml:space="preserve">, որոնք աշխատանքային պարտականությունների կատարման ընթացքում </w:t>
            </w:r>
            <w:r w:rsidR="00745C12" w:rsidRPr="009A6B0B">
              <w:rPr>
                <w:rFonts w:ascii="GHEA Grapalat" w:hAnsi="GHEA Grapalat"/>
                <w:color w:val="000000"/>
                <w:lang w:val="hy-AM"/>
              </w:rPr>
              <w:t xml:space="preserve">բժշկական օգնություն և </w:t>
            </w:r>
            <w:r w:rsidR="00745C12" w:rsidRPr="000D0812">
              <w:rPr>
                <w:rFonts w:ascii="GHEA Grapalat" w:hAnsi="GHEA Grapalat"/>
                <w:color w:val="000000"/>
                <w:lang w:val="hy-AM"/>
              </w:rPr>
              <w:t>սպասարկում են իրականացնում</w:t>
            </w:r>
            <w:r w:rsidR="005F36CA" w:rsidRPr="000D0812">
              <w:rPr>
                <w:rFonts w:ascii="GHEA Grapalat" w:hAnsi="GHEA Grapalat"/>
                <w:color w:val="000000"/>
                <w:lang w:val="hy-AM"/>
              </w:rPr>
              <w:t xml:space="preserve"> տուբերկուլոզ </w:t>
            </w:r>
            <w:r w:rsidR="00000C83" w:rsidRPr="000D0812">
              <w:rPr>
                <w:rFonts w:ascii="GHEA Grapalat" w:hAnsi="GHEA Grapalat"/>
                <w:color w:val="000000"/>
                <w:lang w:val="hy-AM"/>
              </w:rPr>
              <w:t>ունեցող</w:t>
            </w:r>
            <w:r w:rsidR="005F36CA" w:rsidRPr="000D0812">
              <w:rPr>
                <w:rFonts w:ascii="GHEA Grapalat" w:hAnsi="GHEA Grapalat"/>
                <w:color w:val="000000"/>
                <w:lang w:val="hy-AM"/>
              </w:rPr>
              <w:t xml:space="preserve"> պացիենտների</w:t>
            </w:r>
            <w:r w:rsidR="00745C12" w:rsidRPr="000D0812">
              <w:rPr>
                <w:rFonts w:ascii="GHEA Grapalat" w:hAnsi="GHEA Grapalat"/>
                <w:color w:val="000000"/>
                <w:lang w:val="hy-AM"/>
              </w:rPr>
              <w:t>ն</w:t>
            </w:r>
            <w:r w:rsidR="00304597" w:rsidRPr="000D0812">
              <w:rPr>
                <w:rFonts w:ascii="GHEA Grapalat" w:hAnsi="GHEA Grapalat"/>
                <w:color w:val="000000"/>
                <w:lang w:val="hy-AM"/>
              </w:rPr>
              <w:t xml:space="preserve">, 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304597" w:rsidRPr="000D0812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0352E3" w:rsidRPr="00402BF4" w14:paraId="16905D49" w14:textId="77777777" w:rsidTr="00775D2A">
        <w:tc>
          <w:tcPr>
            <w:tcW w:w="0" w:type="auto"/>
          </w:tcPr>
          <w:p w14:paraId="33C1380F" w14:textId="1606766D" w:rsidR="000352E3" w:rsidRPr="009A6B0B" w:rsidRDefault="005A0C1C" w:rsidP="0047059F">
            <w:pPr>
              <w:pStyle w:val="NormalWeb"/>
              <w:shd w:val="clear" w:color="auto" w:fill="FFFFFF"/>
              <w:spacing w:after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5</w:t>
            </w:r>
            <w:r w:rsidR="000352E3" w:rsidRPr="009A6B0B">
              <w:rPr>
                <w:rFonts w:ascii="GHEA Grapalat" w:hAnsi="GHEA Grapalat"/>
                <w:color w:val="000000"/>
                <w:lang w:val="hy-AM"/>
              </w:rPr>
              <w:t>. Լաբորատոր-ախտորոշիչ</w:t>
            </w:r>
            <w:r w:rsidR="00730783" w:rsidRPr="009A6B0B">
              <w:rPr>
                <w:rFonts w:ascii="GHEA Grapalat" w:hAnsi="GHEA Grapalat"/>
                <w:color w:val="000000"/>
                <w:lang w:val="hy-AM"/>
              </w:rPr>
              <w:t xml:space="preserve"> մանրէաբանական, վիրուսաբանական, թունաբանական, մակաբուծաբանական</w:t>
            </w:r>
            <w:r w:rsidR="0047059F" w:rsidRPr="009A6B0B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730783" w:rsidRPr="009A6B0B">
              <w:rPr>
                <w:rFonts w:ascii="GHEA Grapalat" w:hAnsi="GHEA Grapalat"/>
                <w:lang w:val="hy-AM"/>
              </w:rPr>
              <w:t xml:space="preserve"> </w:t>
            </w:r>
            <w:r w:rsidR="00730783" w:rsidRPr="009A6B0B">
              <w:rPr>
                <w:rFonts w:ascii="GHEA Grapalat" w:hAnsi="GHEA Grapalat"/>
                <w:color w:val="000000"/>
                <w:lang w:val="hy-AM"/>
              </w:rPr>
              <w:t xml:space="preserve">սնկաբանական, նմուշառում և շարժական </w:t>
            </w:r>
            <w:r w:rsidR="00730783" w:rsidRPr="009A6B0B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նմուշառում տեսակի բժշկական օգնություն և սպասարկում իրականացնողներ, 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730783" w:rsidRPr="009A6B0B">
              <w:rPr>
                <w:rFonts w:ascii="GHEA Grapalat" w:hAnsi="GHEA Grapalat"/>
                <w:color w:val="000000"/>
                <w:lang w:val="hy-AM"/>
              </w:rPr>
              <w:t xml:space="preserve">: </w:t>
            </w:r>
            <w:r w:rsidR="0047059F" w:rsidRPr="009A6B0B">
              <w:rPr>
                <w:rFonts w:ascii="GHEA Grapalat" w:hAnsi="GHEA Grapalat"/>
                <w:color w:val="000000"/>
                <w:lang w:val="hy-AM"/>
              </w:rPr>
              <w:t xml:space="preserve">Սույն կետը չի տարածվում լաբորատոր-աշխորոշիչ տեսակի </w:t>
            </w:r>
            <w:r w:rsidR="0029281F" w:rsidRPr="009A6B0B">
              <w:rPr>
                <w:rFonts w:ascii="GHEA Grapalat" w:hAnsi="GHEA Grapalat"/>
                <w:color w:val="000000"/>
                <w:lang w:val="hy-AM"/>
              </w:rPr>
              <w:t xml:space="preserve">այն </w:t>
            </w:r>
            <w:r w:rsidR="0047059F" w:rsidRPr="009A6B0B">
              <w:rPr>
                <w:rFonts w:ascii="GHEA Grapalat" w:hAnsi="GHEA Grapalat"/>
                <w:color w:val="000000"/>
                <w:lang w:val="hy-AM"/>
              </w:rPr>
              <w:t>բժշկական օգնություն և սպասարկում իրականացնողների վրա, որտեղ ներդրված է ՀՀ կառավարության 2021 թվականի սեպտեմբերի 2-ի թիվ 1413-Ն որոշմամբ սահմանված լաբորատոր գործունեություն իրականացնող կազմակերպություններում որակի կառավարման համակարգը</w:t>
            </w:r>
            <w:r w:rsidR="00C20259" w:rsidRPr="009A6B0B">
              <w:rPr>
                <w:rFonts w:ascii="GHEA Grapalat" w:hAnsi="GHEA Grapalat"/>
                <w:color w:val="000000"/>
                <w:lang w:val="hy-AM"/>
              </w:rPr>
              <w:t xml:space="preserve"> և (կամ) ունեն </w:t>
            </w:r>
            <w:r w:rsidR="00C20259" w:rsidRPr="009A6B0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ՀՍՏ ԻՍՕ 9001:2016 ստանդարտի պահանջներին համապատասխանության սերտիֆիկացում, և (կամ) ՀՍՏ ԻՍՕ 15189:2013 ստանդարտին համապատասխան հավատարմագրում</w:t>
            </w:r>
            <w:r w:rsidR="0047059F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775D2A" w:rsidRPr="00402BF4" w14:paraId="2BB13206" w14:textId="77777777" w:rsidTr="00775D2A">
        <w:tc>
          <w:tcPr>
            <w:tcW w:w="0" w:type="auto"/>
            <w:hideMark/>
          </w:tcPr>
          <w:p w14:paraId="551F4544" w14:textId="5F140AB6" w:rsidR="00775D2A" w:rsidRPr="009A6B0B" w:rsidRDefault="005A0C1C" w:rsidP="00BA1ECD">
            <w:pPr>
              <w:pStyle w:val="NormalWeb"/>
              <w:shd w:val="clear" w:color="auto" w:fill="FFFFFF"/>
              <w:spacing w:after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lastRenderedPageBreak/>
              <w:t>6</w:t>
            </w:r>
            <w:r w:rsidR="00775D2A" w:rsidRPr="009A6B0B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="00E829D4" w:rsidRPr="000D0812">
              <w:rPr>
                <w:rFonts w:ascii="GHEA Grapalat" w:hAnsi="GHEA Grapalat"/>
                <w:color w:val="000000"/>
                <w:lang w:val="hy-AM"/>
              </w:rPr>
              <w:t xml:space="preserve">Ճառագայթային ախտորոշիչ, </w:t>
            </w:r>
            <w:r w:rsidR="00304597" w:rsidRPr="000D0812">
              <w:rPr>
                <w:rFonts w:ascii="GHEA Grapalat" w:hAnsi="GHEA Grapalat"/>
                <w:color w:val="000000"/>
                <w:lang w:val="hy-AM"/>
              </w:rPr>
              <w:t xml:space="preserve">ինչպես նաև ինտերվենցիոն սրտաբանական </w:t>
            </w:r>
            <w:r w:rsidR="00E829D4" w:rsidRPr="000D0812">
              <w:rPr>
                <w:rFonts w:ascii="GHEA Grapalat" w:hAnsi="GHEA Grapalat"/>
                <w:color w:val="000000"/>
                <w:lang w:val="hy-AM"/>
              </w:rPr>
              <w:t>տեսակի բժշկական օգնություն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 xml:space="preserve"> և սպասարկում իրականացնողներ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 xml:space="preserve">ի 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, որոնք աշխատանքային պարտականությունների կատարման ընթացքում անմիջականորեն ներգրավված են ճառագայթային ախտորոշիչ տեսակի բժշկական օգնության և սպասարկման ծառայությունների մատուցման գործընթացում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>, բացառությամբ</w:t>
            </w:r>
            <w:r w:rsidR="000E108C" w:rsidRPr="009A6B0B">
              <w:rPr>
                <w:rFonts w:ascii="GHEA Grapalat" w:hAnsi="GHEA Grapalat"/>
                <w:color w:val="000000"/>
                <w:lang w:val="hy-AM"/>
              </w:rPr>
              <w:t>՝ միջուկամագնիսային-ռեզոնանսային, ուլտրաձայնային</w:t>
            </w:r>
            <w:r w:rsidR="000E108C" w:rsidRPr="000E108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E108C" w:rsidRPr="009A6B0B">
              <w:rPr>
                <w:rFonts w:ascii="GHEA Grapalat" w:hAnsi="GHEA Grapalat"/>
                <w:color w:val="000000"/>
                <w:lang w:val="hy-AM"/>
              </w:rPr>
              <w:t>տեսակի բժշկական օգնություն և սպասարկում իրականացնողներ</w:t>
            </w:r>
            <w:r w:rsidR="000E108C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E108C" w:rsidRPr="009A6B0B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0E108C" w:rsidRPr="000E108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E108C">
              <w:rPr>
                <w:rFonts w:ascii="GHEA Grapalat" w:hAnsi="GHEA Grapalat"/>
                <w:color w:val="000000"/>
                <w:lang w:val="hy-AM"/>
              </w:rPr>
              <w:t xml:space="preserve">ինչպես նաև 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: Սույն կետը չի տարածվում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 xml:space="preserve"> ընտանեկան ստոմատոլոգիական, ստոմատոլոգիական ընդհանուր պրակտիկա, թերապևտիկ ստոմատոլոգիական, վիրաբուժական ստոմատոլոգիական,</w:t>
            </w:r>
            <w:r w:rsidR="00181AD4" w:rsidRPr="009A6B0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 xml:space="preserve">օրթոպեդիկ ստոմատոլոգիական, օրթոդոնտիկ ստոմատոլոգիական, շարժական ստոմատոլոգիական տեսակի բժշկական օգնություն և սպասարկում իրականացնողների մոտ մատուցվող 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 xml:space="preserve">ճառագայթային ախտորոշիչ տեսակի </w:t>
            </w:r>
            <w:r w:rsidR="00E829D4" w:rsidRPr="009A6B0B">
              <w:rPr>
                <w:rFonts w:ascii="GHEA Grapalat" w:hAnsi="GHEA Grapalat"/>
                <w:color w:val="000000"/>
                <w:lang w:val="hy-AM"/>
              </w:rPr>
              <w:t>ծառայությունների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 xml:space="preserve"> վրա</w:t>
            </w:r>
            <w:r w:rsidR="00181AD4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775D2A" w:rsidRPr="00402BF4" w14:paraId="6371E335" w14:textId="77777777" w:rsidTr="00775D2A">
        <w:tc>
          <w:tcPr>
            <w:tcW w:w="0" w:type="auto"/>
            <w:hideMark/>
          </w:tcPr>
          <w:p w14:paraId="47D8CE5F" w14:textId="5548E801" w:rsidR="00775D2A" w:rsidRPr="009A6B0B" w:rsidRDefault="005A0C1C" w:rsidP="00775D2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7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 xml:space="preserve">. Դատաբժշկական փորձաքննություն, դատահոգեբուժական փորձաքննություն տեսակի բժշկական օգնություն և սպասարկում իրականացնողները, 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775D2A" w:rsidRPr="00402BF4" w14:paraId="115D1AE1" w14:textId="77777777" w:rsidTr="003E0131">
        <w:trPr>
          <w:trHeight w:val="464"/>
        </w:trPr>
        <w:tc>
          <w:tcPr>
            <w:tcW w:w="0" w:type="auto"/>
            <w:hideMark/>
          </w:tcPr>
          <w:p w14:paraId="23265A26" w14:textId="3DE0C9BC" w:rsidR="00775D2A" w:rsidRPr="009A6B0B" w:rsidRDefault="005A0C1C" w:rsidP="00A774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. Հոգեբուժական տեսակի բժշկական օգնություն և սպասարկում իրականացնողներ</w:t>
            </w:r>
            <w:r w:rsidR="000D0812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190191" w:rsidRPr="009A6B0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, որոնք աշխատանքային պարտականությունների կատարման ընթացքում անմիջականորեն ներգրավված են հոգեբուժական տեսակի օգնության և սպասարկման ծառայությունների մատուցման 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գործընթացում, 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 xml:space="preserve">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BA1ECD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  <w:r w:rsidR="00190191" w:rsidRPr="009A6B0B">
              <w:rPr>
                <w:rFonts w:ascii="GHEA Grapalat" w:hAnsi="GHEA Grapalat"/>
                <w:color w:val="000000"/>
                <w:lang w:val="hy-AM"/>
              </w:rPr>
              <w:t xml:space="preserve"> Բացառությունը չի տարածվում կազմակերպության բուժական գո</w:t>
            </w:r>
            <w:r w:rsidR="004737E5" w:rsidRPr="009A6B0B">
              <w:rPr>
                <w:rFonts w:ascii="GHEA Grapalat" w:hAnsi="GHEA Grapalat"/>
                <w:color w:val="000000"/>
                <w:lang w:val="hy-AM"/>
              </w:rPr>
              <w:t>րծունեություն իրականացնող փոխտնօ</w:t>
            </w:r>
            <w:r w:rsidR="00190191" w:rsidRPr="009A6B0B">
              <w:rPr>
                <w:rFonts w:ascii="GHEA Grapalat" w:hAnsi="GHEA Grapalat"/>
                <w:color w:val="000000"/>
                <w:lang w:val="hy-AM"/>
              </w:rPr>
              <w:t>րենի, դիետաբանի, գլխավոր բուժքրոջ, գլխավոր տնտեսուհու պաշտոնների վրա:</w:t>
            </w:r>
          </w:p>
        </w:tc>
      </w:tr>
      <w:tr w:rsidR="00C621AF" w:rsidRPr="00402BF4" w14:paraId="2E7FA02A" w14:textId="77777777" w:rsidTr="003E0131">
        <w:trPr>
          <w:trHeight w:val="464"/>
        </w:trPr>
        <w:tc>
          <w:tcPr>
            <w:tcW w:w="0" w:type="auto"/>
          </w:tcPr>
          <w:p w14:paraId="036756F5" w14:textId="1263BC82" w:rsidR="00C621AF" w:rsidRPr="009A6B0B" w:rsidRDefault="005A0C1C" w:rsidP="00A774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lastRenderedPageBreak/>
              <w:t>9</w:t>
            </w:r>
            <w:r w:rsidR="00C621AF" w:rsidRPr="009A6B0B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C621AF" w:rsidRPr="009A6B0B">
              <w:rPr>
                <w:rFonts w:ascii="GHEA Grapalat" w:hAnsi="GHEA Grapalat"/>
                <w:lang w:val="hy-AM"/>
              </w:rPr>
              <w:t xml:space="preserve"> </w:t>
            </w:r>
            <w:r w:rsidR="00C621AF" w:rsidRPr="009A6B0B">
              <w:rPr>
                <w:rFonts w:ascii="GHEA Grapalat" w:hAnsi="GHEA Grapalat"/>
                <w:color w:val="000000"/>
                <w:lang w:val="hy-AM"/>
              </w:rPr>
              <w:t>Թմրաբանական տեսակի բժշկական օգնություն և սպասարկում իրականացնողներ</w:t>
            </w:r>
            <w:r w:rsidR="000D0812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C621AF" w:rsidRPr="009A6B0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այն </w:t>
            </w:r>
            <w:r w:rsidR="00F84A50">
              <w:rPr>
                <w:rFonts w:ascii="GHEA Grapalat" w:hAnsi="GHEA Grapalat"/>
                <w:color w:val="000000"/>
                <w:lang w:val="hy-AM"/>
              </w:rPr>
              <w:t>աշխատողները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, որոնք աշխատանքային պարտականությունների կատարման ընթացքում անմիջականորեն ներգրավված են թմրաբանական տեսակի </w:t>
            </w:r>
            <w:r w:rsidR="000D0812">
              <w:rPr>
                <w:rFonts w:ascii="GHEA Grapalat" w:hAnsi="GHEA Grapalat"/>
                <w:color w:val="000000"/>
                <w:lang w:val="hy-AM"/>
              </w:rPr>
              <w:t xml:space="preserve">բժշկական </w:t>
            </w:r>
            <w:r w:rsidR="00304597" w:rsidRPr="009A6B0B">
              <w:rPr>
                <w:rFonts w:ascii="GHEA Grapalat" w:hAnsi="GHEA Grapalat"/>
                <w:color w:val="000000"/>
                <w:lang w:val="hy-AM"/>
              </w:rPr>
              <w:t xml:space="preserve">օգնության և սպասարկման ծառայությունների մատուցման գործընթացում, </w:t>
            </w:r>
            <w:r w:rsidR="00C621AF" w:rsidRPr="009A6B0B">
              <w:rPr>
                <w:rFonts w:ascii="GHEA Grapalat" w:hAnsi="GHEA Grapalat"/>
                <w:color w:val="000000"/>
                <w:lang w:val="hy-AM"/>
              </w:rPr>
              <w:t xml:space="preserve">բացառությամբ վարչական և տնտեսական պաշտոններ զբաղեցնող </w:t>
            </w:r>
            <w:r w:rsidR="00BB2D9E">
              <w:rPr>
                <w:rFonts w:ascii="GHEA Grapalat" w:hAnsi="GHEA Grapalat"/>
                <w:color w:val="000000"/>
                <w:lang w:val="hy-AM"/>
              </w:rPr>
              <w:t>աշխատողներին</w:t>
            </w:r>
            <w:r w:rsidR="00C621AF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AC7900" w:rsidRPr="00402BF4" w14:paraId="2607D729" w14:textId="77777777" w:rsidTr="00775D2A">
        <w:tc>
          <w:tcPr>
            <w:tcW w:w="0" w:type="auto"/>
            <w:hideMark/>
          </w:tcPr>
          <w:p w14:paraId="3BDCF09F" w14:textId="6746AB18" w:rsidR="00AC7900" w:rsidRPr="009A6B0B" w:rsidRDefault="00AC7900" w:rsidP="00AC790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5A0C1C" w:rsidRPr="009A6B0B">
              <w:rPr>
                <w:rFonts w:ascii="GHEA Grapalat" w:hAnsi="GHEA Grapalat"/>
                <w:color w:val="000000"/>
                <w:lang w:val="hy-AM"/>
              </w:rPr>
              <w:t>0</w:t>
            </w:r>
            <w:r w:rsidRPr="009A6B0B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="000D0812" w:rsidRPr="000D0812">
              <w:rPr>
                <w:rFonts w:ascii="GHEA Grapalat" w:hAnsi="GHEA Grapalat"/>
                <w:color w:val="000000"/>
                <w:lang w:val="hy-AM"/>
              </w:rPr>
              <w:t>Մասնագիտացված մանկատների բժշկական բաժանմունքի ղեկավար, բժշկական աշխատանքների գծով տնօրենի տեղակալ, բժիշկ, բուժքույր (բացառությամբ դիետաբանների և դեղատան բուժքույրերի), հրահանգիչ մարմնակրթության, հատուկ մանկավարժ (այդ թվում՝ լոգոպեդ, տիֆլոմանկավարժ, սուրդոմանկավարժ, օլիգոֆրենոմանկավարժ), մեթոդիստ-համակարգող, սոցիալական մանկավարժ, սոցիալական աշխատող, դաստիարակ, դաստիարակ խմբակի, հոգեբան, դայակ, սպասուհի, լվացող (լվացող-արդուկող), վարսավիր</w:t>
            </w:r>
            <w:r w:rsidR="009F4D14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AC7900" w:rsidRPr="00402BF4" w14:paraId="4CDAAA31" w14:textId="77777777" w:rsidTr="00775D2A">
        <w:tc>
          <w:tcPr>
            <w:tcW w:w="0" w:type="auto"/>
            <w:hideMark/>
          </w:tcPr>
          <w:p w14:paraId="15D5F9BE" w14:textId="5C3EBE9C" w:rsidR="00AC7900" w:rsidRPr="009A6B0B" w:rsidRDefault="00AC7900" w:rsidP="00AC790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5A0C1C" w:rsidRPr="009A6B0B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9A6B0B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="000D0812" w:rsidRPr="000D0812">
              <w:rPr>
                <w:rFonts w:ascii="GHEA Grapalat" w:hAnsi="GHEA Grapalat"/>
                <w:color w:val="000000"/>
                <w:lang w:val="hy-AM"/>
              </w:rPr>
              <w:t>Տարեց և (կամ) հաշմանդամություն ունեցող անձանց բնակչության սոցիալական պաշտպանության հատուկ (մասնագիտացված) հաստատության պետ՝ բժշկական ծառայության, ավագ բուժաշխատող (բժիշկ՝ ըստ մասնագիտացումների), միջին բուժաշխատող (ավագ բուժքույր, բուժքույր՝ ըստ մասնագիտացումների, բացառությամբ դիետաբանների և դեղատան բուժքույրերի), հրահանգիչ՝ մարմնակրթության, սոցիալական աշխատող, հոգեբան, մասնագետ` թերապիաների, խմբավար, կրտսեր բուժաշխատող (սանիտար՝ ըստ գործառույթների, հսկիչ՝ բաժանմունքի), լվացող-արդուկող, վարսավիր</w:t>
            </w:r>
            <w:r w:rsidR="009F4D14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AC7900" w:rsidRPr="00402BF4" w14:paraId="0D20D5B2" w14:textId="77777777" w:rsidTr="00775D2A">
        <w:tc>
          <w:tcPr>
            <w:tcW w:w="0" w:type="auto"/>
            <w:hideMark/>
          </w:tcPr>
          <w:p w14:paraId="7BBFEE2B" w14:textId="0501F36C" w:rsidR="00AC7900" w:rsidRPr="009A6B0B" w:rsidRDefault="00AC7900" w:rsidP="005258B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6B0B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5A0C1C" w:rsidRPr="009A6B0B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9A6B0B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="000D0812" w:rsidRPr="000D0812">
              <w:rPr>
                <w:rFonts w:ascii="GHEA Grapalat" w:hAnsi="GHEA Grapalat"/>
                <w:color w:val="000000"/>
                <w:lang w:val="hy-AM"/>
              </w:rPr>
              <w:t xml:space="preserve">Տարեց և (կամ) հաշմանդամություն ունեցող անձանց սոցիալական հոգածության հատուկ (մասնագիտացված) ցերեկային կենտրոնների և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հոգեկան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առողջության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կամ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մտավոր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խնդիրներով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հաշմանդամություն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ունեցող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անձանց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 xml:space="preserve"> 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սոցիալ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>-</w:t>
            </w:r>
            <w:r w:rsidR="00B708DC" w:rsidRPr="00633BE0">
              <w:rPr>
                <w:rFonts w:ascii="GHEA Grapalat" w:hAnsi="GHEA Grapalat" w:cs="GHEA Grapalat"/>
                <w:color w:val="191919"/>
                <w:lang w:val="hy-AM"/>
              </w:rPr>
              <w:t>վերականգ</w:t>
            </w:r>
            <w:r w:rsidR="00B708DC" w:rsidRPr="00633BE0">
              <w:rPr>
                <w:rFonts w:ascii="GHEA Grapalat" w:hAnsi="GHEA Grapalat"/>
                <w:color w:val="191919"/>
                <w:lang w:val="hy-AM"/>
              </w:rPr>
              <w:t>նողական (սոցիալ-հոգեբանական)</w:t>
            </w:r>
            <w:r w:rsidR="000D0812" w:rsidRPr="000D0812">
              <w:rPr>
                <w:rFonts w:ascii="GHEA Grapalat" w:hAnsi="GHEA Grapalat"/>
                <w:color w:val="000000"/>
                <w:lang w:val="hy-AM"/>
              </w:rPr>
              <w:t xml:space="preserve"> ծառայություններ մատուցող կազմակերպությունների սոցիալական աշխատող, սոցիալական մանկավարժ, </w:t>
            </w:r>
            <w:r w:rsidR="000D0812" w:rsidRPr="000D0812">
              <w:rPr>
                <w:rFonts w:ascii="GHEA Grapalat" w:hAnsi="GHEA Grapalat"/>
                <w:color w:val="000000"/>
                <w:lang w:val="hy-AM"/>
              </w:rPr>
              <w:lastRenderedPageBreak/>
              <w:t>դաստիարակ, մեթոդիստ համակարգող, էրգոթերապիստ, խմբավար (ըստ ուղղությունների), մասնագետ` աշխատանքային թերապիայի, հատուկ մանկավարժ (այդ թվում՝ լոգոպեդ, տիֆլոմանկավարժ, սուրդոմանկավարժ, օլիգոֆրենոմանկավարժ), հոգեբան (այդ թվում՝ հատուկ հոգեբան, վարքային թերապիստ), սպասուհի, դայակ, հոգեբույժ, բուժքույր, ադապտիվ ֆիզկուլտուրայի մասնագետ</w:t>
            </w:r>
            <w:r w:rsidR="009F4D14" w:rsidRPr="009A6B0B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0D0812" w:rsidRPr="00402BF4" w14:paraId="3021D987" w14:textId="77777777" w:rsidTr="00775D2A">
        <w:tc>
          <w:tcPr>
            <w:tcW w:w="0" w:type="auto"/>
          </w:tcPr>
          <w:p w14:paraId="163FFEE2" w14:textId="19BE4592" w:rsidR="000D0812" w:rsidRPr="000D0812" w:rsidRDefault="000D0812" w:rsidP="005258B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13</w:t>
            </w:r>
            <w:r w:rsidRPr="000D0812">
              <w:rPr>
                <w:rFonts w:ascii="GHEA Grapalat" w:hAnsi="GHEA Grapalat"/>
                <w:color w:val="000000"/>
                <w:lang w:val="hy-AM"/>
              </w:rPr>
              <w:t>. Տարեց և (կամ) հաշմանդամություն ունեցող անձանց տնային պայմաններում հատուկ (մասնագիտացված) խնամք տրամադրող կազմակերպությունների սոցիալական աշխատող, հոգեբան, միջին բուժաշխատող (բուժքույր), սոցիալական սպասարկող (կենցաղային սպասարկում իրականացնող)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0D0812" w:rsidRPr="00402BF4" w14:paraId="2BFE36C4" w14:textId="77777777" w:rsidTr="00775D2A">
        <w:tc>
          <w:tcPr>
            <w:tcW w:w="0" w:type="auto"/>
          </w:tcPr>
          <w:p w14:paraId="0B21D53D" w14:textId="0528DFEE" w:rsidR="000D0812" w:rsidRPr="000D0812" w:rsidRDefault="000D0812" w:rsidP="005258B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14</w:t>
            </w:r>
            <w:r w:rsidRPr="000D0812">
              <w:rPr>
                <w:rFonts w:ascii="GHEA Grapalat" w:hAnsi="GHEA Grapalat"/>
                <w:color w:val="000000"/>
                <w:lang w:val="hy-AM"/>
              </w:rPr>
              <w:t>. Տարեց և (կամ) հաշմանդամություն ունեցող անձանց համայնքային հատուկ (մասնագիտացված) փոքր տների,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 xml:space="preserve"> հոգեկան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առողջության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կամ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մտավոր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խնդիրներով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հաշմանդամություն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ունեցող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անձանց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շուրջօրյա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խնամքի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ծառայություններ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մատուցող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համայնքային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փոքր</w:t>
            </w:r>
            <w:r w:rsidR="00BE0BB3" w:rsidRPr="00CA3DF1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="00BE0BB3" w:rsidRPr="00CA3DF1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տների</w:t>
            </w:r>
            <w:r w:rsidR="00BE0BB3">
              <w:rPr>
                <w:rFonts w:ascii="GHEA Grapalat" w:hAnsi="GHEA Grapalat" w:cs="GHEA Grapalat"/>
                <w:color w:val="191919"/>
                <w:shd w:val="clear" w:color="auto" w:fill="FFFFFF"/>
                <w:lang w:val="hy-AM"/>
              </w:rPr>
              <w:t>,</w:t>
            </w:r>
            <w:r w:rsidRPr="000D0812">
              <w:rPr>
                <w:rFonts w:ascii="GHEA Grapalat" w:hAnsi="GHEA Grapalat"/>
                <w:color w:val="000000"/>
                <w:lang w:val="hy-AM"/>
              </w:rPr>
              <w:t xml:space="preserve"> սոցիալական հոգածության ցերեկային կենտրոնների սոցիալական աշխատող, մասնագետ՝ թերապիաների, սոցիալական սպասարկող</w:t>
            </w:r>
          </w:p>
        </w:tc>
      </w:tr>
    </w:tbl>
    <w:p w14:paraId="567B76E6" w14:textId="77777777" w:rsidR="00775D2A" w:rsidRPr="009A6B0B" w:rsidRDefault="00775D2A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5115523F" w14:textId="62AB00D2" w:rsidR="00775D2A" w:rsidRPr="009A6B0B" w:rsidRDefault="00775D2A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 xml:space="preserve">2) որոշման հավելված 2-ի </w:t>
      </w:r>
      <w:r w:rsidR="003224CF" w:rsidRPr="009A6B0B">
        <w:rPr>
          <w:rFonts w:ascii="GHEA Grapalat" w:hAnsi="GHEA Grapalat"/>
          <w:color w:val="000000"/>
          <w:lang w:val="hy-AM"/>
        </w:rPr>
        <w:t xml:space="preserve">Առանձնապես ծանր, առանձնապես վնասակար արտադրությունների, աշխատանքների, մասնագիտությունների և պաշտոնների ցանկի «XVII. Առողջապահական հիմնարկներ» գլուխը </w:t>
      </w:r>
      <w:r w:rsidRPr="009A6B0B">
        <w:rPr>
          <w:rFonts w:ascii="GHEA Grapalat" w:hAnsi="GHEA Grapalat"/>
          <w:color w:val="000000"/>
          <w:lang w:val="hy-AM"/>
        </w:rPr>
        <w:t>շարադրել նոր խմբագրությամբ՝ հետևյալ բովանդակությամբ.</w:t>
      </w:r>
    </w:p>
    <w:p w14:paraId="57F84ED0" w14:textId="34B9D8ED" w:rsidR="008E7E51" w:rsidRPr="009A6B0B" w:rsidRDefault="008E7E51" w:rsidP="008E7E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>«XVII. Առողջապահության բնագավառ»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C0506" w:rsidRPr="00402BF4" w14:paraId="778004C1" w14:textId="77777777" w:rsidTr="003C0506">
        <w:tc>
          <w:tcPr>
            <w:tcW w:w="9738" w:type="dxa"/>
            <w:hideMark/>
          </w:tcPr>
          <w:p w14:paraId="433F8938" w14:textId="11607F97" w:rsidR="003C0506" w:rsidRPr="009A6B0B" w:rsidRDefault="00020B73" w:rsidP="00C621A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3C0506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. 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Այն կազմակերպությունների </w:t>
            </w:r>
            <w:r w:rsidR="00F84A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աշխատողները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 որոնք իրենց աշխատանքային պարտականությունների կատարման ընթացքում անմիջականորեն մասնակցում են վարակի օջախ հանդիսացող վայրեր</w:t>
            </w:r>
            <w:r w:rsidR="00D870F9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ախտահանման աշխատանքներին, միայն այն ժամանակահատվածի համար</w:t>
            </w:r>
            <w:r w:rsidR="00F84A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 որի ընթացքում տվյալ աշխատողը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կամ </w:t>
            </w:r>
            <w:r w:rsidR="00F84A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աշխատողները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կազմակերպության ղեկավարի հրամանով մասնակցել են վարակի օջախ հանդիսացող վայրեր</w:t>
            </w:r>
            <w:r w:rsidR="00D870F9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  <w:r w:rsidR="007A729B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ախտահանման աշխատանքներին:</w:t>
            </w:r>
          </w:p>
        </w:tc>
      </w:tr>
      <w:tr w:rsidR="003C0506" w:rsidRPr="00402BF4" w14:paraId="02886F8F" w14:textId="77777777" w:rsidTr="003C0506">
        <w:tc>
          <w:tcPr>
            <w:tcW w:w="9738" w:type="dxa"/>
            <w:hideMark/>
          </w:tcPr>
          <w:p w14:paraId="05435109" w14:textId="7747061D" w:rsidR="003C0506" w:rsidRPr="009A6B0B" w:rsidRDefault="009F771A" w:rsidP="00BB2D9E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2. </w:t>
            </w:r>
            <w:r w:rsidR="00C621AF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Վարակիչ հիվանդությունների</w:t>
            </w:r>
            <w:r w:rsidR="00C621AF" w:rsidRPr="009A6B0B">
              <w:rPr>
                <w:rFonts w:ascii="GHEA Grapalat" w:hAnsi="GHEA Grapalat"/>
                <w:lang w:val="hy-AM"/>
              </w:rPr>
              <w:t xml:space="preserve"> </w:t>
            </w:r>
            <w:r w:rsidR="00C621AF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տեսակի բժշկական օգնություն և սպասարկում իրականացնողների այն </w:t>
            </w:r>
            <w:r w:rsidR="00F84A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աշխատողները</w:t>
            </w:r>
            <w:r w:rsidR="00C621AF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, որոնք աշխատանքային պարտականությունների կատարման ընթացքում անմիջականորեն առնչվում են </w:t>
            </w:r>
            <w:r w:rsidR="00C621AF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հանրության համար վտանգ ներկայացնող վարակիչ հիվանդությունների հարուցիչների հետ, բացառությամբ վարչական և տնտեսական պաշտոններ </w:t>
            </w:r>
            <w:r w:rsidR="00F84A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զբաղեցնող աշխատողներին</w:t>
            </w:r>
            <w:r w:rsidR="00C621AF" w:rsidRPr="009A6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</w:tc>
      </w:tr>
    </w:tbl>
    <w:p w14:paraId="046F9F98" w14:textId="77777777" w:rsidR="003C0506" w:rsidRPr="009A6B0B" w:rsidRDefault="003C0506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31EB6D54" w14:textId="67F67119" w:rsidR="00AC37B4" w:rsidRPr="009A6B0B" w:rsidRDefault="008261EE" w:rsidP="008261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AC23E3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4769ED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775D2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4769ED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</w:t>
      </w:r>
      <w:r w:rsidR="00775D2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նվարի</w:t>
      </w:r>
      <w:r w:rsidR="004769ED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1-ից</w:t>
      </w:r>
      <w:r w:rsidR="00AC37B4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5FE9441" w14:textId="2425E929" w:rsidR="00B86151" w:rsidRPr="009A6B0B" w:rsidRDefault="00B86151" w:rsidP="000C3C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6E7DBE" w14:textId="77777777" w:rsidR="00550FDE" w:rsidRPr="009A6B0B" w:rsidRDefault="00550FDE" w:rsidP="000C3C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F7FC4D" w14:textId="77777777" w:rsidR="00BB4485" w:rsidRPr="009A6B0B" w:rsidRDefault="00AC37B4">
      <w:pPr>
        <w:rPr>
          <w:rFonts w:ascii="GHEA Grapalat" w:hAnsi="GHEA Grapalat"/>
          <w:sz w:val="24"/>
          <w:szCs w:val="24"/>
          <w:lang w:val="hy-AM"/>
        </w:rPr>
      </w:pPr>
      <w:r w:rsidRPr="009A6B0B">
        <w:rPr>
          <w:rFonts w:ascii="GHEA Grapalat" w:hAnsi="GHEA Grapalat"/>
          <w:sz w:val="24"/>
          <w:szCs w:val="24"/>
          <w:lang w:val="hy-AM"/>
        </w:rPr>
        <w:t>Հ</w:t>
      </w:r>
      <w:r w:rsidR="003A3B86" w:rsidRPr="009A6B0B">
        <w:rPr>
          <w:rFonts w:ascii="GHEA Grapalat" w:hAnsi="GHEA Grapalat"/>
          <w:sz w:val="24"/>
          <w:szCs w:val="24"/>
          <w:lang w:val="hy-AM"/>
        </w:rPr>
        <w:t>այաստանի</w:t>
      </w:r>
      <w:r w:rsidRPr="009A6B0B">
        <w:rPr>
          <w:rFonts w:ascii="GHEA Grapalat" w:hAnsi="GHEA Grapalat"/>
          <w:sz w:val="24"/>
          <w:szCs w:val="24"/>
          <w:lang w:val="hy-AM"/>
        </w:rPr>
        <w:t xml:space="preserve"> Հ</w:t>
      </w:r>
      <w:r w:rsidR="003A3B86" w:rsidRPr="009A6B0B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</w:p>
    <w:p w14:paraId="6F5C8B55" w14:textId="333577C9" w:rsidR="00FF6D08" w:rsidRPr="009A6B0B" w:rsidRDefault="003A3B86">
      <w:pPr>
        <w:rPr>
          <w:rFonts w:ascii="GHEA Grapalat" w:hAnsi="GHEA Grapalat"/>
          <w:sz w:val="24"/>
          <w:szCs w:val="24"/>
          <w:lang w:val="hy-AM"/>
        </w:rPr>
      </w:pPr>
      <w:r w:rsidRPr="009A6B0B">
        <w:rPr>
          <w:rFonts w:ascii="GHEA Grapalat" w:hAnsi="GHEA Grapalat"/>
          <w:sz w:val="24"/>
          <w:szCs w:val="24"/>
          <w:lang w:val="hy-AM"/>
        </w:rPr>
        <w:t>վարչապետ</w:t>
      </w:r>
      <w:r w:rsidR="00AC37B4" w:rsidRPr="009A6B0B">
        <w:rPr>
          <w:rFonts w:ascii="GHEA Grapalat" w:hAnsi="GHEA Grapalat"/>
          <w:sz w:val="24"/>
          <w:szCs w:val="24"/>
          <w:lang w:val="hy-AM"/>
        </w:rPr>
        <w:t>՝</w:t>
      </w:r>
      <w:r w:rsidR="00B5219A" w:rsidRPr="009A6B0B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B5219A" w:rsidRPr="009A6B0B">
        <w:rPr>
          <w:rFonts w:ascii="GHEA Grapalat" w:hAnsi="GHEA Grapalat"/>
          <w:sz w:val="24"/>
          <w:szCs w:val="24"/>
          <w:lang w:val="hy-AM"/>
        </w:rPr>
        <w:tab/>
      </w:r>
      <w:r w:rsidR="00AC23E3" w:rsidRPr="009A6B0B">
        <w:rPr>
          <w:rFonts w:ascii="GHEA Grapalat" w:hAnsi="GHEA Grapalat"/>
          <w:sz w:val="24"/>
          <w:szCs w:val="24"/>
          <w:lang w:val="hy-AM"/>
        </w:rPr>
        <w:tab/>
      </w:r>
      <w:r w:rsidR="00AC23E3"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>Ն. Փաշինյան</w:t>
      </w:r>
    </w:p>
    <w:p w14:paraId="31DCEA07" w14:textId="77777777" w:rsidR="00BB4485" w:rsidRPr="009A6B0B" w:rsidRDefault="00BB4485">
      <w:pPr>
        <w:rPr>
          <w:rFonts w:ascii="GHEA Grapalat" w:hAnsi="GHEA Grapalat"/>
          <w:sz w:val="24"/>
          <w:szCs w:val="24"/>
          <w:lang w:val="hy-AM"/>
        </w:rPr>
      </w:pPr>
    </w:p>
    <w:p w14:paraId="60E15D1A" w14:textId="71AD5B1D" w:rsidR="00A53614" w:rsidRPr="00A53614" w:rsidRDefault="003A3B86" w:rsidP="00402BF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9A6B0B">
        <w:rPr>
          <w:rFonts w:ascii="GHEA Grapalat" w:hAnsi="GHEA Grapalat"/>
          <w:sz w:val="24"/>
          <w:szCs w:val="24"/>
          <w:lang w:val="hy-AM"/>
        </w:rPr>
        <w:t>Երև</w:t>
      </w:r>
      <w:bookmarkStart w:id="0" w:name="_GoBack"/>
      <w:bookmarkEnd w:id="0"/>
      <w:r w:rsidRPr="009A6B0B">
        <w:rPr>
          <w:rFonts w:ascii="GHEA Grapalat" w:hAnsi="GHEA Grapalat"/>
          <w:sz w:val="24"/>
          <w:szCs w:val="24"/>
          <w:lang w:val="hy-AM"/>
        </w:rPr>
        <w:t>ան</w:t>
      </w:r>
    </w:p>
    <w:sectPr w:rsidR="00A53614" w:rsidRPr="00A53614" w:rsidSect="00B5219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B3251" w14:textId="77777777" w:rsidR="001E0C07" w:rsidRDefault="001E0C07" w:rsidP="0017270B">
      <w:pPr>
        <w:spacing w:after="0" w:line="240" w:lineRule="auto"/>
      </w:pPr>
      <w:r>
        <w:separator/>
      </w:r>
    </w:p>
  </w:endnote>
  <w:endnote w:type="continuationSeparator" w:id="0">
    <w:p w14:paraId="648008FE" w14:textId="77777777" w:rsidR="001E0C07" w:rsidRDefault="001E0C07" w:rsidP="0017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4C57A" w14:textId="77777777" w:rsidR="001E0C07" w:rsidRDefault="001E0C07" w:rsidP="0017270B">
      <w:pPr>
        <w:spacing w:after="0" w:line="240" w:lineRule="auto"/>
      </w:pPr>
      <w:r>
        <w:separator/>
      </w:r>
    </w:p>
  </w:footnote>
  <w:footnote w:type="continuationSeparator" w:id="0">
    <w:p w14:paraId="64134714" w14:textId="77777777" w:rsidR="001E0C07" w:rsidRDefault="001E0C07" w:rsidP="0017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40D"/>
    <w:multiLevelType w:val="hybridMultilevel"/>
    <w:tmpl w:val="F22C17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C83E15"/>
    <w:multiLevelType w:val="hybridMultilevel"/>
    <w:tmpl w:val="FE00D4FE"/>
    <w:lvl w:ilvl="0" w:tplc="16A2C8A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FA65490"/>
    <w:multiLevelType w:val="hybridMultilevel"/>
    <w:tmpl w:val="60DAE8C0"/>
    <w:lvl w:ilvl="0" w:tplc="FA02AF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436311B"/>
    <w:multiLevelType w:val="hybridMultilevel"/>
    <w:tmpl w:val="6D7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D81"/>
    <w:multiLevelType w:val="hybridMultilevel"/>
    <w:tmpl w:val="E8824C9A"/>
    <w:lvl w:ilvl="0" w:tplc="171A9CEC">
      <w:start w:val="1"/>
      <w:numFmt w:val="decimal"/>
      <w:lvlText w:val="%1)"/>
      <w:lvlJc w:val="left"/>
      <w:pPr>
        <w:ind w:left="149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C4"/>
    <w:rsid w:val="00000C83"/>
    <w:rsid w:val="000053C5"/>
    <w:rsid w:val="00017D7C"/>
    <w:rsid w:val="00020B73"/>
    <w:rsid w:val="0003003D"/>
    <w:rsid w:val="000352E3"/>
    <w:rsid w:val="0004411D"/>
    <w:rsid w:val="000B021A"/>
    <w:rsid w:val="000B29EA"/>
    <w:rsid w:val="000C3C07"/>
    <w:rsid w:val="000D0812"/>
    <w:rsid w:val="000D558B"/>
    <w:rsid w:val="000E108C"/>
    <w:rsid w:val="001314E8"/>
    <w:rsid w:val="0017270B"/>
    <w:rsid w:val="00181AD4"/>
    <w:rsid w:val="00190191"/>
    <w:rsid w:val="001C3005"/>
    <w:rsid w:val="001C538B"/>
    <w:rsid w:val="001E0C07"/>
    <w:rsid w:val="001F4234"/>
    <w:rsid w:val="0023377C"/>
    <w:rsid w:val="00235202"/>
    <w:rsid w:val="00271A26"/>
    <w:rsid w:val="0027209E"/>
    <w:rsid w:val="0028683C"/>
    <w:rsid w:val="0029281F"/>
    <w:rsid w:val="002E025D"/>
    <w:rsid w:val="00304597"/>
    <w:rsid w:val="003202BE"/>
    <w:rsid w:val="003224CF"/>
    <w:rsid w:val="003617F8"/>
    <w:rsid w:val="00371D71"/>
    <w:rsid w:val="003A3B86"/>
    <w:rsid w:val="003C0506"/>
    <w:rsid w:val="003D2E4C"/>
    <w:rsid w:val="003E0131"/>
    <w:rsid w:val="00402BF4"/>
    <w:rsid w:val="00405748"/>
    <w:rsid w:val="004575EF"/>
    <w:rsid w:val="0047059F"/>
    <w:rsid w:val="004737E5"/>
    <w:rsid w:val="004769ED"/>
    <w:rsid w:val="00481E91"/>
    <w:rsid w:val="004C6EA5"/>
    <w:rsid w:val="004F0A5D"/>
    <w:rsid w:val="004F6B83"/>
    <w:rsid w:val="005154B2"/>
    <w:rsid w:val="005157F6"/>
    <w:rsid w:val="005258B2"/>
    <w:rsid w:val="00526D7D"/>
    <w:rsid w:val="00533B27"/>
    <w:rsid w:val="005420CF"/>
    <w:rsid w:val="00542900"/>
    <w:rsid w:val="0055045E"/>
    <w:rsid w:val="00550FDE"/>
    <w:rsid w:val="005624DA"/>
    <w:rsid w:val="00577BE9"/>
    <w:rsid w:val="005913AA"/>
    <w:rsid w:val="005A0C1C"/>
    <w:rsid w:val="005A426A"/>
    <w:rsid w:val="005A7B47"/>
    <w:rsid w:val="005E602D"/>
    <w:rsid w:val="005F36CA"/>
    <w:rsid w:val="0061465D"/>
    <w:rsid w:val="00640F93"/>
    <w:rsid w:val="00640FD3"/>
    <w:rsid w:val="00643F0B"/>
    <w:rsid w:val="00693B65"/>
    <w:rsid w:val="006B76B9"/>
    <w:rsid w:val="006C4973"/>
    <w:rsid w:val="006C6673"/>
    <w:rsid w:val="006F042F"/>
    <w:rsid w:val="00730783"/>
    <w:rsid w:val="007311BC"/>
    <w:rsid w:val="00745C12"/>
    <w:rsid w:val="00762FEF"/>
    <w:rsid w:val="00775D2A"/>
    <w:rsid w:val="00775F37"/>
    <w:rsid w:val="007810C0"/>
    <w:rsid w:val="0079238C"/>
    <w:rsid w:val="00793B3E"/>
    <w:rsid w:val="007A729B"/>
    <w:rsid w:val="007B6513"/>
    <w:rsid w:val="007B65D4"/>
    <w:rsid w:val="007C1363"/>
    <w:rsid w:val="007D2AEB"/>
    <w:rsid w:val="008261EE"/>
    <w:rsid w:val="008326B2"/>
    <w:rsid w:val="00854535"/>
    <w:rsid w:val="0088419B"/>
    <w:rsid w:val="00886E8A"/>
    <w:rsid w:val="008E7E51"/>
    <w:rsid w:val="00912D3E"/>
    <w:rsid w:val="00937DE5"/>
    <w:rsid w:val="00950281"/>
    <w:rsid w:val="009504A0"/>
    <w:rsid w:val="009509C1"/>
    <w:rsid w:val="009A5F2A"/>
    <w:rsid w:val="009A6B0B"/>
    <w:rsid w:val="009B2E88"/>
    <w:rsid w:val="009C1793"/>
    <w:rsid w:val="009D0652"/>
    <w:rsid w:val="009F4D14"/>
    <w:rsid w:val="009F771A"/>
    <w:rsid w:val="00A02A52"/>
    <w:rsid w:val="00A53614"/>
    <w:rsid w:val="00A77408"/>
    <w:rsid w:val="00A8609F"/>
    <w:rsid w:val="00A9003E"/>
    <w:rsid w:val="00AB7B5B"/>
    <w:rsid w:val="00AC23E3"/>
    <w:rsid w:val="00AC37B4"/>
    <w:rsid w:val="00AC7900"/>
    <w:rsid w:val="00AD3B97"/>
    <w:rsid w:val="00AE2B3B"/>
    <w:rsid w:val="00B5219A"/>
    <w:rsid w:val="00B708DC"/>
    <w:rsid w:val="00B71344"/>
    <w:rsid w:val="00B7184A"/>
    <w:rsid w:val="00B72F81"/>
    <w:rsid w:val="00B85E56"/>
    <w:rsid w:val="00B86151"/>
    <w:rsid w:val="00BA1ECD"/>
    <w:rsid w:val="00BB0DEE"/>
    <w:rsid w:val="00BB2D9E"/>
    <w:rsid w:val="00BB3B6E"/>
    <w:rsid w:val="00BB4485"/>
    <w:rsid w:val="00BC70EA"/>
    <w:rsid w:val="00BE0BB3"/>
    <w:rsid w:val="00BE0CAB"/>
    <w:rsid w:val="00BE5294"/>
    <w:rsid w:val="00C11297"/>
    <w:rsid w:val="00C20259"/>
    <w:rsid w:val="00C514E2"/>
    <w:rsid w:val="00C55558"/>
    <w:rsid w:val="00C621AF"/>
    <w:rsid w:val="00C6738F"/>
    <w:rsid w:val="00CC09EE"/>
    <w:rsid w:val="00CE1318"/>
    <w:rsid w:val="00CF58F1"/>
    <w:rsid w:val="00D31630"/>
    <w:rsid w:val="00D6183A"/>
    <w:rsid w:val="00D66A38"/>
    <w:rsid w:val="00D870F9"/>
    <w:rsid w:val="00DB2796"/>
    <w:rsid w:val="00E11BBD"/>
    <w:rsid w:val="00E1228D"/>
    <w:rsid w:val="00E151C4"/>
    <w:rsid w:val="00E27A5E"/>
    <w:rsid w:val="00E352EE"/>
    <w:rsid w:val="00E829D4"/>
    <w:rsid w:val="00EE6008"/>
    <w:rsid w:val="00F05E2B"/>
    <w:rsid w:val="00F10CD9"/>
    <w:rsid w:val="00F33895"/>
    <w:rsid w:val="00F40962"/>
    <w:rsid w:val="00F4159D"/>
    <w:rsid w:val="00F50CA3"/>
    <w:rsid w:val="00F558D1"/>
    <w:rsid w:val="00F61F8C"/>
    <w:rsid w:val="00F64B81"/>
    <w:rsid w:val="00F838D4"/>
    <w:rsid w:val="00F84A50"/>
    <w:rsid w:val="00FD297F"/>
    <w:rsid w:val="00FD63BA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C6B7D"/>
  <w15:docId w15:val="{A4881524-83D6-452B-968F-B37C0D7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B5B"/>
    <w:rPr>
      <w:b/>
      <w:bCs/>
    </w:rPr>
  </w:style>
  <w:style w:type="paragraph" w:styleId="ListParagraph">
    <w:name w:val="List Paragraph"/>
    <w:basedOn w:val="Normal"/>
    <w:uiPriority w:val="34"/>
    <w:qFormat/>
    <w:rsid w:val="00AB7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0B"/>
  </w:style>
  <w:style w:type="paragraph" w:styleId="Footer">
    <w:name w:val="footer"/>
    <w:basedOn w:val="Normal"/>
    <w:link w:val="Foot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0B"/>
  </w:style>
  <w:style w:type="paragraph" w:styleId="NormalWeb">
    <w:name w:val="Normal (Web)"/>
    <w:basedOn w:val="Normal"/>
    <w:uiPriority w:val="99"/>
    <w:unhideWhenUsed/>
    <w:rsid w:val="0082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54B2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4B2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15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F4F8-FBCF-4D21-B2BE-111B37A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2024-02-19T10:36:00Z</dcterms:created>
  <dcterms:modified xsi:type="dcterms:W3CDTF">2024-02-19T10:36:00Z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b6dd9e1bae80fded43782c54a52c13570ba2b5f302c167f431f72c8f7b14b0a9</vt:lpwstr>
  </property>
</Properties>
</file>