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0" w:rsidRPr="00CC34BD" w:rsidRDefault="00D14450" w:rsidP="00CC34BD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Cs/>
          <w:color w:val="000000"/>
          <w:sz w:val="24"/>
          <w:szCs w:val="24"/>
        </w:rPr>
      </w:pPr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ՆԱԽԱԳԻԾ</w:t>
      </w:r>
    </w:p>
    <w:p w:rsidR="00D14450" w:rsidRPr="00CC34BD" w:rsidRDefault="00D14450" w:rsidP="00CC34B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D14450" w:rsidRPr="00CC34BD" w:rsidRDefault="00D14450" w:rsidP="00BC2B3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:rsidR="00D14450" w:rsidRPr="00CC34BD" w:rsidRDefault="00D14450" w:rsidP="00BC2B3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Default="00D14450" w:rsidP="00BC2B39">
      <w:pPr>
        <w:spacing w:after="0" w:line="36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</w:pPr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Ո Ր Ո Շ</w:t>
      </w:r>
      <w:r w:rsidRPr="00CC34B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CC34B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ՈՒ</w:t>
      </w:r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4B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Մ</w:t>
      </w:r>
    </w:p>
    <w:p w:rsidR="00BC2B39" w:rsidRDefault="00BC2B39" w:rsidP="00BC2B39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2B39" w:rsidRPr="00CC34BD" w:rsidRDefault="00BC2B39" w:rsidP="00BC2B39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2B3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2024 </w:t>
      </w:r>
      <w:proofErr w:type="spellStart"/>
      <w:r w:rsidRPr="00BC2B3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BC2B3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N         -Ն</w:t>
      </w:r>
    </w:p>
    <w:p w:rsidR="00D14450" w:rsidRPr="00CC34BD" w:rsidRDefault="00D14450" w:rsidP="00BC2B3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BC2B39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ՄԱՔՍԱՅԻՆ ՀՍԿՈՂՈՒԹՅԱՆ ԳՈՏԻՆԵՐՈՒՄ ՎԱՐՔԱԳԾԻ ՊԱՐՏԱԴԻՐ, ՆԵՐԱՌՅԱԼ ՄԱՔՍԱՅԻՆ ՀՍԿՈՂՈՒԹՅԱՆ ԳՈՏԻՆԵՐՈՒՄ ԱՆՁԱՆՑ ԵՎ ՏՐԱՆՍՊՈՐՏԱՅԻՆ ՄԻՋՈՑՆԵՐԻ ՏԵՂԱՇԱՐԺՄԱՆ ԿԱՆՈՆՆԵՐԸ</w:t>
      </w:r>
      <w:r w:rsidRPr="00CC34B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CC34BD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</w:rPr>
        <w:t>ՍԱՀՄԱՆԵԼՈՒ</w:t>
      </w:r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ՄԱՍԻՆ</w:t>
      </w: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14450" w:rsidRPr="00CC34BD" w:rsidRDefault="00BC2B39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Հիմք ընդունելով </w:t>
      </w:r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«</w:t>
      </w:r>
      <w:proofErr w:type="spellStart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կարգավորման</w:t>
      </w:r>
      <w:proofErr w:type="spellEnd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189-րդ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6-րդ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մասը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14450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="00D14450" w:rsidRPr="00CC34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="00D14450" w:rsidRPr="00CC34BD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</w:rPr>
        <w:t>որոշում</w:t>
      </w:r>
      <w:proofErr w:type="spellEnd"/>
      <w:r w:rsidR="00D14450" w:rsidRPr="00CC34BD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</w:rPr>
        <w:t xml:space="preserve"> է.</w:t>
      </w: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Սահմանել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գոտիներում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վարքագծի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պարտադիր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ներառյալ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գոտիներում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միջոցների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տեղաշարժման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կանոնները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ուժի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մտնում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հրապարակմանը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հաջորդող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օրվանից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14450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C2B39" w:rsidRDefault="00BC2B39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C2B39" w:rsidRDefault="00BC2B39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C2B39" w:rsidRPr="00CC34BD" w:rsidRDefault="00BC2B39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8"/>
        <w:gridCol w:w="4521"/>
      </w:tblGrid>
      <w:tr w:rsidR="00D14450" w:rsidRPr="00CC34BD" w:rsidTr="00D144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4450" w:rsidRPr="00CC34BD" w:rsidRDefault="00D14450" w:rsidP="00CC34BD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BC2B39" w:rsidRPr="00BC2B39" w:rsidRDefault="00BC2B39" w:rsidP="00BC2B39">
            <w:pPr>
              <w:spacing w:after="0" w:line="360" w:lineRule="auto"/>
              <w:jc w:val="righ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Հավելված</w:t>
            </w:r>
            <w:proofErr w:type="spellEnd"/>
          </w:p>
          <w:p w:rsidR="00BC2B39" w:rsidRPr="00BC2B39" w:rsidRDefault="00BC2B39" w:rsidP="00BC2B39">
            <w:pPr>
              <w:spacing w:after="0" w:line="360" w:lineRule="auto"/>
              <w:jc w:val="righ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Հայաստանի</w:t>
            </w:r>
            <w:proofErr w:type="spellEnd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Հանրապետության</w:t>
            </w:r>
            <w:proofErr w:type="spellEnd"/>
          </w:p>
          <w:p w:rsidR="00BC2B39" w:rsidRPr="00BC2B39" w:rsidRDefault="00BC2B39" w:rsidP="00BC2B39">
            <w:pPr>
              <w:spacing w:after="0" w:line="360" w:lineRule="auto"/>
              <w:jc w:val="righ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թվականի</w:t>
            </w:r>
            <w:proofErr w:type="spellEnd"/>
          </w:p>
          <w:p w:rsidR="00D14450" w:rsidRPr="00CC34BD" w:rsidRDefault="00BC2B39" w:rsidP="00BC2B39">
            <w:pPr>
              <w:spacing w:after="0" w:line="36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-ի N    -Ն </w:t>
            </w:r>
            <w:proofErr w:type="spellStart"/>
            <w:r w:rsidRPr="00BC2B39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որոշման</w:t>
            </w:r>
            <w:proofErr w:type="spellEnd"/>
          </w:p>
        </w:tc>
      </w:tr>
    </w:tbl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14450" w:rsidRPr="00CC34BD" w:rsidRDefault="00BC2B39" w:rsidP="00BC2B39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ԿԱ</w:t>
      </w:r>
      <w:r w:rsidR="00D14450"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ՆՈՆՆԵՐ</w:t>
      </w:r>
    </w:p>
    <w:p w:rsidR="00D14450" w:rsidRPr="00CC34BD" w:rsidRDefault="00D14450" w:rsidP="00BC2B3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BC2B39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ՄԱՔՍԱՅԻՆ ՀՍԿՈՂՈՒԹՅԱՆ ԳՈՏԻՆԵՐՈՒՄ ՎԱՐՔԱԳԾԻ ՊԱՐՏԱԴԻՐ, ՆԵՐԱՌՅԱԼ ՄԱՔՍԱՅԻՆ ՀՍԿՈՂՈՒԹՅԱՆ ԳՈՏԻՆԵՐՈՒՄ ԱՆՁԱՆՑ ԵՎ ՏՐԱՆՍՊՈՐՏԱՅԻՆ ՄԻՋՈՑՆԵՐԻ ՏԵՂԱՇԱՐԺՄԱՆ</w:t>
      </w:r>
    </w:p>
    <w:p w:rsidR="00D14450" w:rsidRPr="00CC34BD" w:rsidRDefault="00D14450" w:rsidP="00CC34B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14450" w:rsidRPr="00CC34BD" w:rsidRDefault="00D14450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Սույնով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, «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189-րդ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6-րդ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գոտիներում</w:t>
      </w:r>
      <w:proofErr w:type="spellEnd"/>
      <w:r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ապրանքների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,</w:t>
      </w:r>
      <w:r w:rsidR="001B59DF" w:rsidRPr="00CC34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անձանց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և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տրանսպորտային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միջոցների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մուտքի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ելքի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գտնվելու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և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տեղաշարժվելու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ինչպես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նաև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անձանց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վարքագծի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պարտադիր</w:t>
      </w:r>
      <w:proofErr w:type="spellEnd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կանոններ</w:t>
      </w:r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1B59DF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կետերի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կետերի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ռեժիմը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կետերով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մուտքի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ելքի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բեռների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տեղափոխման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կետերում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տեղաշարժվելու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2011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մայիսի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12-ի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թիվ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735-Ն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1B59DF" w:rsidRPr="00CC34BD" w:rsidRDefault="00453C6A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կանոնների </w:t>
      </w:r>
      <w:r w:rsidR="00073A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2-րդ</w:t>
      </w:r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կետում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նշված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գոտիներից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տարբերվող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այսուհետև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)՝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ապրանքների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մուտքը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ելքը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տեղաշարժը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թույլտվությամբ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նախատեսված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եղանակով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ընթացակարգերով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համաձայնեցված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վայրերում</w:t>
      </w:r>
      <w:proofErr w:type="spellEnd"/>
      <w:r w:rsidR="001B59DF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</w:p>
    <w:p w:rsidR="001B59DF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ապրանքների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տեղակայումը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կայանումը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կանգառը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համաձայնեցված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վայրերում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ուղիներով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ժամանակահատվածում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1B59DF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կազմակերպչի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լիազորություններով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օժտված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չհանդիսացող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անձինք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այսուհետև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անձինք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մուտք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դուրս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գալը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տեղի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ունենալ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ներքո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անցագրերի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տրամադրմամբ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B54071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Հսկողություն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լինել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հասանելիության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ակված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73A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տարածք</w:t>
      </w:r>
      <w:bookmarkStart w:id="0" w:name="_GoBack"/>
      <w:bookmarkEnd w:id="0"/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ների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 </w:t>
      </w:r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B54071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անձինք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պաշտոնատար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անհրաժեշտությամբ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պայմանավորված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դրանից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բխող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իրավաչափ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B54071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մուտքը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ունենա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բացառապես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հայտարարագրման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բացթողնման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(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գործառնությունների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գործողությունների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նպատակ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պատճառաբանություն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B54071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տարածք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մուտքը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հայտարարագրման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բացթողնման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(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գործառնությունների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արգելվում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է:</w:t>
      </w:r>
    </w:p>
    <w:p w:rsidR="00B54071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գործառնությունների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վայրում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մաքսային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հսկողության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ենթարկվող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ապրանքների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մոտակայքում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ծխելը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այնպիսի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գործողությունների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իրականացումը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վտանգում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ապրանքներն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ակնհայտորեն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անհամապատասխան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իրավիճակին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արգելվում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է:</w:t>
      </w:r>
    </w:p>
    <w:p w:rsidR="001B59DF" w:rsidRPr="00CC34BD" w:rsidRDefault="001B59DF" w:rsidP="00CC34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Գոտու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և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տրանսպորտային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շարժը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կայանելը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կանգառը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հատուկ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հատկացված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առանձնացված</w:t>
      </w:r>
      <w:proofErr w:type="spellEnd"/>
      <w:r w:rsidR="00B54071"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վայրերում</w:t>
      </w:r>
      <w:proofErr w:type="spellEnd"/>
      <w:r w:rsidRPr="00CC34B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1B59DF" w:rsidRPr="00CC34BD" w:rsidRDefault="001B59DF" w:rsidP="00CC34B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10E8F" w:rsidRPr="00CC34BD" w:rsidRDefault="00073AFE" w:rsidP="00CC34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B10E8F" w:rsidRPr="00CC34BD" w:rsidSect="00D14450">
      <w:pgSz w:w="12240" w:h="15840"/>
      <w:pgMar w:top="992" w:right="56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6024"/>
    <w:multiLevelType w:val="hybridMultilevel"/>
    <w:tmpl w:val="3C7853B6"/>
    <w:lvl w:ilvl="0" w:tplc="D23E50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0"/>
    <w:rsid w:val="00073AFE"/>
    <w:rsid w:val="001B59DF"/>
    <w:rsid w:val="001E3257"/>
    <w:rsid w:val="00453C6A"/>
    <w:rsid w:val="00971CD7"/>
    <w:rsid w:val="00B54071"/>
    <w:rsid w:val="00BC2B39"/>
    <w:rsid w:val="00CC34BD"/>
    <w:rsid w:val="00D14450"/>
    <w:rsid w:val="00F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34CB-CD5A-406C-87DD-A40D5E8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Senik Nersisyan V.</dc:creator>
  <cp:keywords/>
  <dc:description/>
  <cp:lastModifiedBy>Mariam Ilanjyan</cp:lastModifiedBy>
  <cp:revision>6</cp:revision>
  <dcterms:created xsi:type="dcterms:W3CDTF">2024-01-22T05:13:00Z</dcterms:created>
  <dcterms:modified xsi:type="dcterms:W3CDTF">2024-01-23T07:06:00Z</dcterms:modified>
</cp:coreProperties>
</file>