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1DEA0" w14:textId="77777777" w:rsidR="003B5EE7" w:rsidRDefault="003B5EE7" w:rsidP="003B5EE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</w:rPr>
      </w:pPr>
    </w:p>
    <w:p w14:paraId="01668416" w14:textId="77777777" w:rsidR="006542E2" w:rsidRPr="006542E2" w:rsidRDefault="006542E2" w:rsidP="006542E2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6542E2">
        <w:rPr>
          <w:rFonts w:ascii="GHEA Grapalat" w:hAnsi="GHEA Grapalat" w:cs="Sylfaen"/>
          <w:b/>
          <w:sz w:val="28"/>
          <w:szCs w:val="28"/>
        </w:rPr>
        <w:t>ՀԱՅԱՍՏԱՆԻ ՀԱՆՐԱՊԵՏՈՒԹՅԱՆ ԿԱՌԱՎԱՐՈՒԹՅՈՒՆ</w:t>
      </w:r>
    </w:p>
    <w:p w14:paraId="54E5E47B" w14:textId="77777777" w:rsidR="006542E2" w:rsidRPr="006542E2" w:rsidRDefault="006542E2" w:rsidP="006542E2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6542E2">
        <w:rPr>
          <w:rFonts w:ascii="GHEA Grapalat" w:hAnsi="GHEA Grapalat" w:cs="Sylfaen"/>
          <w:b/>
          <w:sz w:val="28"/>
          <w:szCs w:val="28"/>
        </w:rPr>
        <w:t xml:space="preserve">Ո Ր Ո Շ Ո Ւ Մ </w:t>
      </w:r>
    </w:p>
    <w:p w14:paraId="127B2E23" w14:textId="77777777" w:rsidR="003B5EE7" w:rsidRPr="00A069B0" w:rsidRDefault="006542E2" w:rsidP="006542E2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6542E2">
        <w:rPr>
          <w:rFonts w:ascii="GHEA Grapalat" w:hAnsi="GHEA Grapalat" w:cs="Sylfaen"/>
          <w:b/>
          <w:sz w:val="28"/>
          <w:szCs w:val="28"/>
        </w:rPr>
        <w:t>----- 202</w:t>
      </w:r>
      <w:r w:rsidR="00130B6F">
        <w:rPr>
          <w:rFonts w:ascii="GHEA Grapalat" w:hAnsi="GHEA Grapalat" w:cs="Sylfaen"/>
          <w:b/>
          <w:sz w:val="28"/>
          <w:szCs w:val="28"/>
        </w:rPr>
        <w:t>4</w:t>
      </w:r>
      <w:r w:rsidRPr="006542E2">
        <w:rPr>
          <w:rFonts w:ascii="GHEA Grapalat" w:hAnsi="GHEA Grapalat" w:cs="Sylfaen"/>
          <w:b/>
          <w:sz w:val="28"/>
          <w:szCs w:val="28"/>
        </w:rPr>
        <w:t xml:space="preserve"> թվականի N -– </w:t>
      </w:r>
      <w:r w:rsidR="00130B6F">
        <w:rPr>
          <w:rFonts w:ascii="GHEA Grapalat" w:hAnsi="GHEA Grapalat" w:cs="Sylfaen"/>
          <w:b/>
          <w:sz w:val="28"/>
          <w:szCs w:val="28"/>
        </w:rPr>
        <w:t>Ն</w:t>
      </w:r>
    </w:p>
    <w:p w14:paraId="1AA59F6D" w14:textId="77777777" w:rsidR="003B5EE7" w:rsidRPr="0017594D" w:rsidRDefault="003B5EE7" w:rsidP="003B5EE7">
      <w:pPr>
        <w:jc w:val="both"/>
        <w:rPr>
          <w:rFonts w:ascii="GHEA Grapalat" w:hAnsi="GHEA Grapalat" w:cs="Sylfaen"/>
          <w:b/>
          <w:sz w:val="28"/>
          <w:szCs w:val="28"/>
        </w:rPr>
      </w:pPr>
    </w:p>
    <w:p w14:paraId="1A726324" w14:textId="7EED6347" w:rsidR="003B5EE7" w:rsidRPr="009E3579" w:rsidRDefault="00C720C8" w:rsidP="009E3579">
      <w:pPr>
        <w:spacing w:line="360" w:lineRule="auto"/>
        <w:jc w:val="center"/>
        <w:rPr>
          <w:rFonts w:ascii="GHEA Grapalat" w:hAnsi="GHEA Grapalat"/>
          <w:bCs/>
        </w:rPr>
      </w:pPr>
      <w:r w:rsidRPr="009E3579">
        <w:rPr>
          <w:rFonts w:ascii="GHEA Grapalat" w:hAnsi="GHEA Grapalat"/>
          <w:bCs/>
        </w:rPr>
        <w:t xml:space="preserve">ԴԱՏԱԿԱՆ ԳՈՐԾԵՐԻ </w:t>
      </w:r>
      <w:r w:rsidR="00130B6F" w:rsidRPr="009E3579">
        <w:rPr>
          <w:rFonts w:ascii="GHEA Grapalat" w:hAnsi="GHEA Grapalat"/>
          <w:bCs/>
        </w:rPr>
        <w:t>ԷԼԵԿՏՐՈՆԱՅԻՆ ՀԱՄԱԿԱՐԳԻ ԵՎ ԷԼԵԿՏՐՈՆԱՅԻՆ ՏԵՂԵԿԱՏՎԱԿԱՆ ԱՅԼ ՀԱՄԱԿԱՐԳԵՐԻ ՄԻՋԵՎ ՏՎՅԱԼՆԵՐԻ ՓՈԽԱՆՑՄԱՆ ԿԱՐԳԸ ՍԱՀՄԱՆԵԼՈՒ</w:t>
      </w:r>
      <w:r w:rsidR="0081096B" w:rsidRPr="009E3579">
        <w:rPr>
          <w:rFonts w:ascii="GHEA Grapalat" w:hAnsi="GHEA Grapalat"/>
          <w:bCs/>
        </w:rPr>
        <w:t>, ՀԱՅԱՍՏԱՆԻ ՀԱՆՐԱՊԵՏՈՒԹՅԱՆ ԿԱՌԱՎԱՐՈՒԹՅԱՆ 2015 ԹՎԱԿԱՆԻ ՕԳՈՍՏՈՍԻ 31-Ի N 1093-Ն ԵՎ ՀԱՅԱՍՏԱՆԻ ՀԱՆՐԱՊԵՏՈՒԹՅԱՆ ԿԱՌԱՎԱՐՈՒԹՅԱՆ 2019 ԹՎԱԿԱՆԻ ԴԵԿՏԵՄԲԵՐԻ 19-Ի N 1849-Ն ՈՐՈՇՈՒՄՆԵՐԻ ՄԵՋ ԼՐԱՑՈՒՄՆԵՐ ԿԱՏԱՐԵԼՈՒ ՄԱՍԻՆ</w:t>
      </w:r>
    </w:p>
    <w:p w14:paraId="315224D6" w14:textId="77777777" w:rsidR="003B5EE7" w:rsidRPr="009E3579" w:rsidRDefault="003B5EE7" w:rsidP="009E357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</w:p>
    <w:p w14:paraId="375BE788" w14:textId="7AE9BC8A" w:rsidR="006542E2" w:rsidRPr="009E3579" w:rsidRDefault="00364387" w:rsidP="009E357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i/>
        </w:rPr>
      </w:pPr>
      <w:r w:rsidRPr="009E3579">
        <w:rPr>
          <w:rFonts w:ascii="GHEA Grapalat" w:hAnsi="GHEA Grapalat"/>
        </w:rPr>
        <w:t>Հ</w:t>
      </w:r>
      <w:r w:rsidR="006542E2" w:rsidRPr="009E3579">
        <w:rPr>
          <w:rFonts w:ascii="GHEA Grapalat" w:hAnsi="GHEA Grapalat"/>
        </w:rPr>
        <w:t xml:space="preserve">իմք ընդունելով </w:t>
      </w:r>
      <w:r w:rsidR="006A1838" w:rsidRPr="009E3579">
        <w:rPr>
          <w:rFonts w:ascii="GHEA Grapalat" w:hAnsi="GHEA Grapalat"/>
        </w:rPr>
        <w:t>Հայաստանի Հանրապետության քաղաքացիական դատավարության օրենսգրքի 119.12-րդ հոդվածի 4-րդ մասը, Հայաստանի Հանրապետության վարչական դատավարության օրենսգրքի 64.13-րդ հոդվածի 4-րդ մասը</w:t>
      </w:r>
      <w:r w:rsidR="0081096B" w:rsidRPr="009E3579">
        <w:rPr>
          <w:rFonts w:ascii="GHEA Grapalat" w:hAnsi="GHEA Grapalat"/>
        </w:rPr>
        <w:t xml:space="preserve">, </w:t>
      </w:r>
      <w:r w:rsidR="006A1838" w:rsidRPr="009E3579">
        <w:rPr>
          <w:rFonts w:ascii="GHEA Grapalat" w:hAnsi="GHEA Grapalat"/>
        </w:rPr>
        <w:t xml:space="preserve"> </w:t>
      </w:r>
      <w:r w:rsidR="006542E2" w:rsidRPr="009E3579">
        <w:rPr>
          <w:rFonts w:ascii="GHEA Grapalat" w:hAnsi="GHEA Grapalat"/>
        </w:rPr>
        <w:t xml:space="preserve">«Սնանկության մասին» օրենքի </w:t>
      </w:r>
      <w:r w:rsidR="006A1838" w:rsidRPr="009E3579">
        <w:rPr>
          <w:rFonts w:ascii="GHEA Grapalat" w:hAnsi="GHEA Grapalat"/>
        </w:rPr>
        <w:t>13-</w:t>
      </w:r>
      <w:r w:rsidR="006542E2" w:rsidRPr="009E3579">
        <w:rPr>
          <w:rFonts w:ascii="GHEA Grapalat" w:hAnsi="GHEA Grapalat"/>
        </w:rPr>
        <w:t xml:space="preserve">րդ հոդվածի </w:t>
      </w:r>
      <w:r w:rsidR="006A1838" w:rsidRPr="009E3579">
        <w:rPr>
          <w:rFonts w:ascii="GHEA Grapalat" w:hAnsi="GHEA Grapalat"/>
        </w:rPr>
        <w:t>3.1-ին</w:t>
      </w:r>
      <w:r w:rsidR="006542E2" w:rsidRPr="009E3579">
        <w:rPr>
          <w:rFonts w:ascii="GHEA Grapalat" w:hAnsi="GHEA Grapalat"/>
        </w:rPr>
        <w:t xml:space="preserve"> մասը</w:t>
      </w:r>
      <w:r w:rsidR="0081096B" w:rsidRPr="009E3579">
        <w:rPr>
          <w:rFonts w:ascii="GHEA Grapalat" w:hAnsi="GHEA Grapalat"/>
        </w:rPr>
        <w:t xml:space="preserve"> և ղեկավարվելով «Նորմատիվ իրավական ակտերի մասին</w:t>
      </w:r>
      <w:r w:rsidR="001C0A4B" w:rsidRPr="009E3579">
        <w:rPr>
          <w:rFonts w:ascii="GHEA Grapalat" w:hAnsi="GHEA Grapalat"/>
        </w:rPr>
        <w:t>»</w:t>
      </w:r>
      <w:r w:rsidR="0081096B" w:rsidRPr="009E3579">
        <w:rPr>
          <w:rFonts w:ascii="GHEA Grapalat" w:hAnsi="GHEA Grapalat"/>
        </w:rPr>
        <w:t xml:space="preserve"> օրենքի 33-րդ </w:t>
      </w:r>
      <w:r w:rsidR="001C0A4B" w:rsidRPr="009E3579">
        <w:rPr>
          <w:rFonts w:ascii="GHEA Grapalat" w:hAnsi="GHEA Grapalat"/>
        </w:rPr>
        <w:t>և 34-րդ հոդվածներով</w:t>
      </w:r>
      <w:r w:rsidR="006542E2" w:rsidRPr="009E3579">
        <w:rPr>
          <w:rFonts w:ascii="GHEA Grapalat" w:hAnsi="GHEA Grapalat"/>
        </w:rPr>
        <w:t xml:space="preserve">` Հայաստանի Հանրապետության կառավարությունը </w:t>
      </w:r>
      <w:r w:rsidR="006542E2" w:rsidRPr="009E3579">
        <w:rPr>
          <w:rFonts w:ascii="GHEA Grapalat" w:hAnsi="GHEA Grapalat"/>
          <w:b/>
          <w:i/>
        </w:rPr>
        <w:t>որոշում է</w:t>
      </w:r>
      <w:r w:rsidR="006542E2" w:rsidRPr="009E3579">
        <w:rPr>
          <w:rFonts w:ascii="GHEA Grapalat" w:hAnsi="GHEA Grapalat"/>
          <w:i/>
        </w:rPr>
        <w:t>.</w:t>
      </w:r>
    </w:p>
    <w:p w14:paraId="43BACC59" w14:textId="1D4B4C86" w:rsidR="00201C0A" w:rsidRPr="009E3579" w:rsidRDefault="00201C0A" w:rsidP="009E357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9E3579">
        <w:rPr>
          <w:rFonts w:ascii="GHEA Grapalat" w:hAnsi="GHEA Grapalat"/>
        </w:rPr>
        <w:t>1. Սահմանել, որ`</w:t>
      </w:r>
    </w:p>
    <w:p w14:paraId="6D990CE6" w14:textId="02D4A01F" w:rsidR="00134426" w:rsidRPr="009E3579" w:rsidRDefault="00201C0A" w:rsidP="009E357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9E3579">
        <w:rPr>
          <w:rFonts w:ascii="GHEA Grapalat" w:hAnsi="GHEA Grapalat"/>
        </w:rPr>
        <w:t>1</w:t>
      </w:r>
      <w:r w:rsidR="00634861" w:rsidRPr="009E3579">
        <w:rPr>
          <w:rFonts w:ascii="GHEA Grapalat" w:hAnsi="GHEA Grapalat"/>
        </w:rPr>
        <w:t xml:space="preserve">) </w:t>
      </w:r>
      <w:r w:rsidR="00134426" w:rsidRPr="009E3579">
        <w:rPr>
          <w:rFonts w:ascii="GHEA Grapalat" w:hAnsi="GHEA Grapalat"/>
        </w:rPr>
        <w:t xml:space="preserve"> </w:t>
      </w:r>
      <w:r w:rsidR="00634861" w:rsidRPr="009E3579">
        <w:rPr>
          <w:rFonts w:ascii="GHEA Grapalat" w:hAnsi="GHEA Grapalat"/>
        </w:rPr>
        <w:t xml:space="preserve">Դատական </w:t>
      </w:r>
      <w:r w:rsidR="00134426" w:rsidRPr="009E3579">
        <w:rPr>
          <w:rFonts w:ascii="GHEA Grapalat" w:hAnsi="GHEA Grapalat"/>
        </w:rPr>
        <w:t>էլեկտրոնային համակարգի և էլեկտրոնային տեղեկատվական այլ համակարգերի միջև</w:t>
      </w:r>
      <w:r w:rsidR="00634861" w:rsidRPr="009E3579">
        <w:rPr>
          <w:rFonts w:ascii="GHEA Grapalat" w:hAnsi="GHEA Grapalat"/>
        </w:rPr>
        <w:t xml:space="preserve"> տվյալների փոխանցումն իրականացվում է Կառավարության 2015 թվականի օգոստոսի 31-ի «Պետական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անվտանգության, փոխգործելիության և տեխնիկական ընդհանուր պահանջները սահմանելու մասին» N 1093-Ն և 2019 թվականի դեկտեմբերի 19-ի «Էլեկտրոնային տեղեկատվական համակարգի միջոցով անձնական տվյալների փոխանցման կարգը հաստատելու և Հայաստանի Հանրապետության կառավարության 2017 թվականի փետրվարի 16-ի N 192-Ն որոշումը ուժը կորցրած ճանաչելու մասին» N 1849-Ն որոշումներով սահմանված </w:t>
      </w:r>
      <w:r w:rsidR="00634861" w:rsidRPr="009E3579">
        <w:rPr>
          <w:rFonts w:ascii="GHEA Grapalat" w:hAnsi="GHEA Grapalat"/>
        </w:rPr>
        <w:lastRenderedPageBreak/>
        <w:t>կարգերին համապատասխան</w:t>
      </w:r>
      <w:r w:rsidR="002950EC" w:rsidRPr="009E3579">
        <w:rPr>
          <w:rFonts w:ascii="GHEA Grapalat" w:hAnsi="GHEA Grapalat"/>
        </w:rPr>
        <w:t>՝ էլեկտրոնային համակարգերի փոխգործելիության և համապատասխան տվյալների բազաների փոխկապակցման միջոցով</w:t>
      </w:r>
      <w:r w:rsidR="00134426" w:rsidRPr="009E3579">
        <w:rPr>
          <w:rFonts w:ascii="GHEA Grapalat" w:hAnsi="GHEA Grapalat"/>
        </w:rPr>
        <w:t>:</w:t>
      </w:r>
    </w:p>
    <w:p w14:paraId="2390B856" w14:textId="1EC97D91" w:rsidR="00134426" w:rsidRPr="009E3579" w:rsidRDefault="00634861" w:rsidP="009E357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9E3579">
        <w:rPr>
          <w:rFonts w:ascii="GHEA Grapalat" w:hAnsi="GHEA Grapalat"/>
        </w:rPr>
        <w:t>2) Դ</w:t>
      </w:r>
      <w:r w:rsidR="00134426" w:rsidRPr="009E3579">
        <w:rPr>
          <w:rFonts w:ascii="GHEA Grapalat" w:hAnsi="GHEA Grapalat"/>
        </w:rPr>
        <w:t xml:space="preserve">ատարանի, պետական և տեղական ինքնակառավարման մարմինների ու սնանկության կառավարչի միջև էլեկտրոնային եղանակով փաստաթղթաշրջանառությունը իրականացվում է </w:t>
      </w:r>
      <w:r w:rsidRPr="009E3579">
        <w:rPr>
          <w:rFonts w:ascii="GHEA Grapalat" w:hAnsi="GHEA Grapalat"/>
        </w:rPr>
        <w:t xml:space="preserve">Կառավարության 2015 թվականի օգոստոսի 31-ի «Պետական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անվտանգության, փոխգործելիության և տեխնիկական ընդհանուր պահանջները սահմանելու մասին» N 1093-Ն և 2019 թվականի դեկտեմբերի 19-ի «Էլեկտրոնային տեղեկատվական համակարգի միջոցով անձնական տվյալների փոխանցման կարգը հաստատելու և Հայաստանի Հանրապետության կառավարության 2017 թվականի փետրվարի 16-ի N 192-Ն որոշումը ուժը կորցրած ճանաչելու մասին» N 1849-Ն որոշումներով </w:t>
      </w:r>
      <w:r w:rsidR="00134426" w:rsidRPr="009E3579">
        <w:rPr>
          <w:rFonts w:ascii="GHEA Grapalat" w:hAnsi="GHEA Grapalat"/>
        </w:rPr>
        <w:t>սահմանված կարգ</w:t>
      </w:r>
      <w:r w:rsidRPr="009E3579">
        <w:rPr>
          <w:rFonts w:ascii="GHEA Grapalat" w:hAnsi="GHEA Grapalat"/>
        </w:rPr>
        <w:t>եր</w:t>
      </w:r>
      <w:r w:rsidR="00134426" w:rsidRPr="009E3579">
        <w:rPr>
          <w:rFonts w:ascii="GHEA Grapalat" w:hAnsi="GHEA Grapalat"/>
        </w:rPr>
        <w:t>ին համապատասխան</w:t>
      </w:r>
      <w:r w:rsidR="002950EC" w:rsidRPr="009E3579">
        <w:rPr>
          <w:rFonts w:ascii="GHEA Grapalat" w:hAnsi="GHEA Grapalat"/>
        </w:rPr>
        <w:t>՝ էլեկտրոնային համակարգերի փոխգործելիության և համապատասխան տվյալների բազաների փոխկապակցման միջոցով</w:t>
      </w:r>
      <w:r w:rsidR="00134426" w:rsidRPr="009E3579">
        <w:rPr>
          <w:rFonts w:ascii="GHEA Grapalat" w:hAnsi="GHEA Grapalat"/>
        </w:rPr>
        <w:t>:</w:t>
      </w:r>
    </w:p>
    <w:p w14:paraId="12C90C1A" w14:textId="0D437657" w:rsidR="002D57CC" w:rsidRPr="009E3579" w:rsidRDefault="00634861" w:rsidP="009E357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9E3579">
        <w:rPr>
          <w:rFonts w:ascii="GHEA Grapalat" w:hAnsi="GHEA Grapalat"/>
        </w:rPr>
        <w:t xml:space="preserve">3) </w:t>
      </w:r>
      <w:r w:rsidR="002950EC" w:rsidRPr="009E3579">
        <w:rPr>
          <w:rFonts w:ascii="GHEA Grapalat" w:hAnsi="GHEA Grapalat"/>
        </w:rPr>
        <w:t>Կ</w:t>
      </w:r>
      <w:r w:rsidR="002D57CC" w:rsidRPr="009E3579">
        <w:rPr>
          <w:rFonts w:ascii="GHEA Grapalat" w:hAnsi="GHEA Grapalat"/>
        </w:rPr>
        <w:t xml:space="preserve">առավարության 2015 թվականի օգոստոսի 31-ի N 1093-Ն որոշմամբ սահմանված օպերատորը նշված որոշմամբ սահմանված ընդհանուր պահանջների հիման վրա մշակելու է տեխնիկական միացման համար սահմանված </w:t>
      </w:r>
      <w:r w:rsidR="002F7D38" w:rsidRPr="009E3579">
        <w:rPr>
          <w:rFonts w:ascii="GHEA Grapalat" w:hAnsi="GHEA Grapalat"/>
        </w:rPr>
        <w:t>ու</w:t>
      </w:r>
      <w:r w:rsidR="002D57CC" w:rsidRPr="009E3579">
        <w:rPr>
          <w:rFonts w:ascii="GHEA Grapalat" w:hAnsi="GHEA Grapalat"/>
        </w:rPr>
        <w:t xml:space="preserve"> կիրառվող անվտանգության նվազագույն պահանջներ</w:t>
      </w:r>
      <w:r w:rsidR="00217CD7" w:rsidRPr="009E3579">
        <w:rPr>
          <w:rFonts w:ascii="GHEA Grapalat" w:hAnsi="GHEA Grapalat"/>
        </w:rPr>
        <w:t xml:space="preserve"> և ապահովելու է </w:t>
      </w:r>
      <w:r w:rsidR="002F7D38" w:rsidRPr="009E3579">
        <w:rPr>
          <w:rFonts w:ascii="GHEA Grapalat" w:hAnsi="GHEA Grapalat"/>
        </w:rPr>
        <w:t>է</w:t>
      </w:r>
      <w:r w:rsidR="00217CD7" w:rsidRPr="009E3579">
        <w:rPr>
          <w:rFonts w:ascii="GHEA Grapalat" w:hAnsi="GHEA Grapalat"/>
        </w:rPr>
        <w:t>լեկտրոնային համակարգի ինտեգրումը և փոխգործելիությունը տեղեկատվություն մատակարարող պետական կառավարման և տեղական ինքնակառավարման մարմինների էլեկտրոնային համակարգերի հետ</w:t>
      </w:r>
      <w:r w:rsidR="002D57CC" w:rsidRPr="009E3579">
        <w:rPr>
          <w:rFonts w:ascii="GHEA Grapalat" w:hAnsi="GHEA Grapalat"/>
        </w:rPr>
        <w:t xml:space="preserve">: </w:t>
      </w:r>
    </w:p>
    <w:p w14:paraId="5AFFEEDA" w14:textId="124FB406" w:rsidR="002D718B" w:rsidRPr="009E3579" w:rsidRDefault="00201C0A" w:rsidP="009E357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9E3579">
        <w:rPr>
          <w:rFonts w:ascii="GHEA Grapalat" w:hAnsi="GHEA Grapalat"/>
        </w:rPr>
        <w:t xml:space="preserve">2. </w:t>
      </w:r>
      <w:r w:rsidR="002D0AA1" w:rsidRPr="009E3579">
        <w:rPr>
          <w:rFonts w:ascii="GHEA Grapalat" w:hAnsi="GHEA Grapalat"/>
        </w:rPr>
        <w:t>Կ</w:t>
      </w:r>
      <w:r w:rsidR="00C452DE" w:rsidRPr="009E3579">
        <w:rPr>
          <w:rFonts w:ascii="GHEA Grapalat" w:hAnsi="GHEA Grapalat"/>
        </w:rPr>
        <w:t xml:space="preserve">առավարության 2015 թվականի օգոստոսի 31-ի  N 1093-Ն որոշման մեջ </w:t>
      </w:r>
      <w:r w:rsidRPr="009E3579">
        <w:rPr>
          <w:rFonts w:ascii="GHEA Grapalat" w:hAnsi="GHEA Grapalat"/>
        </w:rPr>
        <w:t xml:space="preserve"> </w:t>
      </w:r>
      <w:r w:rsidR="00732E1D" w:rsidRPr="009E3579">
        <w:rPr>
          <w:rFonts w:ascii="GHEA Grapalat" w:hAnsi="GHEA Grapalat"/>
        </w:rPr>
        <w:t>լրացնել հետևյալ բովանդակությամբ նոր՝ 8-րդ կետ</w:t>
      </w:r>
      <w:r w:rsidR="00732E1D" w:rsidRPr="009E3579">
        <w:rPr>
          <w:rFonts w:ascii="Cambria Math" w:hAnsi="Cambria Math" w:cs="Cambria Math"/>
        </w:rPr>
        <w:t>․</w:t>
      </w:r>
    </w:p>
    <w:p w14:paraId="6ABD4EB0" w14:textId="13E764A6" w:rsidR="00201C0A" w:rsidRPr="009E3579" w:rsidRDefault="002D718B" w:rsidP="009E357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9E3579">
        <w:rPr>
          <w:rFonts w:ascii="GHEA Grapalat" w:hAnsi="GHEA Grapalat"/>
        </w:rPr>
        <w:t>«8. Սույն որոշման գործողությունը տարածվում է նաև դատական էլեկտրոնային համակարգի և էլեկտրոնային տեղեկատվական այլ համակարգերի միջև տվյալների փոխանցումը և դատարանի, պետական և տեղական ինքնակառավարման մարմինների ու սնանկության կառավարչի միջև էլեկտրոնային եղանակով փաստաթղթաշրջանառությունն իրականացնելու հարաբերությունների նկատմամբ:</w:t>
      </w:r>
      <w:r w:rsidR="00217CD7" w:rsidRPr="009E3579">
        <w:rPr>
          <w:rFonts w:ascii="GHEA Grapalat" w:hAnsi="GHEA Grapalat"/>
        </w:rPr>
        <w:t xml:space="preserve"> Էլեկտրոնային համակարգի անխափան աշխատանքը, փոխգործելիությունը և </w:t>
      </w:r>
      <w:r w:rsidR="00217CD7" w:rsidRPr="009E3579">
        <w:rPr>
          <w:rFonts w:ascii="GHEA Grapalat" w:hAnsi="GHEA Grapalat"/>
        </w:rPr>
        <w:lastRenderedPageBreak/>
        <w:t>ինտեգրման հնարավորությունն այլ էլեկտրոնային համակարգերի հետ ապահովելու է սույն որոշմամբ սահմանված օպերատորը։</w:t>
      </w:r>
      <w:r w:rsidRPr="009E3579">
        <w:rPr>
          <w:rFonts w:ascii="GHEA Grapalat" w:hAnsi="GHEA Grapalat"/>
        </w:rPr>
        <w:t>»</w:t>
      </w:r>
    </w:p>
    <w:p w14:paraId="7306D970" w14:textId="2D79D831" w:rsidR="00217CD7" w:rsidRPr="009E3579" w:rsidRDefault="00201C0A" w:rsidP="009E357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9E3579">
        <w:rPr>
          <w:rFonts w:ascii="GHEA Grapalat" w:hAnsi="GHEA Grapalat"/>
        </w:rPr>
        <w:t xml:space="preserve">3. </w:t>
      </w:r>
      <w:r w:rsidR="002D0AA1" w:rsidRPr="009E3579">
        <w:rPr>
          <w:rFonts w:ascii="GHEA Grapalat" w:hAnsi="GHEA Grapalat"/>
        </w:rPr>
        <w:t>Կ</w:t>
      </w:r>
      <w:r w:rsidRPr="009E3579">
        <w:rPr>
          <w:rFonts w:ascii="GHEA Grapalat" w:hAnsi="GHEA Grapalat"/>
        </w:rPr>
        <w:t xml:space="preserve">առավարության 2019 թվականի դեկտեմբերի 19-ի N 1849-Ն որոշման մեջ </w:t>
      </w:r>
      <w:r w:rsidR="00217CD7" w:rsidRPr="009E3579">
        <w:rPr>
          <w:rFonts w:ascii="GHEA Grapalat" w:hAnsi="GHEA Grapalat"/>
        </w:rPr>
        <w:t>լրացնել հետևյալ բովանդակությամբ նոր՝ 3.1-ին կետ</w:t>
      </w:r>
      <w:r w:rsidR="00217CD7" w:rsidRPr="009E3579">
        <w:rPr>
          <w:rFonts w:ascii="Cambria Math" w:hAnsi="Cambria Math" w:cs="Cambria Math"/>
        </w:rPr>
        <w:t>․</w:t>
      </w:r>
    </w:p>
    <w:p w14:paraId="668D2308" w14:textId="128CF4F7" w:rsidR="00201C0A" w:rsidRPr="009E3579" w:rsidRDefault="00217CD7" w:rsidP="009E357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9E3579">
        <w:rPr>
          <w:rFonts w:ascii="GHEA Grapalat" w:hAnsi="GHEA Grapalat"/>
        </w:rPr>
        <w:t>«3.1</w:t>
      </w:r>
      <w:r w:rsidR="002F7D38" w:rsidRPr="009E3579">
        <w:rPr>
          <w:rFonts w:ascii="GHEA Grapalat" w:hAnsi="GHEA Grapalat"/>
        </w:rPr>
        <w:t>. Սույն որոշմամբ</w:t>
      </w:r>
      <w:r w:rsidRPr="009E3579">
        <w:rPr>
          <w:rFonts w:ascii="GHEA Grapalat" w:hAnsi="GHEA Grapalat"/>
        </w:rPr>
        <w:t xml:space="preserve"> </w:t>
      </w:r>
      <w:r w:rsidR="002F7D38" w:rsidRPr="009E3579">
        <w:rPr>
          <w:rFonts w:ascii="GHEA Grapalat" w:hAnsi="GHEA Grapalat"/>
        </w:rPr>
        <w:t xml:space="preserve">սահմանված անձնական տվյալների փոխանցման հետ կապված կարգավորումների </w:t>
      </w:r>
      <w:r w:rsidRPr="009E3579">
        <w:rPr>
          <w:rFonts w:ascii="GHEA Grapalat" w:hAnsi="GHEA Grapalat"/>
        </w:rPr>
        <w:t>գործողությունը տարածվում է նաև դատական էլեկտրոնային համակարգի և էլեկտրոնային տեղեկատվական այլ համակարգերի միջև տվյալների փոխանցումը և դատարանի, պետական և տեղական ինքնակառավարման մարմինների ու սնանկության կառավարչի միջև էլեկտրոնային եղանակով փաստաթղթաշրջանառությունն իրականացնելու հարաբերությունների նկատմամբ:»։</w:t>
      </w:r>
    </w:p>
    <w:p w14:paraId="714518FA" w14:textId="568B97C4" w:rsidR="00510409" w:rsidRPr="009E3579" w:rsidRDefault="00134426" w:rsidP="009E357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</w:rPr>
      </w:pPr>
      <w:r w:rsidRPr="009E3579">
        <w:rPr>
          <w:rFonts w:ascii="GHEA Grapalat" w:hAnsi="GHEA Grapalat"/>
        </w:rPr>
        <w:t xml:space="preserve">4. </w:t>
      </w:r>
      <w:bookmarkStart w:id="0" w:name="_GoBack"/>
      <w:bookmarkEnd w:id="0"/>
      <w:r w:rsidR="006542E2" w:rsidRPr="009E3579">
        <w:rPr>
          <w:rFonts w:ascii="GHEA Grapalat" w:hAnsi="GHEA Grapalat"/>
        </w:rPr>
        <w:t xml:space="preserve">Սույն որոշումն </w:t>
      </w:r>
      <w:r w:rsidR="00642779" w:rsidRPr="009E3579">
        <w:rPr>
          <w:rFonts w:ascii="GHEA Grapalat" w:hAnsi="GHEA Grapalat"/>
        </w:rPr>
        <w:t xml:space="preserve">ուժի մեջ է մտնում </w:t>
      </w:r>
      <w:r w:rsidR="005424BB" w:rsidRPr="009E3579">
        <w:rPr>
          <w:rFonts w:ascii="GHEA Grapalat" w:hAnsi="GHEA Grapalat"/>
        </w:rPr>
        <w:t xml:space="preserve">պաշտոնական հրապարակման օրվան </w:t>
      </w:r>
      <w:r w:rsidR="00642779" w:rsidRPr="009E3579">
        <w:rPr>
          <w:rFonts w:ascii="GHEA Grapalat" w:hAnsi="GHEA Grapalat"/>
        </w:rPr>
        <w:t>հաջորդող տասներորդ օրվանից</w:t>
      </w:r>
      <w:r w:rsidR="006542E2" w:rsidRPr="009E3579">
        <w:rPr>
          <w:rFonts w:ascii="GHEA Grapalat" w:hAnsi="GHEA Grapalat"/>
        </w:rPr>
        <w:t>:</w:t>
      </w:r>
    </w:p>
    <w:p w14:paraId="68A8EE72" w14:textId="77777777" w:rsidR="00817A1D" w:rsidRDefault="00817A1D" w:rsidP="00817A1D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bCs/>
          <w:color w:val="000000"/>
          <w:sz w:val="21"/>
          <w:szCs w:val="21"/>
          <w:shd w:val="clear" w:color="auto" w:fill="FFFFFF"/>
          <w:lang w:val="hy-AM"/>
        </w:rPr>
      </w:pPr>
    </w:p>
    <w:sectPr w:rsidR="00817A1D" w:rsidSect="00AA382D">
      <w:headerReference w:type="default" r:id="rId7"/>
      <w:footerReference w:type="default" r:id="rId8"/>
      <w:pgSz w:w="11906" w:h="16838" w:code="9"/>
      <w:pgMar w:top="1134" w:right="900" w:bottom="851" w:left="1418" w:header="39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AC081" w14:textId="77777777" w:rsidR="00694830" w:rsidRDefault="00694830" w:rsidP="005A4E16">
      <w:r>
        <w:separator/>
      </w:r>
    </w:p>
  </w:endnote>
  <w:endnote w:type="continuationSeparator" w:id="0">
    <w:p w14:paraId="61937D2E" w14:textId="77777777" w:rsidR="00694830" w:rsidRDefault="00694830" w:rsidP="005A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93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D6FFB" w14:textId="3B73D0C3" w:rsidR="005A4E16" w:rsidRDefault="005A4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C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4DE405" w14:textId="77777777" w:rsidR="005A4E16" w:rsidRDefault="005A4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4DB06" w14:textId="77777777" w:rsidR="00694830" w:rsidRDefault="00694830" w:rsidP="005A4E16">
      <w:r>
        <w:separator/>
      </w:r>
    </w:p>
  </w:footnote>
  <w:footnote w:type="continuationSeparator" w:id="0">
    <w:p w14:paraId="0EE20D8B" w14:textId="77777777" w:rsidR="00694830" w:rsidRDefault="00694830" w:rsidP="005A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9925" w14:textId="77777777" w:rsidR="005A4E16" w:rsidRPr="005A4E16" w:rsidRDefault="005A4E16" w:rsidP="005A4E16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9922"/>
      </w:tabs>
      <w:ind w:hanging="2"/>
      <w:rPr>
        <w:rFonts w:ascii="GHEA Grapalat" w:eastAsia="GHEA Grapalat" w:hAnsi="GHEA Grapalat" w:cs="GHEA Grapalat"/>
        <w:color w:val="FF0000"/>
        <w:sz w:val="20"/>
        <w:szCs w:val="20"/>
        <w:lang w:eastAsia="ru-RU"/>
      </w:rPr>
    </w:pPr>
    <w:r w:rsidRPr="005A4E16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Ա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րդարադատության                                                       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ab/>
    </w:r>
    <w:r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</w:t>
    </w:r>
    <w:r w:rsidRPr="005A4E16">
      <w:rPr>
        <w:rFonts w:ascii="GHEA Grapalat" w:eastAsia="GHEA Grapalat" w:hAnsi="GHEA Grapalat" w:cs="GHEA Grapalat"/>
        <w:color w:val="000000"/>
        <w:lang w:eastAsia="ru-RU"/>
      </w:rPr>
      <w:t>ՆԱԽԱԳԻԾ</w:t>
    </w:r>
    <w:r w:rsidRPr="005A4E16">
      <w:rPr>
        <w:noProof/>
        <w:lang w:val="en-US"/>
      </w:rPr>
      <w:drawing>
        <wp:anchor distT="0" distB="0" distL="0" distR="0" simplePos="0" relativeHeight="251659264" behindDoc="0" locked="0" layoutInCell="1" allowOverlap="1" wp14:anchorId="2E7947BB" wp14:editId="7DC19F15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ABEED0" w14:textId="77777777" w:rsidR="005A4E16" w:rsidRPr="005A4E16" w:rsidRDefault="005A4E16" w:rsidP="005A4E16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GHEA Grapalat" w:eastAsia="GHEA Grapalat" w:hAnsi="GHEA Grapalat" w:cs="GHEA Grapalat"/>
        <w:color w:val="000000"/>
        <w:sz w:val="20"/>
        <w:szCs w:val="20"/>
        <w:lang w:eastAsia="ru-RU"/>
      </w:rPr>
    </w:pPr>
    <w:r w:rsidRPr="005A4E16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Ն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ախարարություն</w:t>
    </w:r>
  </w:p>
  <w:p w14:paraId="26F5A19E" w14:textId="77777777" w:rsidR="005A4E16" w:rsidRPr="005A4E16" w:rsidRDefault="005A4E16" w:rsidP="005A4E16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color w:val="000000"/>
        <w:sz w:val="18"/>
        <w:szCs w:val="18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FB"/>
    <w:rsid w:val="00005C9C"/>
    <w:rsid w:val="000558F1"/>
    <w:rsid w:val="00057C99"/>
    <w:rsid w:val="000864F7"/>
    <w:rsid w:val="000B29FD"/>
    <w:rsid w:val="000B3953"/>
    <w:rsid w:val="000D42EE"/>
    <w:rsid w:val="000E5CB4"/>
    <w:rsid w:val="001243CA"/>
    <w:rsid w:val="00126359"/>
    <w:rsid w:val="00130B6F"/>
    <w:rsid w:val="00134426"/>
    <w:rsid w:val="00145A55"/>
    <w:rsid w:val="00152BD3"/>
    <w:rsid w:val="00181927"/>
    <w:rsid w:val="0019449D"/>
    <w:rsid w:val="001C0A4B"/>
    <w:rsid w:val="00201C0A"/>
    <w:rsid w:val="002116ED"/>
    <w:rsid w:val="00217CD7"/>
    <w:rsid w:val="002270BB"/>
    <w:rsid w:val="002327B8"/>
    <w:rsid w:val="00251E39"/>
    <w:rsid w:val="00285A58"/>
    <w:rsid w:val="002950EC"/>
    <w:rsid w:val="002D0AA1"/>
    <w:rsid w:val="002D57CC"/>
    <w:rsid w:val="002D718B"/>
    <w:rsid w:val="002F00F4"/>
    <w:rsid w:val="002F0D20"/>
    <w:rsid w:val="002F7D38"/>
    <w:rsid w:val="00342ECA"/>
    <w:rsid w:val="00364387"/>
    <w:rsid w:val="00382775"/>
    <w:rsid w:val="003859B4"/>
    <w:rsid w:val="003B5EE7"/>
    <w:rsid w:val="00401F1E"/>
    <w:rsid w:val="00475ABD"/>
    <w:rsid w:val="00497E59"/>
    <w:rsid w:val="00510409"/>
    <w:rsid w:val="005424BB"/>
    <w:rsid w:val="00556278"/>
    <w:rsid w:val="00592DC5"/>
    <w:rsid w:val="005A4E16"/>
    <w:rsid w:val="005C5A00"/>
    <w:rsid w:val="00612EDF"/>
    <w:rsid w:val="00634861"/>
    <w:rsid w:val="00642779"/>
    <w:rsid w:val="006542E2"/>
    <w:rsid w:val="00665AB9"/>
    <w:rsid w:val="006811FD"/>
    <w:rsid w:val="00694830"/>
    <w:rsid w:val="006A1838"/>
    <w:rsid w:val="0070722C"/>
    <w:rsid w:val="00732E1D"/>
    <w:rsid w:val="0077317C"/>
    <w:rsid w:val="007B1E98"/>
    <w:rsid w:val="007F3F31"/>
    <w:rsid w:val="0081096B"/>
    <w:rsid w:val="00817A1D"/>
    <w:rsid w:val="008822B1"/>
    <w:rsid w:val="008A47D3"/>
    <w:rsid w:val="008E7E95"/>
    <w:rsid w:val="0094748C"/>
    <w:rsid w:val="009C2A32"/>
    <w:rsid w:val="009E0F45"/>
    <w:rsid w:val="009E3579"/>
    <w:rsid w:val="00A04B6E"/>
    <w:rsid w:val="00A15A77"/>
    <w:rsid w:val="00A234D4"/>
    <w:rsid w:val="00A364DE"/>
    <w:rsid w:val="00AA382D"/>
    <w:rsid w:val="00AD0BF1"/>
    <w:rsid w:val="00B53F88"/>
    <w:rsid w:val="00B97F7A"/>
    <w:rsid w:val="00BB28FB"/>
    <w:rsid w:val="00BD0402"/>
    <w:rsid w:val="00BE102B"/>
    <w:rsid w:val="00C30808"/>
    <w:rsid w:val="00C452DE"/>
    <w:rsid w:val="00C720C8"/>
    <w:rsid w:val="00C94320"/>
    <w:rsid w:val="00DC34FF"/>
    <w:rsid w:val="00E3411A"/>
    <w:rsid w:val="00E53F40"/>
    <w:rsid w:val="00F253C7"/>
    <w:rsid w:val="00F57F37"/>
    <w:rsid w:val="00FB7EAD"/>
    <w:rsid w:val="00F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9498B"/>
  <w15:chartTrackingRefBased/>
  <w15:docId w15:val="{AF1F18ED-6FBB-4790-B72D-DC4BD66B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E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A4E16"/>
  </w:style>
  <w:style w:type="paragraph" w:styleId="Footer">
    <w:name w:val="footer"/>
    <w:basedOn w:val="Normal"/>
    <w:link w:val="FooterChar"/>
    <w:uiPriority w:val="99"/>
    <w:unhideWhenUsed/>
    <w:rsid w:val="005A4E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4E16"/>
  </w:style>
  <w:style w:type="character" w:styleId="Hyperlink">
    <w:name w:val="Hyperlink"/>
    <w:basedOn w:val="DefaultParagraphFont"/>
    <w:uiPriority w:val="99"/>
    <w:unhideWhenUsed/>
    <w:rsid w:val="00A15A7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15A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73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17C"/>
    <w:rPr>
      <w:rFonts w:ascii="Times New Roman" w:eastAsia="Times New Roman" w:hAnsi="Times New Roman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17C"/>
    <w:rPr>
      <w:rFonts w:ascii="Times New Roman" w:eastAsia="Times New Roman" w:hAnsi="Times New Roman" w:cs="Times New Roman"/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17C"/>
    <w:rPr>
      <w:rFonts w:ascii="Segoe UI" w:eastAsia="Times New Roman" w:hAnsi="Segoe UI" w:cs="Segoe UI"/>
      <w:sz w:val="18"/>
      <w:szCs w:val="18"/>
      <w:lang w:val="hy-AM"/>
    </w:rPr>
  </w:style>
  <w:style w:type="paragraph" w:customStyle="1" w:styleId="comm">
    <w:name w:val="comm"/>
    <w:basedOn w:val="Normal"/>
    <w:rsid w:val="00FB7EAD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FB7EAD"/>
    <w:pPr>
      <w:spacing w:before="100" w:beforeAutospacing="1" w:after="100" w:afterAutospacing="1"/>
    </w:pPr>
    <w:rPr>
      <w:lang w:val="en-US"/>
    </w:rPr>
  </w:style>
  <w:style w:type="paragraph" w:customStyle="1" w:styleId="vhc">
    <w:name w:val="vhc"/>
    <w:basedOn w:val="Normal"/>
    <w:rsid w:val="00FB7EAD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5C9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452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B498-DB25-4185-8525-EC9E99D3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Romik Hayrapetyan</dc:creator>
  <cp:keywords/>
  <dc:description/>
  <cp:lastModifiedBy>Romik Hayrapetyan</cp:lastModifiedBy>
  <cp:revision>60</cp:revision>
  <dcterms:created xsi:type="dcterms:W3CDTF">2023-10-25T13:44:00Z</dcterms:created>
  <dcterms:modified xsi:type="dcterms:W3CDTF">2024-01-31T13:55:00Z</dcterms:modified>
</cp:coreProperties>
</file>