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83E98" w14:textId="77777777" w:rsidR="009608C9" w:rsidRPr="00E9464A" w:rsidRDefault="009608C9" w:rsidP="002B100E">
      <w:pPr>
        <w:spacing w:before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9464A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926130D" w14:textId="5A03AC0F" w:rsidR="006C79B4" w:rsidRPr="00E9464A" w:rsidRDefault="006C79B4" w:rsidP="00E270FF">
      <w:pPr>
        <w:tabs>
          <w:tab w:val="left" w:pos="0"/>
        </w:tabs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E9464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«</w:t>
      </w:r>
      <w:r w:rsidR="00E270FF" w:rsidRPr="00E9464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«ՀԱՅԱՍՏԱՆԻ ՀԱՆՐԱՊԵՏՈՒԹՅԱՆ 2024 ԹՎԱԿԱՆԻ ՊԵՏԱԿԱՆ ԲՅՈՒՋԵԻ ՄԱՍԻՆ» ՕՐԵՆՔՈՒՄ ՎԵՐԱԲԱՇԽՈՒՄ, ՀԱՅԱՍՏԱՆԻ ՀԱՆՐԱՊԵՏՈՒԹՅԱՆ ԿԱՌԱՎԱՐՈՒԹՅԱՆ 2023 ԹՎԱԿԱՆԻ ԴԵԿՏԵՄԲԵՐԻ 28-Ի N 2323-Ն ՈՐՈՇՄԱՆ ՄԵՋ ՓՈՓՈԽՈՒԹՅ</w:t>
      </w:r>
      <w:r w:rsidR="009A36D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ՈՒՆՆԵՐ ԵՎ ԼՐԱՑՈՒՄՆԵՐ ԿԱՏԱՐԵԼՈՒ </w:t>
      </w:r>
      <w:r w:rsidR="00E270FF" w:rsidRPr="00E9464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ԵՎ ԿՈՌՈՒՊՑԻԱՅԻ ԿԱՆԽԱՐԳԵԼՄԱՆ ՀԱՆՁՆԱԺՈՂՈՎԻՆ ԳՈՒՄԱՐ ՀԱՏԿԱՑՆԵԼՈՒ ՄԱՍԻՆ</w:t>
      </w:r>
      <w:r w:rsidR="00D82A71" w:rsidRPr="00E9464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»</w:t>
      </w:r>
      <w:r w:rsidR="008060B7" w:rsidRPr="00E9464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ՈՐՈՇՄԱՆ ՆԱԽԱԳԾԻ</w:t>
      </w:r>
    </w:p>
    <w:p w14:paraId="4B5FD9D8" w14:textId="77777777" w:rsidR="009608C9" w:rsidRPr="00E9464A" w:rsidRDefault="009608C9" w:rsidP="00D82A71">
      <w:pPr>
        <w:pStyle w:val="ListParagraph"/>
        <w:numPr>
          <w:ilvl w:val="0"/>
          <w:numId w:val="13"/>
        </w:numPr>
        <w:tabs>
          <w:tab w:val="left" w:pos="993"/>
        </w:tabs>
        <w:spacing w:before="120" w:line="360" w:lineRule="auto"/>
        <w:ind w:left="0" w:firstLine="567"/>
        <w:jc w:val="both"/>
        <w:rPr>
          <w:rFonts w:ascii="GHEA Grapalat" w:hAnsi="GHEA Grapalat"/>
          <w:b/>
          <w:szCs w:val="24"/>
          <w:lang w:val="hy-AM"/>
        </w:rPr>
      </w:pPr>
      <w:r w:rsidRPr="00E9464A">
        <w:rPr>
          <w:rFonts w:ascii="GHEA Grapalat" w:hAnsi="GHEA Grapalat"/>
          <w:b/>
          <w:szCs w:val="24"/>
          <w:lang w:val="hy-AM"/>
        </w:rPr>
        <w:t>Ընթացիկ իրավիճակը և իրավական ակտի ընդունման անհրաժեշտությունը</w:t>
      </w:r>
    </w:p>
    <w:p w14:paraId="09D09B6D" w14:textId="3E4D7B64" w:rsidR="00F866AD" w:rsidRPr="00E9464A" w:rsidRDefault="004F2D35" w:rsidP="00D82A71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9464A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F866AD" w:rsidRPr="00E9464A">
        <w:rPr>
          <w:rFonts w:ascii="GHEA Grapalat" w:eastAsia="Tahoma" w:hAnsi="GHEA Grapalat" w:cs="Tahoma"/>
          <w:sz w:val="24"/>
          <w:szCs w:val="24"/>
          <w:lang w:val="hy-AM"/>
        </w:rPr>
        <w:t>«Կուսակցությունների մասին» սահմանադրական օրենքի, ինչպես նաև «Կոռուպցիայի կանխարգելման հանձնաժողովի մասին» օրենքի (այսուհետ՝ Օրենք) փոփոխություններով Կոռուպցիայի կանխարգելման հանձնաժողովին (այսուհետ՝ Հանձնաժողով) է վերապահվել</w:t>
      </w:r>
      <w:r w:rsidR="009A36DA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F866AD" w:rsidRPr="00E9464A">
        <w:rPr>
          <w:rFonts w:ascii="GHEA Grapalat" w:eastAsia="Tahoma" w:hAnsi="GHEA Grapalat" w:cs="Tahoma"/>
          <w:sz w:val="24"/>
          <w:szCs w:val="24"/>
          <w:lang w:val="hy-AM"/>
        </w:rPr>
        <w:t>Օրենքով սահմանված դեպքերում և կարգով կուսակցությունների ընթացիկ ֆինանսական գործունեության նկատմամբ վերահսկողության իրականացումը, իսկ Օրենքի 40.2</w:t>
      </w:r>
      <w:r w:rsidR="00CB12A0" w:rsidRPr="00E9464A">
        <w:rPr>
          <w:rFonts w:ascii="GHEA Grapalat" w:eastAsia="Tahoma" w:hAnsi="GHEA Grapalat" w:cs="Tahoma"/>
          <w:sz w:val="24"/>
          <w:szCs w:val="24"/>
          <w:lang w:val="hy-AM"/>
        </w:rPr>
        <w:t>-րդ</w:t>
      </w:r>
      <w:r w:rsidR="00F866AD" w:rsidRPr="00E9464A">
        <w:rPr>
          <w:rFonts w:ascii="GHEA Grapalat" w:eastAsia="Tahoma" w:hAnsi="GHEA Grapalat" w:cs="Tahoma"/>
          <w:sz w:val="24"/>
          <w:szCs w:val="24"/>
          <w:lang w:val="hy-AM"/>
        </w:rPr>
        <w:t xml:space="preserve"> հոդվածի 5-րդ մասով սահմանվել</w:t>
      </w:r>
      <w:r w:rsidR="009A36DA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F866AD" w:rsidRPr="00E9464A">
        <w:rPr>
          <w:rFonts w:ascii="GHEA Grapalat" w:eastAsia="Tahoma" w:hAnsi="GHEA Grapalat" w:cs="Tahoma"/>
          <w:sz w:val="24"/>
          <w:szCs w:val="24"/>
          <w:lang w:val="hy-AM"/>
        </w:rPr>
        <w:t xml:space="preserve">է, որ «Աուդիտորական կազմակերպությունների ընտրության կարգը և նրանց ներկայացվող պահանջները սահմանում է </w:t>
      </w:r>
      <w:r w:rsidR="009A36DA">
        <w:rPr>
          <w:rFonts w:ascii="GHEA Grapalat" w:eastAsia="Tahoma" w:hAnsi="GHEA Grapalat" w:cs="Tahoma"/>
          <w:sz w:val="24"/>
          <w:szCs w:val="24"/>
          <w:lang w:val="hy-AM"/>
        </w:rPr>
        <w:t xml:space="preserve">Հանձնաժողովը </w:t>
      </w:r>
      <w:r w:rsidR="00F866AD" w:rsidRPr="00E9464A">
        <w:rPr>
          <w:rFonts w:ascii="GHEA Grapalat" w:eastAsia="Tahoma" w:hAnsi="GHEA Grapalat" w:cs="Tahoma"/>
          <w:sz w:val="24"/>
          <w:szCs w:val="24"/>
          <w:lang w:val="hy-AM"/>
        </w:rPr>
        <w:t>(...)»:</w:t>
      </w:r>
    </w:p>
    <w:p w14:paraId="44CF3850" w14:textId="77777777" w:rsidR="009A36DA" w:rsidRDefault="00797A22" w:rsidP="009A36DA">
      <w:pPr>
        <w:tabs>
          <w:tab w:val="left" w:pos="993"/>
        </w:tabs>
        <w:spacing w:line="360" w:lineRule="auto"/>
        <w:ind w:firstLine="562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E9464A">
        <w:rPr>
          <w:rFonts w:ascii="GHEA Grapalat" w:eastAsia="Tahoma" w:hAnsi="GHEA Grapalat" w:cs="Tahoma"/>
          <w:sz w:val="24"/>
          <w:szCs w:val="24"/>
          <w:lang w:val="hy-AM"/>
        </w:rPr>
        <w:t>Հիմք ընդունելով վերոգրյալ օրենսդրական կարգավորումները՝ Հանձնաժողովի 2022 թվականի հունիսի 17-ի «Աուդիտորական կազմակերպությունների ընտրության կարգը և նրանց ներկայացվող պահանջները սահմանելու մասին» որոշման (այսուհետ՝ Որոշում) Հավելվածի 36-րդ կետով սահմանվել է աուդիտորական ծառայությունների մատուցման պայմանագրի գնի որոշման մեթոդաբանությունը: Ըստ մեթոդաբանության՝  «Պայմանագրի գինը որոշվում է հիմք ընդունելով սահմանված ժամկետում աուդիտորական կազմակերպություններից ստացված գնային առաջարկների միջնարժեքը (մեդիան), որը հավասար է ստացված գնառաջարկների ըստ աճման կարգավորված շարքի հավասար մասերի բաժանման արդյունքում զույգ թվով շարքի դեպքում՝ 2 կենտրոնական արժեքների միջին թվաբանականին, իսկ կենտ թվով շարքի դեպքում՝ կենտրանական արժեքին (կիսորդին)։»:</w:t>
      </w:r>
    </w:p>
    <w:p w14:paraId="206F9F79" w14:textId="2A42193E" w:rsidR="00797A22" w:rsidRPr="009A36DA" w:rsidRDefault="00797A22" w:rsidP="009A36DA">
      <w:pPr>
        <w:tabs>
          <w:tab w:val="left" w:pos="993"/>
        </w:tabs>
        <w:spacing w:line="360" w:lineRule="auto"/>
        <w:ind w:firstLine="562"/>
        <w:jc w:val="both"/>
        <w:rPr>
          <w:rFonts w:ascii="GHEA Grapalat" w:hAnsi="GHEA Grapalat"/>
          <w:sz w:val="24"/>
          <w:szCs w:val="24"/>
          <w:lang w:val="hy-AM"/>
        </w:rPr>
      </w:pPr>
      <w:r w:rsidRPr="009A36DA">
        <w:rPr>
          <w:rFonts w:ascii="GHEA Grapalat" w:eastAsia="Tahoma" w:hAnsi="GHEA Grapalat" w:cs="Tahoma"/>
          <w:sz w:val="24"/>
          <w:szCs w:val="24"/>
          <w:lang w:val="hy-AM"/>
        </w:rPr>
        <w:t xml:space="preserve">Պայմանագրի գնի որոշման համար Հանձնաժողովը կուսակցություններից պահանջել և ստացել է աուդիտի կազմակերպման համար անհրաժեշտ տեղեկությունները, որոնք </w:t>
      </w:r>
      <w:r w:rsidRPr="009A36DA"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 xml:space="preserve">տրամադրվել են աուդիտորական կազմակերպություններին՝ ներկայացնելու գնառաջարկներ: Սահմանված ժամկետում Հանձնաժողովը ստացել է գնային առաջարկներ </w:t>
      </w:r>
      <w:r w:rsidR="00076B18" w:rsidRPr="009A36DA">
        <w:rPr>
          <w:rFonts w:ascii="GHEA Grapalat" w:eastAsia="Tahoma" w:hAnsi="GHEA Grapalat" w:cs="Tahoma"/>
          <w:sz w:val="24"/>
          <w:szCs w:val="24"/>
          <w:lang w:val="hy-AM"/>
        </w:rPr>
        <w:t>7</w:t>
      </w:r>
      <w:r w:rsidRPr="009A36DA">
        <w:rPr>
          <w:rFonts w:ascii="GHEA Grapalat" w:eastAsia="Tahoma" w:hAnsi="GHEA Grapalat" w:cs="Tahoma"/>
          <w:sz w:val="24"/>
          <w:szCs w:val="24"/>
          <w:lang w:val="hy-AM"/>
        </w:rPr>
        <w:t xml:space="preserve"> աուդիտորական կազմակերպություններից:</w:t>
      </w:r>
    </w:p>
    <w:p w14:paraId="7545A82A" w14:textId="568A4D61" w:rsidR="00797A22" w:rsidRPr="009A36DA" w:rsidRDefault="00797A22" w:rsidP="00D82A71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A36DA">
        <w:rPr>
          <w:rFonts w:ascii="GHEA Grapalat" w:eastAsia="Tahoma" w:hAnsi="GHEA Grapalat" w:cs="Tahoma"/>
          <w:sz w:val="24"/>
          <w:szCs w:val="24"/>
          <w:lang w:val="hy-AM"/>
        </w:rPr>
        <w:t>Հիմք ընդունելով Որոշմամբ սահմանված մեթոդաբանությունը՝ պարտադիր աուդիտի ենթակա կուսակցությունների աուդիտի պայմանագրի գները սահմանվել են հետևյալ կերպ</w:t>
      </w:r>
      <w:r w:rsidR="009A36DA" w:rsidRPr="009A36DA">
        <w:rPr>
          <w:rFonts w:ascii="GHEA Grapalat" w:eastAsia="Tahoma" w:hAnsi="GHEA Grapalat" w:cs="Tahoma"/>
          <w:sz w:val="24"/>
          <w:szCs w:val="24"/>
          <w:lang w:val="hy-AM"/>
        </w:rPr>
        <w:t>.</w:t>
      </w:r>
    </w:p>
    <w:tbl>
      <w:tblPr>
        <w:tblW w:w="86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5046"/>
        <w:gridCol w:w="2995"/>
        <w:gridCol w:w="16"/>
      </w:tblGrid>
      <w:tr w:rsidR="00D27670" w:rsidRPr="009A36DA" w14:paraId="7D0F4993" w14:textId="77777777" w:rsidTr="00E47771">
        <w:trPr>
          <w:trHeight w:val="508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A404F" w14:textId="77777777" w:rsidR="00D27670" w:rsidRPr="009A36DA" w:rsidRDefault="00D27670" w:rsidP="00E47771">
            <w:pPr>
              <w:spacing w:line="360" w:lineRule="atLeast"/>
              <w:jc w:val="center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N</w:t>
            </w:r>
          </w:p>
        </w:tc>
        <w:tc>
          <w:tcPr>
            <w:tcW w:w="50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1DD0F" w14:textId="77777777" w:rsidR="00D27670" w:rsidRPr="009A36DA" w:rsidRDefault="00D27670" w:rsidP="00E47771">
            <w:pPr>
              <w:spacing w:line="360" w:lineRule="atLeast"/>
              <w:jc w:val="center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Կուսակցության անվանումը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A516E" w14:textId="77777777" w:rsidR="00D27670" w:rsidRPr="009A36DA" w:rsidRDefault="00D27670" w:rsidP="00E47771">
            <w:pPr>
              <w:spacing w:line="360" w:lineRule="atLeast"/>
              <w:jc w:val="center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Պայմանագրի արժեք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D2BFA7" w14:textId="77777777" w:rsidR="00D27670" w:rsidRPr="009A36DA" w:rsidRDefault="00D27670" w:rsidP="00E47771">
            <w:pPr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</w:tr>
      <w:tr w:rsidR="00D27670" w:rsidRPr="009A36DA" w14:paraId="2A14680F" w14:textId="77777777" w:rsidTr="00E47771">
        <w:trPr>
          <w:trHeight w:val="50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86796C" w14:textId="77777777" w:rsidR="00D27670" w:rsidRPr="009A36DA" w:rsidRDefault="00D27670" w:rsidP="00E47771">
            <w:pPr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ED092A" w14:textId="77777777" w:rsidR="00D27670" w:rsidRPr="009A36DA" w:rsidRDefault="00D27670" w:rsidP="00E47771">
            <w:pPr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55D6E" w14:textId="77777777" w:rsidR="00D27670" w:rsidRPr="009A36DA" w:rsidRDefault="00D27670" w:rsidP="00E47771">
            <w:pPr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5E489C" w14:textId="77777777" w:rsidR="00D27670" w:rsidRPr="009A36DA" w:rsidRDefault="00D27670" w:rsidP="00E47771">
            <w:pPr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</w:tr>
      <w:tr w:rsidR="00D27670" w:rsidRPr="009A36DA" w14:paraId="5E731D3F" w14:textId="77777777" w:rsidTr="00E47771">
        <w:trPr>
          <w:trHeight w:val="403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8C3B0" w14:textId="42C2CD42" w:rsidR="00D27670" w:rsidRPr="009A36DA" w:rsidRDefault="00D27670" w:rsidP="00E47771">
            <w:pPr>
              <w:spacing w:line="360" w:lineRule="atLeast"/>
              <w:jc w:val="center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838A3" w14:textId="77777777" w:rsidR="00D27670" w:rsidRPr="009A36DA" w:rsidRDefault="00D27670" w:rsidP="00E47771">
            <w:pPr>
              <w:spacing w:line="360" w:lineRule="atLeast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«Վերածնվող Հայաստան»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1AF3D" w14:textId="77777777" w:rsidR="00D27670" w:rsidRPr="009A36DA" w:rsidRDefault="00D27670" w:rsidP="00E47771">
            <w:pPr>
              <w:spacing w:line="360" w:lineRule="atLeast"/>
              <w:jc w:val="right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1</w:t>
            </w:r>
            <w:r w:rsidRPr="009A36DA">
              <w:rPr>
                <w:rFonts w:ascii="Calibri" w:eastAsia="Tahoma" w:hAnsi="Calibri" w:cs="Calibri"/>
                <w:sz w:val="24"/>
                <w:szCs w:val="24"/>
                <w:lang w:val="hy-AM"/>
              </w:rPr>
              <w:t> </w:t>
            </w: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420</w:t>
            </w:r>
            <w:r w:rsidRPr="009A36DA">
              <w:rPr>
                <w:rFonts w:ascii="Calibri" w:eastAsia="Tahoma" w:hAnsi="Calibri" w:cs="Calibri"/>
                <w:sz w:val="24"/>
                <w:szCs w:val="24"/>
                <w:lang w:val="hy-AM"/>
              </w:rPr>
              <w:t> </w:t>
            </w: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FC91D2" w14:textId="77777777" w:rsidR="00D27670" w:rsidRPr="009A36DA" w:rsidRDefault="00D27670" w:rsidP="00E47771">
            <w:pPr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</w:tr>
      <w:tr w:rsidR="00D27670" w:rsidRPr="009A36DA" w14:paraId="438B8680" w14:textId="77777777" w:rsidTr="00E47771">
        <w:trPr>
          <w:trHeight w:val="274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5F2C0" w14:textId="77777777" w:rsidR="00D27670" w:rsidRPr="009A36DA" w:rsidRDefault="00D27670" w:rsidP="00E47771">
            <w:pPr>
              <w:spacing w:line="360" w:lineRule="atLeast"/>
              <w:jc w:val="center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2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E62B4" w14:textId="77777777" w:rsidR="00D27670" w:rsidRPr="009A36DA" w:rsidRDefault="00D27670" w:rsidP="00E47771">
            <w:pPr>
              <w:spacing w:line="360" w:lineRule="atLeast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«Հայ յեղափոխական դաշնակցություն»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D5AA5" w14:textId="77777777" w:rsidR="00D27670" w:rsidRPr="009A36DA" w:rsidRDefault="00D27670" w:rsidP="00E47771">
            <w:pPr>
              <w:spacing w:line="360" w:lineRule="atLeast"/>
              <w:jc w:val="right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2</w:t>
            </w:r>
            <w:r w:rsidRPr="009A36DA">
              <w:rPr>
                <w:rFonts w:ascii="Calibri" w:eastAsia="Tahoma" w:hAnsi="Calibri" w:cs="Calibri"/>
                <w:sz w:val="24"/>
                <w:szCs w:val="24"/>
                <w:lang w:val="hy-AM"/>
              </w:rPr>
              <w:t> </w:t>
            </w: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970</w:t>
            </w:r>
            <w:r w:rsidRPr="009A36DA">
              <w:rPr>
                <w:rFonts w:ascii="Calibri" w:eastAsia="Tahoma" w:hAnsi="Calibri" w:cs="Calibri"/>
                <w:sz w:val="24"/>
                <w:szCs w:val="24"/>
                <w:lang w:val="hy-AM"/>
              </w:rPr>
              <w:t> </w:t>
            </w: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5B6DAD" w14:textId="77777777" w:rsidR="00D27670" w:rsidRPr="009A36DA" w:rsidRDefault="00D27670" w:rsidP="00E47771">
            <w:pPr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</w:tr>
      <w:tr w:rsidR="00D27670" w:rsidRPr="009A36DA" w14:paraId="7ED503D8" w14:textId="77777777" w:rsidTr="00E47771">
        <w:trPr>
          <w:trHeight w:val="274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B1B1" w14:textId="77777777" w:rsidR="00D27670" w:rsidRPr="009A36DA" w:rsidRDefault="00D27670" w:rsidP="00E47771">
            <w:pPr>
              <w:spacing w:line="360" w:lineRule="atLeast"/>
              <w:jc w:val="center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3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4C14C" w14:textId="77777777" w:rsidR="00D27670" w:rsidRPr="009A36DA" w:rsidRDefault="00D27670" w:rsidP="00E47771">
            <w:pPr>
              <w:spacing w:line="360" w:lineRule="atLeast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«Բարգավաճ Հայաստան»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84CF6" w14:textId="77777777" w:rsidR="00D27670" w:rsidRPr="009A36DA" w:rsidRDefault="00D27670" w:rsidP="00E47771">
            <w:pPr>
              <w:spacing w:line="360" w:lineRule="atLeast"/>
              <w:jc w:val="right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1</w:t>
            </w:r>
            <w:r w:rsidRPr="009A36DA">
              <w:rPr>
                <w:rFonts w:ascii="Calibri" w:eastAsia="Tahoma" w:hAnsi="Calibri" w:cs="Calibri"/>
                <w:sz w:val="24"/>
                <w:szCs w:val="24"/>
                <w:lang w:val="hy-AM"/>
              </w:rPr>
              <w:t> </w:t>
            </w: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750</w:t>
            </w:r>
            <w:r w:rsidRPr="009A36DA">
              <w:rPr>
                <w:rFonts w:ascii="Calibri" w:eastAsia="Tahoma" w:hAnsi="Calibri" w:cs="Calibri"/>
                <w:sz w:val="24"/>
                <w:szCs w:val="24"/>
                <w:lang w:val="hy-AM"/>
              </w:rPr>
              <w:t> </w:t>
            </w: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5D56BB" w14:textId="77777777" w:rsidR="00D27670" w:rsidRPr="009A36DA" w:rsidRDefault="00D27670" w:rsidP="00E47771">
            <w:pPr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</w:tr>
      <w:tr w:rsidR="00D27670" w:rsidRPr="009A36DA" w14:paraId="72E37FAE" w14:textId="77777777" w:rsidTr="00E47771">
        <w:trPr>
          <w:trHeight w:val="274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17359" w14:textId="77777777" w:rsidR="00D27670" w:rsidRPr="009A36DA" w:rsidRDefault="00D27670" w:rsidP="00E47771">
            <w:pPr>
              <w:spacing w:line="360" w:lineRule="atLeast"/>
              <w:jc w:val="center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4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2FD2A" w14:textId="77777777" w:rsidR="00D27670" w:rsidRPr="009A36DA" w:rsidRDefault="00D27670" w:rsidP="00E47771">
            <w:pPr>
              <w:spacing w:line="360" w:lineRule="atLeast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«Հանրապետություն»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71A50" w14:textId="77777777" w:rsidR="00D27670" w:rsidRPr="009A36DA" w:rsidRDefault="00D27670" w:rsidP="00E47771">
            <w:pPr>
              <w:spacing w:line="360" w:lineRule="atLeast"/>
              <w:jc w:val="right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1</w:t>
            </w:r>
            <w:r w:rsidRPr="009A36DA">
              <w:rPr>
                <w:rFonts w:ascii="Calibri" w:eastAsia="Tahoma" w:hAnsi="Calibri" w:cs="Calibri"/>
                <w:sz w:val="24"/>
                <w:szCs w:val="24"/>
                <w:lang w:val="hy-AM"/>
              </w:rPr>
              <w:t> </w:t>
            </w: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200</w:t>
            </w:r>
            <w:r w:rsidRPr="009A36DA">
              <w:rPr>
                <w:rFonts w:ascii="Calibri" w:eastAsia="Tahoma" w:hAnsi="Calibri" w:cs="Calibri"/>
                <w:sz w:val="24"/>
                <w:szCs w:val="24"/>
                <w:lang w:val="hy-AM"/>
              </w:rPr>
              <w:t> </w:t>
            </w: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A931AD" w14:textId="77777777" w:rsidR="00D27670" w:rsidRPr="009A36DA" w:rsidRDefault="00D27670" w:rsidP="00E47771">
            <w:pPr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</w:tr>
      <w:tr w:rsidR="00D27670" w:rsidRPr="009A36DA" w14:paraId="6CC5771F" w14:textId="77777777" w:rsidTr="00E47771">
        <w:trPr>
          <w:trHeight w:val="274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61B24" w14:textId="77777777" w:rsidR="00D27670" w:rsidRPr="009A36DA" w:rsidRDefault="00D27670" w:rsidP="00E47771">
            <w:pPr>
              <w:spacing w:line="360" w:lineRule="atLeast"/>
              <w:jc w:val="center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5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C0155" w14:textId="77777777" w:rsidR="00D27670" w:rsidRPr="009A36DA" w:rsidRDefault="00D27670" w:rsidP="00E47771">
            <w:pPr>
              <w:spacing w:line="360" w:lineRule="atLeast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«Քաղաքացիական պայմանագիր»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7BD7C4" w14:textId="77777777" w:rsidR="00D27670" w:rsidRPr="009A36DA" w:rsidRDefault="00D27670" w:rsidP="00E47771">
            <w:pPr>
              <w:spacing w:line="360" w:lineRule="atLeast"/>
              <w:jc w:val="right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6</w:t>
            </w:r>
            <w:r w:rsidRPr="009A36DA">
              <w:rPr>
                <w:rFonts w:ascii="Calibri" w:eastAsia="Tahoma" w:hAnsi="Calibri" w:cs="Calibri"/>
                <w:sz w:val="24"/>
                <w:szCs w:val="24"/>
                <w:lang w:val="hy-AM"/>
              </w:rPr>
              <w:t> </w:t>
            </w: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480</w:t>
            </w:r>
            <w:r w:rsidRPr="009A36DA">
              <w:rPr>
                <w:rFonts w:ascii="Calibri" w:eastAsia="Tahoma" w:hAnsi="Calibri" w:cs="Calibri"/>
                <w:sz w:val="24"/>
                <w:szCs w:val="24"/>
                <w:lang w:val="hy-AM"/>
              </w:rPr>
              <w:t> </w:t>
            </w: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117BC1" w14:textId="77777777" w:rsidR="00D27670" w:rsidRPr="009A36DA" w:rsidRDefault="00D27670" w:rsidP="00E47771">
            <w:pPr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</w:tr>
      <w:tr w:rsidR="00D27670" w:rsidRPr="009A36DA" w14:paraId="290CB96D" w14:textId="77777777" w:rsidTr="00E47771">
        <w:trPr>
          <w:trHeight w:val="274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E28F" w14:textId="77777777" w:rsidR="00D27670" w:rsidRPr="009A36DA" w:rsidRDefault="00D27670" w:rsidP="00E47771">
            <w:pPr>
              <w:spacing w:line="360" w:lineRule="atLeast"/>
              <w:jc w:val="center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6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835C" w14:textId="77777777" w:rsidR="00D27670" w:rsidRPr="009A36DA" w:rsidRDefault="00D27670" w:rsidP="00E47771">
            <w:pPr>
              <w:spacing w:line="360" w:lineRule="atLeast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«Ապրելու երկիր»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2B1A30" w14:textId="77777777" w:rsidR="00D27670" w:rsidRPr="009A36DA" w:rsidRDefault="00D27670" w:rsidP="00E47771">
            <w:pPr>
              <w:spacing w:line="360" w:lineRule="atLeast"/>
              <w:jc w:val="right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1800 000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8A55E" w14:textId="77777777" w:rsidR="00D27670" w:rsidRPr="009A36DA" w:rsidRDefault="00D27670" w:rsidP="00E47771">
            <w:pPr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</w:tr>
      <w:tr w:rsidR="00D27670" w:rsidRPr="009A36DA" w14:paraId="298E0CA1" w14:textId="77777777" w:rsidTr="00E47771">
        <w:trPr>
          <w:trHeight w:val="274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5FDD" w14:textId="77777777" w:rsidR="00D27670" w:rsidRPr="009A36DA" w:rsidRDefault="00D27670" w:rsidP="00E47771">
            <w:pPr>
              <w:spacing w:line="360" w:lineRule="atLeast"/>
              <w:jc w:val="center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7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4963F" w14:textId="77777777" w:rsidR="00D27670" w:rsidRPr="009A36DA" w:rsidRDefault="00D27670" w:rsidP="00E47771">
            <w:pPr>
              <w:spacing w:line="360" w:lineRule="atLeast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«Հայաստանի հանրապետական»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4DD7B" w14:textId="77777777" w:rsidR="00D27670" w:rsidRPr="009A36DA" w:rsidRDefault="00D27670" w:rsidP="00E47771">
            <w:pPr>
              <w:spacing w:line="360" w:lineRule="atLeast"/>
              <w:jc w:val="right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4200 000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1956A" w14:textId="77777777" w:rsidR="00D27670" w:rsidRPr="009A36DA" w:rsidRDefault="00D27670" w:rsidP="00E47771">
            <w:pPr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</w:tr>
      <w:tr w:rsidR="00D27670" w:rsidRPr="009A36DA" w14:paraId="110DD51B" w14:textId="77777777" w:rsidTr="00E47771">
        <w:trPr>
          <w:trHeight w:val="274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73F8D" w14:textId="77777777" w:rsidR="00D27670" w:rsidRPr="009A36DA" w:rsidRDefault="00D27670" w:rsidP="00E47771">
            <w:pPr>
              <w:spacing w:line="360" w:lineRule="atLeast"/>
              <w:jc w:val="center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8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CD80" w14:textId="77777777" w:rsidR="00D27670" w:rsidRPr="009A36DA" w:rsidRDefault="00D27670" w:rsidP="00E47771">
            <w:pPr>
              <w:spacing w:line="360" w:lineRule="atLeast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«Հայրենիք»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E19A11" w14:textId="77777777" w:rsidR="00D27670" w:rsidRPr="009A36DA" w:rsidRDefault="00D27670" w:rsidP="00E47771">
            <w:pPr>
              <w:spacing w:line="360" w:lineRule="atLeast"/>
              <w:jc w:val="right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1800 000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04D9A" w14:textId="77777777" w:rsidR="00D27670" w:rsidRPr="009A36DA" w:rsidRDefault="00D27670" w:rsidP="00E47771">
            <w:pPr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</w:tr>
      <w:tr w:rsidR="00D27670" w:rsidRPr="009A36DA" w14:paraId="040E8B2C" w14:textId="77777777" w:rsidTr="00E47771">
        <w:trPr>
          <w:trHeight w:val="274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B51D36" w14:textId="36D8AB09" w:rsidR="00D27670" w:rsidRPr="009A36DA" w:rsidRDefault="00D27670" w:rsidP="00E47771">
            <w:pPr>
              <w:spacing w:line="360" w:lineRule="atLeast"/>
              <w:rPr>
                <w:rFonts w:ascii="Sylfaen" w:eastAsia="Tahoma" w:hAnsi="Sylfaen" w:cs="Tahoma"/>
                <w:b/>
                <w:sz w:val="24"/>
                <w:szCs w:val="24"/>
                <w:lang w:val="hy-AM"/>
              </w:rPr>
            </w:pPr>
            <w:bookmarkStart w:id="0" w:name="_GoBack"/>
            <w:bookmarkEnd w:id="0"/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E877E" w14:textId="77777777" w:rsidR="00D27670" w:rsidRPr="009A36DA" w:rsidRDefault="00D27670" w:rsidP="00E47771">
            <w:pPr>
              <w:spacing w:line="360" w:lineRule="atLeast"/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0D5AD" w14:textId="77777777" w:rsidR="00D27670" w:rsidRPr="009A36DA" w:rsidRDefault="00D27670" w:rsidP="00E47771">
            <w:pPr>
              <w:spacing w:line="360" w:lineRule="atLeast"/>
              <w:jc w:val="right"/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</w:pPr>
            <w:r w:rsidRPr="009A36D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21</w:t>
            </w:r>
            <w:r w:rsidRPr="009A36DA">
              <w:rPr>
                <w:rFonts w:ascii="Calibri" w:eastAsia="Tahoma" w:hAnsi="Calibri" w:cs="Calibri"/>
                <w:b/>
                <w:sz w:val="24"/>
                <w:szCs w:val="24"/>
                <w:lang w:val="hy-AM"/>
              </w:rPr>
              <w:t> </w:t>
            </w:r>
            <w:r w:rsidRPr="009A36D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620</w:t>
            </w:r>
            <w:r w:rsidRPr="009A36DA">
              <w:rPr>
                <w:rFonts w:ascii="Calibri" w:eastAsia="Tahoma" w:hAnsi="Calibri" w:cs="Calibri"/>
                <w:b/>
                <w:sz w:val="24"/>
                <w:szCs w:val="24"/>
                <w:lang w:val="hy-AM"/>
              </w:rPr>
              <w:t> </w:t>
            </w:r>
            <w:r w:rsidRPr="009A36D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>000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E20CB7" w14:textId="77777777" w:rsidR="00D27670" w:rsidRPr="009A36DA" w:rsidRDefault="00D27670" w:rsidP="00E47771">
            <w:pPr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</w:tr>
    </w:tbl>
    <w:p w14:paraId="62ABE924" w14:textId="77777777" w:rsidR="002B100E" w:rsidRPr="009A36DA" w:rsidRDefault="002B100E" w:rsidP="002B100E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781BFFF0" w14:textId="77777777" w:rsidR="00A20EDF" w:rsidRPr="009A36DA" w:rsidRDefault="009608C9" w:rsidP="00D82A71">
      <w:pPr>
        <w:pStyle w:val="ListParagraph"/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b/>
          <w:szCs w:val="24"/>
          <w:lang w:val="hy-AM"/>
        </w:rPr>
      </w:pPr>
      <w:r w:rsidRPr="009A36DA">
        <w:rPr>
          <w:rFonts w:ascii="GHEA Grapalat" w:hAnsi="GHEA Grapalat"/>
          <w:b/>
          <w:szCs w:val="24"/>
          <w:lang w:val="hy-AM"/>
        </w:rPr>
        <w:t>Առաջարկվող կարգավորման բնույթը</w:t>
      </w:r>
      <w:r w:rsidR="00213C1B" w:rsidRPr="009A36DA">
        <w:rPr>
          <w:rFonts w:ascii="GHEA Grapalat" w:hAnsi="GHEA Grapalat"/>
          <w:b/>
          <w:szCs w:val="24"/>
          <w:lang w:val="hy-AM"/>
        </w:rPr>
        <w:t xml:space="preserve"> և ակնկալվող արդյունքը</w:t>
      </w:r>
      <w:r w:rsidR="00A20EDF" w:rsidRPr="009A36DA">
        <w:rPr>
          <w:rFonts w:ascii="GHEA Grapalat" w:hAnsi="GHEA Grapalat"/>
          <w:b/>
          <w:szCs w:val="24"/>
          <w:lang w:val="hy-AM"/>
        </w:rPr>
        <w:t xml:space="preserve"> </w:t>
      </w:r>
    </w:p>
    <w:p w14:paraId="0CAB80D5" w14:textId="77777777" w:rsidR="009A36DA" w:rsidRDefault="00797A22" w:rsidP="009A36DA">
      <w:pPr>
        <w:tabs>
          <w:tab w:val="left" w:pos="90"/>
          <w:tab w:val="left" w:pos="270"/>
          <w:tab w:val="left" w:pos="993"/>
        </w:tabs>
        <w:spacing w:line="360" w:lineRule="auto"/>
        <w:ind w:firstLine="567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9A36DA">
        <w:rPr>
          <w:rFonts w:ascii="GHEA Grapalat" w:eastAsia="Tahoma" w:hAnsi="GHEA Grapalat" w:cs="Tahoma"/>
          <w:sz w:val="24"/>
          <w:szCs w:val="24"/>
          <w:lang w:val="hy-AM"/>
        </w:rPr>
        <w:t>«Կուսակցությունների մասին» ՀՀ սահմանադրական օրենքի 28-րդ հոդվածի 3-րդ մասով սահմանված է. «Պետական ֆինանսավորում հատկացվում է այն կուսակցությանը, որի ընտրական ցուցակն Ազգային ժողովի վերջին ընտրությունների ժամանակ ստացել է քվեարկությանը մասնակցած բոլոր կուսակցությունների ընտրական ցուցակների օգտին կողմ տրված ձայների ընդհանուր թվի և անճշտությունների թվի գումարի երկու տոկոսը: Պետական ֆինանսավորումը հատկացվում է միայն այն կուսակցությունների դաշինքներին, որոնք հաղթահարել են «Հայաստանի Հանրապետության ընտրական օրենսգիրք» սահմանադրական օրենքով նախատեսված ընտրական արգելապատնեշը</w:t>
      </w:r>
      <w:r w:rsidRPr="009A36DA">
        <w:rPr>
          <w:rFonts w:ascii="MS Mincho" w:eastAsia="MS Mincho" w:hAnsi="MS Mincho" w:cs="MS Mincho" w:hint="eastAsia"/>
          <w:sz w:val="24"/>
          <w:szCs w:val="24"/>
          <w:lang w:val="hy-AM"/>
        </w:rPr>
        <w:t>․․․</w:t>
      </w:r>
      <w:r w:rsidRPr="009A36DA">
        <w:rPr>
          <w:rFonts w:ascii="GHEA Grapalat" w:eastAsia="Tahoma" w:hAnsi="GHEA Grapalat" w:cs="Tahoma"/>
          <w:sz w:val="24"/>
          <w:szCs w:val="24"/>
          <w:lang w:val="hy-AM"/>
        </w:rPr>
        <w:t xml:space="preserve">»։ </w:t>
      </w:r>
    </w:p>
    <w:p w14:paraId="11A792B6" w14:textId="4011F9DE" w:rsidR="00213C1B" w:rsidRPr="009A36DA" w:rsidRDefault="007D19E2" w:rsidP="009A36DA">
      <w:pPr>
        <w:tabs>
          <w:tab w:val="left" w:pos="90"/>
          <w:tab w:val="left" w:pos="270"/>
          <w:tab w:val="left" w:pos="993"/>
        </w:tabs>
        <w:spacing w:line="360" w:lineRule="auto"/>
        <w:ind w:firstLine="567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9A36DA">
        <w:rPr>
          <w:rFonts w:ascii="GHEA Grapalat" w:hAnsi="GHEA Grapalat"/>
          <w:sz w:val="24"/>
          <w:szCs w:val="24"/>
          <w:lang w:val="hy-AM"/>
        </w:rPr>
        <w:t xml:space="preserve">Ստեղծված իրավիճակը կարգավորելու նպատակով, առաջարկվում է </w:t>
      </w:r>
      <w:r w:rsidR="004941EE" w:rsidRPr="009A36DA">
        <w:rPr>
          <w:rFonts w:ascii="GHEA Grapalat" w:eastAsia="Tahoma" w:hAnsi="GHEA Grapalat" w:cs="Tahoma"/>
          <w:sz w:val="24"/>
          <w:szCs w:val="24"/>
          <w:lang w:val="hy-AM"/>
        </w:rPr>
        <w:t>11.01.01 «1139. ՀՀ կառավարության պահուստային ֆոնդ» ծրագրի «11001. ՀՀ կառավարության պահուստային ֆոնդ» միջոցառման գծով նախատեսված ծախսերի 4891 «Պահուստային միջոցներ» հոդվածից</w:t>
      </w:r>
      <w:r w:rsidR="00CC07CD" w:rsidRPr="009A36DA">
        <w:rPr>
          <w:rFonts w:ascii="GHEA Grapalat" w:eastAsia="Tahoma" w:hAnsi="GHEA Grapalat" w:cs="Tahoma"/>
          <w:sz w:val="24"/>
          <w:szCs w:val="24"/>
          <w:lang w:val="hy-AM"/>
        </w:rPr>
        <w:t xml:space="preserve"> 01.06.01</w:t>
      </w:r>
      <w:r w:rsidR="00CC07CD" w:rsidRPr="009A36DA">
        <w:rPr>
          <w:rFonts w:ascii="GHEA Grapalat" w:hAnsi="GHEA Grapalat"/>
          <w:sz w:val="24"/>
          <w:szCs w:val="24"/>
          <w:lang w:val="hy-AM"/>
        </w:rPr>
        <w:t xml:space="preserve"> «1181. Կոռուպցիայի կանխարգելման համակարգի զարգացման ապահովում» ծրագրի «11001. Կոռուպցիայի կանխարգելում և բարեվարքության </w:t>
      </w:r>
      <w:r w:rsidR="00CC07CD" w:rsidRPr="009A36DA">
        <w:rPr>
          <w:rFonts w:ascii="GHEA Grapalat" w:hAnsi="GHEA Grapalat"/>
          <w:sz w:val="24"/>
          <w:szCs w:val="24"/>
          <w:lang w:val="hy-AM"/>
        </w:rPr>
        <w:lastRenderedPageBreak/>
        <w:t xml:space="preserve">համակարգի զարգացում» միջոցառման 4235 «Կառավարչական ծառայություններ» հոդված վերաբաշխել </w:t>
      </w:r>
      <w:r w:rsidR="004941EE" w:rsidRPr="009A36DA">
        <w:rPr>
          <w:rFonts w:ascii="GHEA Grapalat" w:hAnsi="GHEA Grapalat"/>
          <w:sz w:val="24"/>
          <w:szCs w:val="24"/>
          <w:lang w:val="hy-AM"/>
        </w:rPr>
        <w:t>համապատասխանաբար</w:t>
      </w:r>
      <w:r w:rsidR="00D27670" w:rsidRPr="009A36DA">
        <w:rPr>
          <w:rFonts w:ascii="GHEA Grapalat" w:hAnsi="GHEA Grapalat"/>
          <w:sz w:val="24"/>
          <w:szCs w:val="24"/>
          <w:lang w:val="hy-AM"/>
        </w:rPr>
        <w:t xml:space="preserve"> 21620</w:t>
      </w:r>
      <w:r w:rsidR="004941EE" w:rsidRPr="009A36DA">
        <w:rPr>
          <w:rFonts w:ascii="GHEA Grapalat" w:hAnsi="GHEA Grapalat"/>
          <w:sz w:val="24"/>
          <w:szCs w:val="24"/>
          <w:lang w:val="hy-AM"/>
        </w:rPr>
        <w:t>.0 հազար</w:t>
      </w:r>
      <w:r w:rsidR="00CC07CD" w:rsidRPr="009A36DA">
        <w:rPr>
          <w:rFonts w:ascii="GHEA Grapalat" w:hAnsi="GHEA Grapalat"/>
          <w:sz w:val="24"/>
          <w:szCs w:val="24"/>
          <w:lang w:val="hy-AM"/>
        </w:rPr>
        <w:t xml:space="preserve"> ՀՀ դրամ</w:t>
      </w:r>
      <w:r w:rsidR="00C751C8" w:rsidRPr="009A36DA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4B40850" w14:textId="46180E1D" w:rsidR="00213C1B" w:rsidRPr="00E9464A" w:rsidRDefault="00213C1B" w:rsidP="00D82A71">
      <w:pPr>
        <w:tabs>
          <w:tab w:val="left" w:pos="993"/>
        </w:tabs>
        <w:spacing w:before="12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9464A">
        <w:rPr>
          <w:rFonts w:ascii="GHEA Grapalat" w:hAnsi="GHEA Grapalat"/>
          <w:sz w:val="24"/>
          <w:szCs w:val="24"/>
          <w:lang w:val="hy-AM"/>
        </w:rPr>
        <w:t xml:space="preserve">Որոշման նախագծի ընդունմամբ Կոռուպցիայի կանխարգելման հանձնաժողովը </w:t>
      </w:r>
      <w:r w:rsidR="00E748E7" w:rsidRPr="00E9464A">
        <w:rPr>
          <w:rFonts w:ascii="GHEA Grapalat" w:hAnsi="GHEA Grapalat"/>
          <w:sz w:val="24"/>
          <w:szCs w:val="24"/>
          <w:lang w:val="hy-AM"/>
        </w:rPr>
        <w:t xml:space="preserve">հնարավորություն կունենա </w:t>
      </w:r>
      <w:r w:rsidRPr="00E9464A">
        <w:rPr>
          <w:rFonts w:ascii="GHEA Grapalat" w:hAnsi="GHEA Grapalat"/>
          <w:sz w:val="24"/>
          <w:szCs w:val="24"/>
          <w:lang w:val="hy-AM"/>
        </w:rPr>
        <w:t>ապահով</w:t>
      </w:r>
      <w:r w:rsidR="00E748E7" w:rsidRPr="00E9464A">
        <w:rPr>
          <w:rFonts w:ascii="GHEA Grapalat" w:hAnsi="GHEA Grapalat"/>
          <w:sz w:val="24"/>
          <w:szCs w:val="24"/>
          <w:lang w:val="hy-AM"/>
        </w:rPr>
        <w:t>ելու</w:t>
      </w:r>
      <w:r w:rsidRPr="00E9464A">
        <w:rPr>
          <w:rFonts w:ascii="GHEA Grapalat" w:hAnsi="GHEA Grapalat"/>
          <w:sz w:val="24"/>
          <w:szCs w:val="24"/>
          <w:lang w:val="hy-AM"/>
        </w:rPr>
        <w:t xml:space="preserve"> </w:t>
      </w:r>
      <w:r w:rsidR="004941EE" w:rsidRPr="00E9464A">
        <w:rPr>
          <w:rFonts w:ascii="GHEA Grapalat" w:hAnsi="GHEA Grapalat"/>
          <w:sz w:val="24"/>
          <w:szCs w:val="24"/>
          <w:lang w:val="hy-AM"/>
        </w:rPr>
        <w:t>վերոնշյալ օրենսդրական ակտերով պարտադիր աուդիտի ենթակա կուսակցությունների աուդիտորական ծառայությունների</w:t>
      </w:r>
      <w:r w:rsidR="004F2D35" w:rsidRPr="00E9464A">
        <w:rPr>
          <w:rFonts w:ascii="GHEA Grapalat" w:hAnsi="GHEA Grapalat"/>
          <w:sz w:val="24"/>
          <w:szCs w:val="24"/>
          <w:lang w:val="hy-AM"/>
        </w:rPr>
        <w:t xml:space="preserve"> </w:t>
      </w:r>
      <w:r w:rsidR="00313B1D" w:rsidRPr="00E9464A">
        <w:rPr>
          <w:rFonts w:ascii="GHEA Grapalat" w:hAnsi="GHEA Grapalat"/>
          <w:sz w:val="24"/>
          <w:szCs w:val="24"/>
          <w:lang w:val="hy-AM"/>
        </w:rPr>
        <w:t xml:space="preserve">դիմաց </w:t>
      </w:r>
      <w:r w:rsidR="004941EE" w:rsidRPr="00E9464A">
        <w:rPr>
          <w:rFonts w:ascii="GHEA Grapalat" w:hAnsi="GHEA Grapalat"/>
          <w:sz w:val="24"/>
          <w:szCs w:val="24"/>
          <w:lang w:val="hy-AM"/>
        </w:rPr>
        <w:t>ֆինանսավորումը:</w:t>
      </w:r>
    </w:p>
    <w:p w14:paraId="178EA655" w14:textId="77777777" w:rsidR="009608C9" w:rsidRPr="00E9464A" w:rsidRDefault="009608C9" w:rsidP="00D82A71">
      <w:pPr>
        <w:pStyle w:val="ListParagraph"/>
        <w:numPr>
          <w:ilvl w:val="0"/>
          <w:numId w:val="13"/>
        </w:numPr>
        <w:tabs>
          <w:tab w:val="left" w:pos="993"/>
        </w:tabs>
        <w:spacing w:before="120" w:line="360" w:lineRule="auto"/>
        <w:ind w:left="0" w:firstLine="567"/>
        <w:jc w:val="both"/>
        <w:rPr>
          <w:rFonts w:ascii="GHEA Grapalat" w:hAnsi="GHEA Grapalat" w:cs="Calibri"/>
          <w:b/>
          <w:szCs w:val="24"/>
          <w:lang w:val="hy-AM"/>
        </w:rPr>
      </w:pPr>
      <w:r w:rsidRPr="00E9464A">
        <w:rPr>
          <w:rFonts w:ascii="GHEA Grapalat" w:hAnsi="GHEA Grapalat" w:cs="Calibri"/>
          <w:b/>
          <w:szCs w:val="24"/>
          <w:lang w:val="hy-AM"/>
        </w:rPr>
        <w:t>Նախագծի մշակման գործընթացում ներգրավված ինստիտուտները և անձինք</w:t>
      </w:r>
    </w:p>
    <w:p w14:paraId="25215FD5" w14:textId="698358E1" w:rsidR="009608C9" w:rsidRPr="00E9464A" w:rsidRDefault="00F820D5" w:rsidP="00D82A71">
      <w:pPr>
        <w:tabs>
          <w:tab w:val="left" w:pos="993"/>
        </w:tabs>
        <w:spacing w:before="12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E9464A">
        <w:rPr>
          <w:rFonts w:ascii="GHEA Grapalat" w:hAnsi="GHEA Grapalat" w:cs="Calibri"/>
          <w:sz w:val="24"/>
          <w:szCs w:val="24"/>
          <w:lang w:val="hy-AM"/>
        </w:rPr>
        <w:t>Կոռուպցիայի կանխարգելման հանձնաժողով</w:t>
      </w:r>
    </w:p>
    <w:p w14:paraId="4CFDD448" w14:textId="77777777" w:rsidR="00213C1B" w:rsidRPr="00E9464A" w:rsidRDefault="00213C1B" w:rsidP="00D82A71">
      <w:pPr>
        <w:pStyle w:val="ListParagraph"/>
        <w:numPr>
          <w:ilvl w:val="0"/>
          <w:numId w:val="13"/>
        </w:numPr>
        <w:tabs>
          <w:tab w:val="center" w:pos="-6480"/>
          <w:tab w:val="left" w:pos="993"/>
        </w:tabs>
        <w:spacing w:before="120" w:line="360" w:lineRule="auto"/>
        <w:ind w:left="0" w:firstLine="567"/>
        <w:jc w:val="both"/>
        <w:rPr>
          <w:rFonts w:ascii="GHEA Grapalat" w:hAnsi="GHEA Grapalat" w:cs="Sylfaen"/>
          <w:b/>
          <w:szCs w:val="24"/>
          <w:lang w:val="hy-AM" w:eastAsia="fr-FR"/>
        </w:rPr>
      </w:pPr>
      <w:r w:rsidRPr="00E9464A">
        <w:rPr>
          <w:rFonts w:ascii="GHEA Grapalat" w:hAnsi="GHEA Grapalat" w:cs="Sylfaen"/>
          <w:b/>
          <w:szCs w:val="24"/>
          <w:lang w:val="hy-AM" w:eastAsia="fr-FR"/>
        </w:rPr>
        <w:t>Իրավական ակտի ընդունման կապակցությամբ այլ նորմատիվ իրավական ակտերի ընդունման անհրաժեշտությունը</w:t>
      </w:r>
    </w:p>
    <w:p w14:paraId="79C4F390" w14:textId="4EF88439" w:rsidR="00213C1B" w:rsidRPr="00E9464A" w:rsidRDefault="009D1D70" w:rsidP="00D82A71">
      <w:pPr>
        <w:tabs>
          <w:tab w:val="center" w:pos="-6480"/>
          <w:tab w:val="left" w:pos="993"/>
          <w:tab w:val="right" w:pos="8640"/>
        </w:tabs>
        <w:spacing w:before="12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9464A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213C1B" w:rsidRPr="00E9464A">
        <w:rPr>
          <w:rFonts w:ascii="GHEA Grapalat" w:hAnsi="GHEA Grapalat"/>
          <w:sz w:val="24"/>
          <w:szCs w:val="24"/>
          <w:lang w:val="hy-AM"/>
        </w:rPr>
        <w:t>որոշման ընդունմամբ Հայաստանի Հանրապետության այլ իրավական ակտերում փոփոխություններ և լրացումներ կատարելու անհրաժեշտություն չի առաջանում:</w:t>
      </w:r>
    </w:p>
    <w:p w14:paraId="69DD1B3F" w14:textId="77777777" w:rsidR="009D1D70" w:rsidRPr="00E9464A" w:rsidRDefault="009D1D70" w:rsidP="00D82A71">
      <w:pPr>
        <w:pStyle w:val="ListParagraph"/>
        <w:numPr>
          <w:ilvl w:val="0"/>
          <w:numId w:val="13"/>
        </w:numPr>
        <w:tabs>
          <w:tab w:val="left" w:pos="851"/>
        </w:tabs>
        <w:spacing w:before="120" w:line="360" w:lineRule="auto"/>
        <w:ind w:left="0" w:firstLine="567"/>
        <w:jc w:val="both"/>
        <w:rPr>
          <w:rFonts w:ascii="GHEA Grapalat" w:hAnsi="GHEA Grapalat" w:cs="Sylfaen"/>
          <w:b/>
          <w:szCs w:val="24"/>
          <w:lang w:val="hy-AM" w:eastAsia="fr-FR"/>
        </w:rPr>
      </w:pPr>
      <w:r w:rsidRPr="00E9464A">
        <w:rPr>
          <w:rFonts w:ascii="GHEA Grapalat" w:hAnsi="GHEA Grapalat" w:cs="Sylfaen"/>
          <w:b/>
          <w:szCs w:val="24"/>
          <w:lang w:val="hy-AM" w:eastAsia="fr-FR"/>
        </w:rPr>
        <w:t>Պետական բյուջեում կամ տեղական ինքնակառավարման մարմինների բյուջեներում ծախսերի և եկամուտների էական ավելացումների կամ նվազեցումների անհրաժեշտության մասին</w:t>
      </w:r>
    </w:p>
    <w:p w14:paraId="4783A428" w14:textId="77777777" w:rsidR="00566F78" w:rsidRPr="00E9464A" w:rsidRDefault="00566F78" w:rsidP="002B100E">
      <w:pPr>
        <w:pStyle w:val="ListParagraph"/>
        <w:spacing w:before="120" w:line="360" w:lineRule="auto"/>
        <w:ind w:left="0" w:firstLine="450"/>
        <w:jc w:val="both"/>
        <w:rPr>
          <w:rFonts w:ascii="GHEA Grapalat" w:hAnsi="GHEA Grapalat" w:cs="Calibri"/>
          <w:szCs w:val="24"/>
          <w:lang w:val="hy-AM"/>
        </w:rPr>
      </w:pPr>
      <w:r w:rsidRPr="00E9464A">
        <w:rPr>
          <w:rFonts w:ascii="GHEA Grapalat" w:hAnsi="GHEA Grapalat" w:cs="Calibri"/>
          <w:szCs w:val="24"/>
          <w:lang w:val="hy-AM"/>
        </w:rPr>
        <w:t>Սույն որոշման նախագծի ընդունմամբ պետական բյուջեում ծախսերի կամ եկամուտների փոփոխություններ նախատեսված չեն:</w:t>
      </w:r>
    </w:p>
    <w:p w14:paraId="506C0B1B" w14:textId="051F5A83" w:rsidR="002B100E" w:rsidRPr="00E9464A" w:rsidRDefault="00566F78" w:rsidP="00D82A71">
      <w:pPr>
        <w:pStyle w:val="ListParagraph"/>
        <w:numPr>
          <w:ilvl w:val="0"/>
          <w:numId w:val="13"/>
        </w:numPr>
        <w:tabs>
          <w:tab w:val="center" w:pos="-6480"/>
          <w:tab w:val="left" w:pos="851"/>
        </w:tabs>
        <w:spacing w:before="120" w:line="360" w:lineRule="auto"/>
        <w:ind w:left="0" w:firstLine="567"/>
        <w:jc w:val="both"/>
        <w:rPr>
          <w:rFonts w:ascii="GHEA Grapalat" w:hAnsi="GHEA Grapalat" w:cs="Sylfaen"/>
          <w:b/>
          <w:szCs w:val="24"/>
          <w:lang w:val="hy-AM" w:eastAsia="fr-FR"/>
        </w:rPr>
      </w:pPr>
      <w:r w:rsidRPr="00E9464A">
        <w:rPr>
          <w:rFonts w:ascii="GHEA Grapalat" w:hAnsi="GHEA Grapalat" w:cs="Sylfaen"/>
          <w:b/>
          <w:szCs w:val="24"/>
          <w:lang w:val="hy-AM" w:eastAsia="fr-FR"/>
        </w:rPr>
        <w:t>Լրացուցիչ ֆինանսական միջոցների անհրաժեշտության և նշված գումարի չափով ֆինանսական միջոցների վերականգնման անհրաժեշտության մասին</w:t>
      </w:r>
    </w:p>
    <w:p w14:paraId="5BF2EB8A" w14:textId="77777777" w:rsidR="00566F78" w:rsidRPr="00E9464A" w:rsidRDefault="00566F78" w:rsidP="002B100E">
      <w:pPr>
        <w:spacing w:before="120" w:line="360" w:lineRule="auto"/>
        <w:ind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464A">
        <w:rPr>
          <w:rFonts w:ascii="GHEA Grapalat" w:hAnsi="GHEA Grapalat" w:cs="Sylfaen"/>
          <w:sz w:val="24"/>
          <w:szCs w:val="24"/>
          <w:lang w:val="hy-AM"/>
        </w:rPr>
        <w:t>Որոշման նախագծի ընդունումը չի հանգեցնում ՀՀ պետական բյուջեից լրացուցիչ միջոցներ հատկացնելու անհրաժեշտության:</w:t>
      </w:r>
      <w:r w:rsidRPr="00E946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9464A">
        <w:rPr>
          <w:rFonts w:ascii="GHEA Grapalat" w:hAnsi="GHEA Grapalat" w:cs="Sylfaen"/>
          <w:sz w:val="24"/>
          <w:szCs w:val="24"/>
          <w:lang w:val="hy-AM"/>
        </w:rPr>
        <w:t xml:space="preserve">Նվազեցվող գումարի չափով ՀՀ պետական բյուջեի հաշվին ֆինանսական միջոցների վերականգնման անհրաժեշտությունը բացակայում է։ </w:t>
      </w:r>
    </w:p>
    <w:p w14:paraId="5180AF26" w14:textId="77777777" w:rsidR="00566F78" w:rsidRPr="00E9464A" w:rsidRDefault="00566F78" w:rsidP="00D82A71">
      <w:pPr>
        <w:pStyle w:val="ListParagraph"/>
        <w:numPr>
          <w:ilvl w:val="0"/>
          <w:numId w:val="13"/>
        </w:numPr>
        <w:tabs>
          <w:tab w:val="center" w:pos="-6480"/>
          <w:tab w:val="left" w:pos="993"/>
        </w:tabs>
        <w:spacing w:before="120" w:line="360" w:lineRule="auto"/>
        <w:ind w:left="0" w:firstLine="567"/>
        <w:jc w:val="both"/>
        <w:rPr>
          <w:rFonts w:ascii="GHEA Grapalat" w:hAnsi="GHEA Grapalat" w:cs="Sylfaen"/>
          <w:b/>
          <w:szCs w:val="24"/>
          <w:lang w:val="hy-AM" w:eastAsia="fr-FR"/>
        </w:rPr>
      </w:pPr>
      <w:r w:rsidRPr="00E9464A">
        <w:rPr>
          <w:rFonts w:ascii="GHEA Grapalat" w:hAnsi="GHEA Grapalat" w:cs="Sylfaen"/>
          <w:b/>
          <w:szCs w:val="24"/>
          <w:lang w:val="hy-AM" w:eastAsia="fr-FR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452D2A2B" w14:textId="77777777" w:rsidR="00566F78" w:rsidRPr="00E9464A" w:rsidRDefault="00566F78" w:rsidP="00D82A71">
      <w:pPr>
        <w:spacing w:before="12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9464A">
        <w:rPr>
          <w:rFonts w:ascii="GHEA Grapalat" w:hAnsi="GHEA Grapalat"/>
          <w:sz w:val="24"/>
          <w:szCs w:val="24"/>
          <w:lang w:val="hy-AM"/>
        </w:rPr>
        <w:lastRenderedPageBreak/>
        <w:t>Նախագիծը բխում</w:t>
      </w:r>
      <w:r w:rsidR="00DD046D" w:rsidRPr="00E9464A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E9464A">
        <w:rPr>
          <w:rFonts w:ascii="GHEA Grapalat" w:hAnsi="GHEA Grapalat"/>
          <w:sz w:val="24"/>
          <w:szCs w:val="24"/>
          <w:lang w:val="hy-AM"/>
        </w:rPr>
        <w:t xml:space="preserve"> </w:t>
      </w:r>
      <w:r w:rsidR="00DD046D" w:rsidRPr="00E9464A">
        <w:rPr>
          <w:rFonts w:ascii="GHEA Grapalat" w:hAnsi="GHEA Grapalat"/>
          <w:sz w:val="24"/>
          <w:szCs w:val="24"/>
          <w:lang w:val="hy-AM"/>
        </w:rPr>
        <w:t xml:space="preserve">Կառավարության 2021-2026թթ. ծրագրի 5-րդ «Իրավունք և արդարադատություն» գլխի 5.5 «Կոռուպցիայի դեմ պայքար» բաժնի </w:t>
      </w:r>
      <w:r w:rsidRPr="00E9464A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DD046D" w:rsidRPr="00E9464A">
        <w:rPr>
          <w:rFonts w:ascii="GHEA Grapalat" w:hAnsi="GHEA Grapalat"/>
          <w:sz w:val="24"/>
          <w:szCs w:val="24"/>
          <w:lang w:val="hy-AM"/>
        </w:rPr>
        <w:t>դրույթներից</w:t>
      </w:r>
      <w:r w:rsidRPr="00E9464A">
        <w:rPr>
          <w:rFonts w:ascii="GHEA Grapalat" w:hAnsi="GHEA Grapalat"/>
          <w:sz w:val="24"/>
          <w:szCs w:val="24"/>
          <w:lang w:val="hy-AM"/>
        </w:rPr>
        <w:t>:</w:t>
      </w:r>
    </w:p>
    <w:p w14:paraId="70B79613" w14:textId="77777777" w:rsidR="002B100E" w:rsidRPr="00E9464A" w:rsidRDefault="002B100E" w:rsidP="002B100E">
      <w:pPr>
        <w:spacing w:before="120" w:line="360" w:lineRule="auto"/>
        <w:ind w:firstLine="450"/>
        <w:rPr>
          <w:rFonts w:ascii="GHEA Grapalat" w:hAnsi="GHEA Grapalat"/>
          <w:sz w:val="24"/>
          <w:szCs w:val="24"/>
          <w:lang w:val="hy-AM"/>
        </w:rPr>
      </w:pPr>
    </w:p>
    <w:p w14:paraId="289CF1B1" w14:textId="77777777" w:rsidR="00213C1B" w:rsidRPr="00E9464A" w:rsidRDefault="00213C1B" w:rsidP="002B100E">
      <w:pPr>
        <w:spacing w:line="360" w:lineRule="auto"/>
        <w:ind w:firstLine="450"/>
        <w:jc w:val="both"/>
        <w:rPr>
          <w:rFonts w:ascii="GHEA Grapalat" w:hAnsi="GHEA Grapalat" w:cs="Calibri"/>
          <w:sz w:val="24"/>
          <w:szCs w:val="24"/>
          <w:lang w:val="hy-AM"/>
        </w:rPr>
      </w:pPr>
    </w:p>
    <w:sectPr w:rsidR="00213C1B" w:rsidRPr="00E9464A" w:rsidSect="006677B5">
      <w:footerReference w:type="default" r:id="rId7"/>
      <w:pgSz w:w="11906" w:h="16838"/>
      <w:pgMar w:top="990" w:right="746" w:bottom="72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772EB" w14:textId="77777777" w:rsidR="00ED215C" w:rsidRDefault="00ED215C" w:rsidP="005422BA">
      <w:r>
        <w:separator/>
      </w:r>
    </w:p>
  </w:endnote>
  <w:endnote w:type="continuationSeparator" w:id="0">
    <w:p w14:paraId="1ABAA1A9" w14:textId="77777777" w:rsidR="00ED215C" w:rsidRDefault="00ED215C" w:rsidP="0054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1564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D47F4E" w14:textId="2D769B1D" w:rsidR="005422BA" w:rsidRDefault="005422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6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16A633" w14:textId="77777777" w:rsidR="005422BA" w:rsidRDefault="00542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7C91A" w14:textId="77777777" w:rsidR="00ED215C" w:rsidRDefault="00ED215C" w:rsidP="005422BA">
      <w:r>
        <w:separator/>
      </w:r>
    </w:p>
  </w:footnote>
  <w:footnote w:type="continuationSeparator" w:id="0">
    <w:p w14:paraId="7AEF57BE" w14:textId="77777777" w:rsidR="00ED215C" w:rsidRDefault="00ED215C" w:rsidP="00542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8C1"/>
    <w:multiLevelType w:val="hybridMultilevel"/>
    <w:tmpl w:val="2FBA425E"/>
    <w:lvl w:ilvl="0" w:tplc="DBD28686">
      <w:start w:val="1"/>
      <w:numFmt w:val="decimal"/>
      <w:lvlText w:val="%1."/>
      <w:lvlJc w:val="left"/>
      <w:pPr>
        <w:ind w:left="160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3144DA8"/>
    <w:multiLevelType w:val="hybridMultilevel"/>
    <w:tmpl w:val="0B621186"/>
    <w:lvl w:ilvl="0" w:tplc="23DAA3B0">
      <w:start w:val="8"/>
      <w:numFmt w:val="decimal"/>
      <w:lvlText w:val="%1.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5645BAC"/>
    <w:multiLevelType w:val="hybridMultilevel"/>
    <w:tmpl w:val="D6B47A6E"/>
    <w:lvl w:ilvl="0" w:tplc="E9B2EA80">
      <w:start w:val="6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9B18B1"/>
    <w:multiLevelType w:val="hybridMultilevel"/>
    <w:tmpl w:val="191830E8"/>
    <w:lvl w:ilvl="0" w:tplc="D72A1294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D10832"/>
    <w:multiLevelType w:val="hybridMultilevel"/>
    <w:tmpl w:val="75E8BA9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3238"/>
    <w:multiLevelType w:val="hybridMultilevel"/>
    <w:tmpl w:val="C208236E"/>
    <w:lvl w:ilvl="0" w:tplc="B2CA6E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25D42"/>
    <w:multiLevelType w:val="hybridMultilevel"/>
    <w:tmpl w:val="B2084B48"/>
    <w:lvl w:ilvl="0" w:tplc="B6403A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A5B1421"/>
    <w:multiLevelType w:val="hybridMultilevel"/>
    <w:tmpl w:val="3E2EF608"/>
    <w:lvl w:ilvl="0" w:tplc="DF904BB2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627EA"/>
    <w:multiLevelType w:val="hybridMultilevel"/>
    <w:tmpl w:val="35624378"/>
    <w:lvl w:ilvl="0" w:tplc="CC48A0CA">
      <w:start w:val="4"/>
      <w:numFmt w:val="decimal"/>
      <w:lvlText w:val="%1."/>
      <w:lvlJc w:val="left"/>
      <w:pPr>
        <w:ind w:left="990" w:hanging="360"/>
      </w:pPr>
      <w:rPr>
        <w:rFonts w:cs="Calibri"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7C563E78"/>
    <w:multiLevelType w:val="hybridMultilevel"/>
    <w:tmpl w:val="56042B8A"/>
    <w:lvl w:ilvl="0" w:tplc="EEB4F944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D434EB5"/>
    <w:multiLevelType w:val="hybridMultilevel"/>
    <w:tmpl w:val="1226B90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D6E44"/>
    <w:multiLevelType w:val="hybridMultilevel"/>
    <w:tmpl w:val="78967876"/>
    <w:lvl w:ilvl="0" w:tplc="B2CE2798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96"/>
    <w:rsid w:val="00003791"/>
    <w:rsid w:val="00027C00"/>
    <w:rsid w:val="00056E9A"/>
    <w:rsid w:val="00076B18"/>
    <w:rsid w:val="00080FC8"/>
    <w:rsid w:val="0012695E"/>
    <w:rsid w:val="00156973"/>
    <w:rsid w:val="00180850"/>
    <w:rsid w:val="001D58E7"/>
    <w:rsid w:val="00213690"/>
    <w:rsid w:val="00213C1B"/>
    <w:rsid w:val="002269BC"/>
    <w:rsid w:val="002272F0"/>
    <w:rsid w:val="002B100E"/>
    <w:rsid w:val="00302339"/>
    <w:rsid w:val="00313B1D"/>
    <w:rsid w:val="004941EE"/>
    <w:rsid w:val="004C5033"/>
    <w:rsid w:val="004E11B4"/>
    <w:rsid w:val="004F2D35"/>
    <w:rsid w:val="005422BA"/>
    <w:rsid w:val="00566F78"/>
    <w:rsid w:val="005D6737"/>
    <w:rsid w:val="006677B5"/>
    <w:rsid w:val="006C79B4"/>
    <w:rsid w:val="006D1F1E"/>
    <w:rsid w:val="00797A22"/>
    <w:rsid w:val="007D19E2"/>
    <w:rsid w:val="008060B7"/>
    <w:rsid w:val="008E4908"/>
    <w:rsid w:val="00906596"/>
    <w:rsid w:val="00946658"/>
    <w:rsid w:val="00950222"/>
    <w:rsid w:val="009608C9"/>
    <w:rsid w:val="009717BC"/>
    <w:rsid w:val="009A36DA"/>
    <w:rsid w:val="009D1D70"/>
    <w:rsid w:val="00A20EDF"/>
    <w:rsid w:val="00AC19F1"/>
    <w:rsid w:val="00B36AA6"/>
    <w:rsid w:val="00C0645F"/>
    <w:rsid w:val="00C751C8"/>
    <w:rsid w:val="00CB12A0"/>
    <w:rsid w:val="00CB64C9"/>
    <w:rsid w:val="00CC07CD"/>
    <w:rsid w:val="00D178CE"/>
    <w:rsid w:val="00D27670"/>
    <w:rsid w:val="00D82A71"/>
    <w:rsid w:val="00DD046D"/>
    <w:rsid w:val="00E270FF"/>
    <w:rsid w:val="00E27EBE"/>
    <w:rsid w:val="00E748E7"/>
    <w:rsid w:val="00E84950"/>
    <w:rsid w:val="00E9464A"/>
    <w:rsid w:val="00ED215C"/>
    <w:rsid w:val="00F42354"/>
    <w:rsid w:val="00F820D5"/>
    <w:rsid w:val="00F8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2326"/>
  <w15:docId w15:val="{EC1504E3-EEA3-4811-9276-90C7B454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8C9"/>
    <w:rPr>
      <w:rFonts w:ascii="Arial Armenian" w:eastAsia="Times New Rom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,Знак Знак1"/>
    <w:basedOn w:val="Normal"/>
    <w:link w:val="NormalWebChar"/>
    <w:uiPriority w:val="1"/>
    <w:unhideWhenUsed/>
    <w:qFormat/>
    <w:rsid w:val="009608C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9608C9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9608C9"/>
    <w:pPr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customStyle="1" w:styleId="norm">
    <w:name w:val="norm"/>
    <w:basedOn w:val="Normal"/>
    <w:link w:val="normChar"/>
    <w:rsid w:val="009608C9"/>
    <w:pPr>
      <w:spacing w:line="480" w:lineRule="auto"/>
      <w:ind w:firstLine="709"/>
      <w:jc w:val="both"/>
    </w:pPr>
    <w:rPr>
      <w:sz w:val="22"/>
      <w:lang w:val="x-none"/>
    </w:rPr>
  </w:style>
  <w:style w:type="character" w:customStyle="1" w:styleId="normChar">
    <w:name w:val="norm Char"/>
    <w:link w:val="norm"/>
    <w:locked/>
    <w:rsid w:val="009608C9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9608C9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 Char,Знак Знак1 Char"/>
    <w:link w:val="NormalWeb"/>
    <w:uiPriority w:val="1"/>
    <w:locked/>
    <w:rsid w:val="00213C1B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2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2BA"/>
    <w:rPr>
      <w:rFonts w:ascii="Arial Armenian" w:eastAsia="Times New Roman" w:hAnsi="Arial Armeni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42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2BA"/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https:/mul2-mnp.gov.am/tasks/182268/oneclick/1Naxagic-himnavorum.docx?token=caf443eb8dbf1999d1f2b722ded8a776</cp:keywords>
  <cp:lastModifiedBy>Mery Badalyan</cp:lastModifiedBy>
  <cp:revision>2</cp:revision>
  <dcterms:created xsi:type="dcterms:W3CDTF">2024-01-29T07:23:00Z</dcterms:created>
  <dcterms:modified xsi:type="dcterms:W3CDTF">2024-01-29T07:23:00Z</dcterms:modified>
</cp:coreProperties>
</file>