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4E63" w14:textId="77777777" w:rsidR="00BE37C7" w:rsidRPr="00B25BDF" w:rsidRDefault="00BE37C7" w:rsidP="00BE37C7">
      <w:pPr>
        <w:autoSpaceDE w:val="0"/>
        <w:autoSpaceDN w:val="0"/>
        <w:adjustRightInd w:val="0"/>
        <w:spacing w:after="0"/>
        <w:jc w:val="center"/>
        <w:rPr>
          <w:rFonts w:ascii="GHEA Grapalat" w:hAnsi="GHEA Grapalat" w:cs="Sylfaen"/>
          <w:b/>
          <w:color w:val="000000" w:themeColor="text1"/>
          <w:sz w:val="24"/>
          <w:szCs w:val="24"/>
          <w:lang w:val="hy-AM"/>
        </w:rPr>
      </w:pPr>
      <w:r w:rsidRPr="00B25BDF">
        <w:rPr>
          <w:rFonts w:ascii="GHEA Grapalat" w:hAnsi="GHEA Grapalat" w:cs="Sylfaen"/>
          <w:b/>
          <w:color w:val="000000" w:themeColor="text1"/>
          <w:sz w:val="24"/>
          <w:szCs w:val="24"/>
          <w:lang w:val="hy-AM"/>
        </w:rPr>
        <w:t>ԱՄՓՈՓԱԹԵՐԹ</w:t>
      </w:r>
    </w:p>
    <w:p w14:paraId="5FA82040" w14:textId="359DD5A3" w:rsidR="00BE37C7" w:rsidRPr="00B25BDF" w:rsidRDefault="00BE37C7" w:rsidP="00BE37C7">
      <w:pPr>
        <w:pStyle w:val="Heading3"/>
        <w:spacing w:before="0" w:line="276" w:lineRule="auto"/>
        <w:ind w:left="-360" w:firstLine="180"/>
        <w:jc w:val="center"/>
        <w:rPr>
          <w:rFonts w:ascii="GHEA Grapalat" w:hAnsi="GHEA Grapalat"/>
          <w:b/>
          <w:color w:val="000000" w:themeColor="text1"/>
        </w:rPr>
      </w:pPr>
      <w:r w:rsidRPr="00B25BDF">
        <w:rPr>
          <w:rFonts w:ascii="GHEA Grapalat" w:hAnsi="GHEA Grapalat"/>
          <w:b/>
          <w:color w:val="000000"/>
        </w:rPr>
        <w:t xml:space="preserve">««ՀԱՅԱՍՏԱՆԻ ՀԱՆՐԱՊԵՏՈՒԹՅԱՆ ԿԱՌԱՎԱՐՈՒԹՅԱՆ 2012 ԹՎԱԿԱՆԻ ՍԵՊՏԵՄԲԵՐԻ 6-Ի N 1201-Ն ՈՐՈՇՈՒՄՆ ՈՒԺԸ ԿՈՐՑՐԱԾ ՃԱՆԱՉԵԼՈՒ ՄԱՍԻՆ» ԿԱՌԱՎԱՐՈՒԹՅԱՆ ՈՐՈՇՄԱՆ ՆԱԽԱԳԾԻ ԵՎ «ՀԱՎԱՏԱՐՄԱԳՐՄԱՆ ՉԱՓԱՆԻՇՆԵՐԸ, ՀԱՄԱՊԱՏԱՍԽԱՆՈՒԹՅԱՆ ԳՆԱՀԱՏՄԱՆ ՄԱՐՄԻՆՆԵՐԻ ՀԱՎԱՏԱՐՄԱԳՐՄԱՆ, ԳՆԱՀԱՏՈՒՄՆԵՐԻ ԿԱՐԳԸ ԵՎ ԺԱՄԿԵՏՆԵՐԸ ՀԱՍՏԱՏԵԼՈՒ ՄԱՍԻՆ» </w:t>
      </w:r>
      <w:bookmarkStart w:id="0" w:name="_GoBack"/>
      <w:r w:rsidR="00433DE2" w:rsidRPr="00B25BDF">
        <w:rPr>
          <w:rFonts w:ascii="GHEA Grapalat" w:hAnsi="GHEA Grapalat"/>
          <w:b/>
          <w:color w:val="000000"/>
        </w:rPr>
        <w:t xml:space="preserve">ԷԿՈՆՈՄԻԿԱՅԻ ՆԱԽԱՐԱՐԻ </w:t>
      </w:r>
      <w:bookmarkEnd w:id="0"/>
      <w:r w:rsidRPr="00B25BDF">
        <w:rPr>
          <w:rFonts w:ascii="GHEA Grapalat" w:hAnsi="GHEA Grapalat"/>
          <w:b/>
          <w:color w:val="000000"/>
        </w:rPr>
        <w:t xml:space="preserve">ՀՐԱՄԱՆԻ </w:t>
      </w:r>
      <w:r w:rsidRPr="00B25BDF">
        <w:rPr>
          <w:rFonts w:ascii="GHEA Grapalat" w:hAnsi="GHEA Grapalat"/>
          <w:b/>
          <w:color w:val="000000" w:themeColor="text1"/>
        </w:rPr>
        <w:t>ՆԱԽԱԳԾԻ</w:t>
      </w:r>
    </w:p>
    <w:p w14:paraId="263657C1" w14:textId="77777777" w:rsidR="0030600E" w:rsidRPr="00161CC4" w:rsidRDefault="0030600E" w:rsidP="00161CC4">
      <w:pPr>
        <w:spacing w:after="0" w:line="360" w:lineRule="auto"/>
        <w:rPr>
          <w:rFonts w:ascii="GHEA Grapalat" w:hAnsi="GHEA Grapalat"/>
          <w:sz w:val="24"/>
          <w:szCs w:val="24"/>
          <w:lang w:val="hy-AM" w:eastAsia="en-GB"/>
        </w:rPr>
      </w:pPr>
    </w:p>
    <w:tbl>
      <w:tblPr>
        <w:tblW w:w="1529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162"/>
        <w:gridCol w:w="35"/>
        <w:gridCol w:w="5095"/>
      </w:tblGrid>
      <w:tr w:rsidR="00AD3760" w:rsidRPr="00161CC4" w14:paraId="256B1FF2" w14:textId="77777777" w:rsidTr="00161CC4">
        <w:trPr>
          <w:trHeight w:val="312"/>
          <w:tblCellSpacing w:w="0" w:type="dxa"/>
          <w:jc w:val="center"/>
        </w:trPr>
        <w:tc>
          <w:tcPr>
            <w:tcW w:w="10162" w:type="dxa"/>
            <w:vMerge w:val="restart"/>
            <w:tcBorders>
              <w:top w:val="outset" w:sz="6" w:space="0" w:color="auto"/>
              <w:left w:val="outset" w:sz="6" w:space="0" w:color="auto"/>
              <w:bottom w:val="outset" w:sz="6" w:space="0" w:color="auto"/>
              <w:right w:val="outset" w:sz="6" w:space="0" w:color="auto"/>
            </w:tcBorders>
            <w:shd w:val="clear" w:color="auto" w:fill="D0D0D0"/>
            <w:hideMark/>
          </w:tcPr>
          <w:p w14:paraId="567EDCCC" w14:textId="6462BA26" w:rsidR="00AD3760" w:rsidRPr="00161CC4" w:rsidRDefault="00AD3760"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1</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w:t>
            </w:r>
            <w:r w:rsidR="001679CB" w:rsidRPr="00161CC4">
              <w:rPr>
                <w:rFonts w:ascii="GHEA Grapalat" w:hAnsi="GHEA Grapalat"/>
                <w:b/>
                <w:color w:val="000000" w:themeColor="text1"/>
                <w:sz w:val="24"/>
                <w:szCs w:val="24"/>
                <w:lang w:val="hy-AM"/>
              </w:rPr>
              <w:t xml:space="preserve">Ներքին գործերի </w:t>
            </w:r>
            <w:r w:rsidR="00B04140" w:rsidRPr="00161CC4">
              <w:rPr>
                <w:rFonts w:ascii="GHEA Grapalat" w:hAnsi="GHEA Grapalat"/>
                <w:b/>
                <w:color w:val="000000" w:themeColor="text1"/>
                <w:sz w:val="24"/>
                <w:szCs w:val="24"/>
                <w:lang w:val="hy-AM"/>
              </w:rPr>
              <w:t>նախարարություն</w:t>
            </w:r>
          </w:p>
          <w:p w14:paraId="5BE950E7" w14:textId="66FA3191" w:rsidR="00AD3760" w:rsidRPr="00161CC4" w:rsidRDefault="00AD3760" w:rsidP="00161CC4">
            <w:pPr>
              <w:pStyle w:val="ListParagraph"/>
              <w:spacing w:after="0"/>
              <w:jc w:val="center"/>
              <w:rPr>
                <w:rFonts w:ascii="GHEA Grapalat" w:eastAsia="Calibri" w:hAnsi="GHEA Grapalat"/>
                <w:b/>
                <w:color w:val="000000"/>
                <w:sz w:val="24"/>
                <w:szCs w:val="24"/>
                <w:lang w:val="ru-RU"/>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0D0D0"/>
            <w:hideMark/>
          </w:tcPr>
          <w:p w14:paraId="20D1A31C" w14:textId="13F184AF" w:rsidR="00AD3760" w:rsidRPr="00161CC4" w:rsidRDefault="00B246C1" w:rsidP="00161CC4">
            <w:pPr>
              <w:spacing w:after="0"/>
              <w:jc w:val="center"/>
              <w:rPr>
                <w:rFonts w:ascii="GHEA Grapalat" w:hAnsi="GHEA Grapalat"/>
                <w:b/>
                <w:color w:val="000000"/>
                <w:sz w:val="24"/>
                <w:szCs w:val="24"/>
                <w:lang w:val="hy-AM" w:eastAsia="en-US"/>
              </w:rPr>
            </w:pPr>
            <w:r w:rsidRPr="00161CC4">
              <w:rPr>
                <w:rFonts w:ascii="GHEA Grapalat" w:hAnsi="GHEA Grapalat" w:cs="Cambria Math"/>
                <w:b/>
                <w:color w:val="000000" w:themeColor="text1"/>
                <w:sz w:val="24"/>
                <w:szCs w:val="24"/>
              </w:rPr>
              <w:t>2</w:t>
            </w:r>
            <w:r w:rsidR="001679CB" w:rsidRPr="00161CC4">
              <w:rPr>
                <w:rFonts w:ascii="GHEA Grapalat" w:hAnsi="GHEA Grapalat" w:cs="Cambria Math"/>
                <w:b/>
                <w:color w:val="000000" w:themeColor="text1"/>
                <w:sz w:val="24"/>
                <w:szCs w:val="24"/>
                <w:lang w:val="ru-RU"/>
              </w:rPr>
              <w:t>2</w:t>
            </w:r>
            <w:r w:rsidR="00AD3760" w:rsidRPr="00161CC4">
              <w:rPr>
                <w:rFonts w:ascii="Cambria Math" w:hAnsi="Cambria Math" w:cs="Cambria Math"/>
                <w:b/>
                <w:color w:val="000000" w:themeColor="text1"/>
                <w:sz w:val="24"/>
                <w:szCs w:val="24"/>
                <w:lang w:val="hy-AM"/>
              </w:rPr>
              <w:t>․</w:t>
            </w:r>
            <w:r w:rsidR="004A5136" w:rsidRPr="00161CC4">
              <w:rPr>
                <w:rFonts w:ascii="GHEA Grapalat" w:hAnsi="GHEA Grapalat" w:cs="Cambria Math"/>
                <w:b/>
                <w:color w:val="000000" w:themeColor="text1"/>
                <w:sz w:val="24"/>
                <w:szCs w:val="24"/>
                <w:lang w:val="hy-AM"/>
              </w:rPr>
              <w:t xml:space="preserve"> </w:t>
            </w:r>
            <w:r w:rsidRPr="00161CC4">
              <w:rPr>
                <w:rFonts w:ascii="GHEA Grapalat" w:hAnsi="GHEA Grapalat" w:cs="Cambria Math"/>
                <w:b/>
                <w:color w:val="000000" w:themeColor="text1"/>
                <w:sz w:val="24"/>
                <w:szCs w:val="24"/>
              </w:rPr>
              <w:t>1</w:t>
            </w:r>
            <w:r w:rsidR="001679CB" w:rsidRPr="00161CC4">
              <w:rPr>
                <w:rFonts w:ascii="GHEA Grapalat" w:hAnsi="GHEA Grapalat" w:cs="Cambria Math"/>
                <w:b/>
                <w:color w:val="000000" w:themeColor="text1"/>
                <w:sz w:val="24"/>
                <w:szCs w:val="24"/>
                <w:lang w:val="ru-RU"/>
              </w:rPr>
              <w:t>2</w:t>
            </w:r>
            <w:r w:rsidR="00AD3760" w:rsidRPr="00161CC4">
              <w:rPr>
                <w:rFonts w:ascii="Cambria Math" w:hAnsi="Cambria Math" w:cs="Cambria Math"/>
                <w:b/>
                <w:color w:val="000000" w:themeColor="text1"/>
                <w:sz w:val="24"/>
                <w:szCs w:val="24"/>
                <w:lang w:val="hy-AM"/>
              </w:rPr>
              <w:t>․</w:t>
            </w:r>
            <w:r w:rsidR="004A5136" w:rsidRPr="00161CC4">
              <w:rPr>
                <w:rFonts w:ascii="GHEA Grapalat" w:hAnsi="GHEA Grapalat" w:cs="Cambria Math"/>
                <w:b/>
                <w:color w:val="000000" w:themeColor="text1"/>
                <w:sz w:val="24"/>
                <w:szCs w:val="24"/>
                <w:lang w:val="hy-AM"/>
              </w:rPr>
              <w:t xml:space="preserve"> </w:t>
            </w:r>
            <w:r w:rsidR="00AD3760" w:rsidRPr="00161CC4">
              <w:rPr>
                <w:rFonts w:ascii="GHEA Grapalat" w:hAnsi="GHEA Grapalat"/>
                <w:b/>
                <w:color w:val="000000" w:themeColor="text1"/>
                <w:sz w:val="24"/>
                <w:szCs w:val="24"/>
                <w:lang w:val="hy-AM"/>
              </w:rPr>
              <w:t>2022</w:t>
            </w:r>
            <w:r w:rsidR="002E4322" w:rsidRPr="00161CC4">
              <w:rPr>
                <w:rFonts w:ascii="GHEA Grapalat" w:hAnsi="GHEA Grapalat"/>
                <w:b/>
                <w:color w:val="000000" w:themeColor="text1"/>
                <w:sz w:val="24"/>
                <w:szCs w:val="24"/>
                <w:lang w:val="hy-AM"/>
              </w:rPr>
              <w:t xml:space="preserve"> թ</w:t>
            </w:r>
            <w:r w:rsidR="002E4322" w:rsidRPr="00161CC4">
              <w:rPr>
                <w:rFonts w:ascii="Cambria Math" w:hAnsi="Cambria Math" w:cs="Cambria Math"/>
                <w:b/>
                <w:color w:val="000000" w:themeColor="text1"/>
                <w:sz w:val="24"/>
                <w:szCs w:val="24"/>
                <w:lang w:val="hy-AM"/>
              </w:rPr>
              <w:t>․</w:t>
            </w:r>
          </w:p>
        </w:tc>
      </w:tr>
      <w:tr w:rsidR="00AD3760" w:rsidRPr="00161CC4" w14:paraId="359643C4" w14:textId="77777777" w:rsidTr="00AA75F6">
        <w:trPr>
          <w:trHeight w:val="228"/>
          <w:tblCellSpacing w:w="0" w:type="dxa"/>
          <w:jc w:val="center"/>
        </w:trPr>
        <w:tc>
          <w:tcPr>
            <w:tcW w:w="1016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B5584A" w14:textId="77777777" w:rsidR="00AD3760" w:rsidRPr="00161CC4" w:rsidRDefault="00AD3760" w:rsidP="00161CC4">
            <w:pPr>
              <w:spacing w:after="0"/>
              <w:jc w:val="center"/>
              <w:rPr>
                <w:rFonts w:ascii="GHEA Grapalat" w:hAnsi="GHEA Grapalat"/>
                <w:b/>
                <w:color w:val="000000"/>
                <w:sz w:val="24"/>
                <w:szCs w:val="24"/>
                <w:lang w:val="hy-AM" w:eastAsia="en-US"/>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D08CC66" w14:textId="68FD2791" w:rsidR="00AD3760" w:rsidRPr="00161CC4" w:rsidRDefault="00AD3760" w:rsidP="00161CC4">
            <w:pPr>
              <w:spacing w:after="0"/>
              <w:jc w:val="center"/>
              <w:rPr>
                <w:rFonts w:ascii="GHEA Grapalat" w:hAnsi="GHEA Grapalat"/>
                <w:b/>
                <w:color w:val="000000"/>
                <w:sz w:val="24"/>
                <w:szCs w:val="24"/>
                <w:lang w:val="hy-AM" w:eastAsia="en-US"/>
              </w:rPr>
            </w:pPr>
            <w:r w:rsidRPr="00161CC4">
              <w:rPr>
                <w:rFonts w:ascii="GHEA Grapalat" w:hAnsi="GHEA Grapalat"/>
                <w:b/>
                <w:color w:val="000000"/>
                <w:sz w:val="24"/>
                <w:szCs w:val="24"/>
                <w:shd w:val="clear" w:color="auto" w:fill="D9D9D9" w:themeFill="background1" w:themeFillShade="D9"/>
                <w:lang w:val="hy-AM" w:eastAsia="en-US"/>
              </w:rPr>
              <w:t xml:space="preserve">N </w:t>
            </w:r>
            <w:r w:rsidR="001679CB" w:rsidRPr="00161CC4">
              <w:rPr>
                <w:rFonts w:ascii="GHEA Grapalat" w:hAnsi="GHEA Grapalat"/>
                <w:b/>
                <w:color w:val="000000"/>
                <w:sz w:val="24"/>
                <w:szCs w:val="24"/>
                <w:shd w:val="clear" w:color="auto" w:fill="D9D9D9" w:themeFill="background1" w:themeFillShade="D9"/>
                <w:lang w:val="hy-AM"/>
              </w:rPr>
              <w:t>43/21/155270-23</w:t>
            </w:r>
          </w:p>
        </w:tc>
      </w:tr>
      <w:tr w:rsidR="00781A2A" w:rsidRPr="00161CC4" w14:paraId="494279A4" w14:textId="77777777" w:rsidTr="00AA75F6">
        <w:trPr>
          <w:trHeight w:val="273"/>
          <w:tblCellSpacing w:w="0" w:type="dxa"/>
          <w:jc w:val="center"/>
        </w:trPr>
        <w:tc>
          <w:tcPr>
            <w:tcW w:w="10162" w:type="dxa"/>
            <w:tcBorders>
              <w:top w:val="nil"/>
              <w:left w:val="nil"/>
              <w:bottom w:val="nil"/>
              <w:right w:val="nil"/>
            </w:tcBorders>
            <w:shd w:val="clear" w:color="auto" w:fill="FFFFFF"/>
          </w:tcPr>
          <w:p w14:paraId="60B28075" w14:textId="77777777" w:rsidR="00781A2A" w:rsidRPr="00161CC4" w:rsidRDefault="00781A2A" w:rsidP="00161CC4">
            <w:pPr>
              <w:tabs>
                <w:tab w:val="left" w:pos="7260"/>
              </w:tabs>
              <w:spacing w:after="0"/>
              <w:ind w:left="60" w:right="165"/>
              <w:jc w:val="center"/>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Առաջարկություններ և դիտողություններ չկան:</w:t>
            </w:r>
          </w:p>
        </w:tc>
        <w:tc>
          <w:tcPr>
            <w:tcW w:w="35" w:type="dxa"/>
            <w:tcBorders>
              <w:top w:val="outset" w:sz="6" w:space="0" w:color="auto"/>
              <w:left w:val="outset" w:sz="6" w:space="0" w:color="auto"/>
              <w:bottom w:val="outset" w:sz="6" w:space="0" w:color="auto"/>
              <w:right w:val="nil"/>
            </w:tcBorders>
            <w:shd w:val="clear" w:color="auto" w:fill="FFFFFF"/>
          </w:tcPr>
          <w:p w14:paraId="3AF6E291" w14:textId="77777777" w:rsidR="00781A2A" w:rsidRPr="00161CC4" w:rsidRDefault="00781A2A" w:rsidP="00161CC4">
            <w:pPr>
              <w:tabs>
                <w:tab w:val="left" w:pos="7260"/>
              </w:tabs>
              <w:spacing w:after="0"/>
              <w:ind w:left="60"/>
              <w:rPr>
                <w:rFonts w:ascii="GHEA Grapalat" w:eastAsia="Calibri" w:hAnsi="GHEA Grapalat" w:cs="GHEA Grapalat"/>
                <w:bCs/>
                <w:sz w:val="24"/>
                <w:szCs w:val="24"/>
                <w:lang w:val="hy-AM"/>
              </w:rPr>
            </w:pPr>
          </w:p>
        </w:tc>
        <w:tc>
          <w:tcPr>
            <w:tcW w:w="5095" w:type="dxa"/>
            <w:tcBorders>
              <w:top w:val="outset" w:sz="6" w:space="0" w:color="auto"/>
              <w:left w:val="nil"/>
              <w:right w:val="outset" w:sz="6" w:space="0" w:color="auto"/>
            </w:tcBorders>
            <w:shd w:val="clear" w:color="auto" w:fill="FFFFFF"/>
          </w:tcPr>
          <w:p w14:paraId="2C5EBB41" w14:textId="77777777" w:rsidR="00781A2A" w:rsidRPr="00161CC4" w:rsidRDefault="00781A2A" w:rsidP="00161CC4">
            <w:pPr>
              <w:tabs>
                <w:tab w:val="left" w:pos="7260"/>
              </w:tabs>
              <w:spacing w:after="0"/>
              <w:ind w:left="60"/>
              <w:jc w:val="both"/>
              <w:rPr>
                <w:rFonts w:ascii="GHEA Grapalat" w:eastAsia="Calibri" w:hAnsi="GHEA Grapalat" w:cs="GHEA Grapalat"/>
                <w:bCs/>
                <w:sz w:val="24"/>
                <w:szCs w:val="24"/>
                <w:lang w:val="hy-AM"/>
              </w:rPr>
            </w:pPr>
          </w:p>
        </w:tc>
      </w:tr>
      <w:tr w:rsidR="00AD3760" w:rsidRPr="00161CC4" w14:paraId="4B26E931" w14:textId="77777777" w:rsidTr="00161CC4">
        <w:trPr>
          <w:trHeight w:val="372"/>
          <w:tblCellSpacing w:w="0" w:type="dxa"/>
          <w:jc w:val="center"/>
        </w:trPr>
        <w:tc>
          <w:tcPr>
            <w:tcW w:w="10162" w:type="dxa"/>
            <w:vMerge w:val="restart"/>
            <w:tcBorders>
              <w:top w:val="nil"/>
              <w:left w:val="nil"/>
              <w:bottom w:val="nil"/>
              <w:right w:val="nil"/>
            </w:tcBorders>
            <w:shd w:val="clear" w:color="auto" w:fill="D9D9D9" w:themeFill="background1" w:themeFillShade="D9"/>
            <w:hideMark/>
          </w:tcPr>
          <w:p w14:paraId="164157EE" w14:textId="010A152B" w:rsidR="00AD3760" w:rsidRPr="00161CC4" w:rsidRDefault="00AD3760"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 xml:space="preserve">2. </w:t>
            </w:r>
            <w:r w:rsidR="001679CB" w:rsidRPr="00161CC4">
              <w:rPr>
                <w:rFonts w:ascii="GHEA Grapalat" w:hAnsi="GHEA Grapalat"/>
                <w:b/>
                <w:color w:val="000000" w:themeColor="text1"/>
                <w:sz w:val="24"/>
                <w:szCs w:val="24"/>
                <w:lang w:val="hy-AM"/>
              </w:rPr>
              <w:t>Սննդամթերքի անվտանգության տեսչական մարմին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3D706A6" w14:textId="04FB0C3A" w:rsidR="00AD3760" w:rsidRPr="00161CC4" w:rsidRDefault="001679CB" w:rsidP="00161CC4">
            <w:pPr>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26</w:t>
            </w:r>
            <w:r w:rsidR="00AD3760" w:rsidRPr="00161CC4">
              <w:rPr>
                <w:rFonts w:ascii="GHEA Grapalat" w:hAnsi="GHEA Grapalat"/>
                <w:b/>
                <w:color w:val="000000" w:themeColor="text1"/>
                <w:sz w:val="24"/>
                <w:szCs w:val="24"/>
                <w:lang w:val="hy-AM"/>
              </w:rPr>
              <w:t>.</w:t>
            </w:r>
            <w:r w:rsidR="00B457E7" w:rsidRPr="00161CC4">
              <w:rPr>
                <w:rFonts w:ascii="GHEA Grapalat" w:hAnsi="GHEA Grapalat"/>
                <w:b/>
                <w:color w:val="000000" w:themeColor="text1"/>
                <w:sz w:val="24"/>
                <w:szCs w:val="24"/>
                <w:lang w:val="hy-AM"/>
              </w:rPr>
              <w:t>1</w:t>
            </w:r>
            <w:r w:rsidRPr="00161CC4">
              <w:rPr>
                <w:rFonts w:ascii="GHEA Grapalat" w:hAnsi="GHEA Grapalat"/>
                <w:b/>
                <w:color w:val="000000" w:themeColor="text1"/>
                <w:sz w:val="24"/>
                <w:szCs w:val="24"/>
                <w:lang w:val="hy-AM"/>
              </w:rPr>
              <w:t>2</w:t>
            </w:r>
            <w:r w:rsidR="00AD3760" w:rsidRPr="00161CC4">
              <w:rPr>
                <w:rFonts w:ascii="GHEA Grapalat" w:hAnsi="GHEA Grapalat"/>
                <w:b/>
                <w:color w:val="000000" w:themeColor="text1"/>
                <w:sz w:val="24"/>
                <w:szCs w:val="24"/>
                <w:lang w:val="hy-AM"/>
              </w:rPr>
              <w:t>.2022</w:t>
            </w:r>
            <w:r w:rsidR="002E4322" w:rsidRPr="00161CC4">
              <w:rPr>
                <w:rFonts w:ascii="GHEA Grapalat" w:hAnsi="GHEA Grapalat"/>
                <w:b/>
                <w:color w:val="000000" w:themeColor="text1"/>
                <w:sz w:val="24"/>
                <w:szCs w:val="24"/>
                <w:lang w:val="hy-AM"/>
              </w:rPr>
              <w:t xml:space="preserve"> թ</w:t>
            </w:r>
            <w:r w:rsidR="002E4322" w:rsidRPr="00161CC4">
              <w:rPr>
                <w:rFonts w:ascii="Cambria Math" w:hAnsi="Cambria Math" w:cs="Cambria Math"/>
                <w:b/>
                <w:color w:val="000000" w:themeColor="text1"/>
                <w:sz w:val="24"/>
                <w:szCs w:val="24"/>
                <w:lang w:val="hy-AM"/>
              </w:rPr>
              <w:t>․</w:t>
            </w:r>
          </w:p>
        </w:tc>
      </w:tr>
      <w:tr w:rsidR="00AD3760" w:rsidRPr="00161CC4" w14:paraId="73F80F29" w14:textId="77777777" w:rsidTr="00AA75F6">
        <w:trPr>
          <w:trHeight w:val="237"/>
          <w:tblCellSpacing w:w="0" w:type="dxa"/>
          <w:jc w:val="center"/>
        </w:trPr>
        <w:tc>
          <w:tcPr>
            <w:tcW w:w="10162" w:type="dxa"/>
            <w:vMerge/>
            <w:tcBorders>
              <w:top w:val="nil"/>
              <w:left w:val="nil"/>
              <w:bottom w:val="nil"/>
              <w:right w:val="nil"/>
            </w:tcBorders>
            <w:shd w:val="clear" w:color="auto" w:fill="D9D9D9" w:themeFill="background1" w:themeFillShade="D9"/>
            <w:vAlign w:val="center"/>
            <w:hideMark/>
          </w:tcPr>
          <w:p w14:paraId="2ECCE34E" w14:textId="77777777" w:rsidR="00AD3760" w:rsidRPr="00161CC4" w:rsidRDefault="00AD3760" w:rsidP="00161CC4">
            <w:pPr>
              <w:spacing w:after="0"/>
              <w:jc w:val="center"/>
              <w:rPr>
                <w:rFonts w:ascii="GHEA Grapalat" w:hAnsi="GHEA Grapalat"/>
                <w:b/>
                <w:color w:val="000000"/>
                <w:sz w:val="24"/>
                <w:szCs w:val="24"/>
                <w:lang w:val="hy-AM" w:eastAsia="en-US"/>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538ED66" w14:textId="0B2AA841" w:rsidR="00AD3760" w:rsidRPr="00161CC4" w:rsidRDefault="00AD3760" w:rsidP="00161CC4">
            <w:pPr>
              <w:spacing w:after="0"/>
              <w:jc w:val="center"/>
              <w:rPr>
                <w:rFonts w:ascii="GHEA Grapalat" w:hAnsi="GHEA Grapalat"/>
                <w:b/>
                <w:color w:val="000000"/>
                <w:sz w:val="24"/>
                <w:szCs w:val="24"/>
                <w:lang w:val="hy-AM" w:eastAsia="en-US"/>
              </w:rPr>
            </w:pPr>
            <w:r w:rsidRPr="00161CC4">
              <w:rPr>
                <w:rFonts w:ascii="GHEA Grapalat" w:hAnsi="GHEA Grapalat"/>
                <w:b/>
                <w:color w:val="000000"/>
                <w:sz w:val="24"/>
                <w:szCs w:val="24"/>
                <w:lang w:val="hy-AM" w:eastAsia="en-US"/>
              </w:rPr>
              <w:t>N</w:t>
            </w:r>
            <w:r w:rsidRPr="00161CC4">
              <w:rPr>
                <w:rFonts w:ascii="GHEA Grapalat" w:hAnsi="GHEA Grapalat"/>
                <w:b/>
                <w:color w:val="000000" w:themeColor="text1"/>
                <w:sz w:val="24"/>
                <w:szCs w:val="24"/>
                <w:lang w:val="hy-AM"/>
              </w:rPr>
              <w:t xml:space="preserve"> </w:t>
            </w:r>
            <w:r w:rsidR="001679CB" w:rsidRPr="00161CC4">
              <w:rPr>
                <w:rFonts w:ascii="GHEA Grapalat" w:hAnsi="GHEA Grapalat"/>
                <w:b/>
                <w:color w:val="000000"/>
                <w:sz w:val="24"/>
                <w:szCs w:val="24"/>
                <w:shd w:val="clear" w:color="auto" w:fill="D9D9D9" w:themeFill="background1" w:themeFillShade="D9"/>
                <w:lang w:val="hy-AM"/>
              </w:rPr>
              <w:t>/06.1/1/16597-2023</w:t>
            </w:r>
          </w:p>
        </w:tc>
      </w:tr>
      <w:tr w:rsidR="00AD3760" w:rsidRPr="00161CC4" w14:paraId="719C25E4" w14:textId="77777777" w:rsidTr="00AA75F6">
        <w:trPr>
          <w:trHeight w:val="372"/>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hideMark/>
          </w:tcPr>
          <w:p w14:paraId="0E6A7F13" w14:textId="77777777" w:rsidR="00AD3760" w:rsidRPr="00161CC4" w:rsidRDefault="00AD3760" w:rsidP="00161CC4">
            <w:pPr>
              <w:tabs>
                <w:tab w:val="left" w:pos="7260"/>
              </w:tabs>
              <w:spacing w:after="0"/>
              <w:ind w:left="60" w:right="165"/>
              <w:jc w:val="center"/>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Առաջարկություններ և դիտողություններ չկան: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99B407" w14:textId="77777777" w:rsidR="00AD3760" w:rsidRPr="00161CC4" w:rsidRDefault="00AD3760" w:rsidP="00161CC4">
            <w:pPr>
              <w:spacing w:after="0"/>
              <w:rPr>
                <w:rFonts w:ascii="GHEA Grapalat" w:hAnsi="GHEA Grapalat"/>
                <w:color w:val="000000"/>
                <w:sz w:val="24"/>
                <w:szCs w:val="24"/>
                <w:lang w:val="hy-AM" w:eastAsia="en-US"/>
              </w:rPr>
            </w:pPr>
          </w:p>
        </w:tc>
      </w:tr>
      <w:tr w:rsidR="007A7443" w:rsidRPr="00161CC4" w14:paraId="26880786" w14:textId="77777777" w:rsidTr="00AA75F6">
        <w:trPr>
          <w:trHeight w:val="300"/>
          <w:tblCellSpacing w:w="0" w:type="dxa"/>
          <w:jc w:val="center"/>
        </w:trPr>
        <w:tc>
          <w:tcPr>
            <w:tcW w:w="10162" w:type="dxa"/>
            <w:vMerge w:val="restar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E170CCD" w14:textId="17D3FE13" w:rsidR="007A7443" w:rsidRPr="00161CC4" w:rsidRDefault="00486F5C"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3</w:t>
            </w:r>
            <w:r w:rsidR="007A7443" w:rsidRPr="00161CC4">
              <w:rPr>
                <w:rFonts w:ascii="Cambria Math" w:hAnsi="Cambria Math" w:cs="Cambria Math"/>
                <w:b/>
                <w:color w:val="000000" w:themeColor="text1"/>
                <w:sz w:val="24"/>
                <w:szCs w:val="24"/>
                <w:lang w:val="hy-AM"/>
              </w:rPr>
              <w:t>․</w:t>
            </w:r>
            <w:r w:rsidR="007A7443" w:rsidRPr="00161CC4">
              <w:rPr>
                <w:rFonts w:ascii="GHEA Grapalat" w:hAnsi="GHEA Grapalat"/>
                <w:b/>
                <w:color w:val="000000" w:themeColor="text1"/>
                <w:sz w:val="24"/>
                <w:szCs w:val="24"/>
                <w:lang w:val="hy-AM"/>
              </w:rPr>
              <w:t xml:space="preserve"> </w:t>
            </w:r>
            <w:r w:rsidRPr="00161CC4">
              <w:rPr>
                <w:rFonts w:ascii="GHEA Grapalat" w:hAnsi="GHEA Grapalat"/>
                <w:b/>
                <w:color w:val="000000" w:themeColor="text1"/>
                <w:sz w:val="24"/>
                <w:szCs w:val="24"/>
                <w:lang w:val="hy-AM"/>
              </w:rPr>
              <w:t>Շուկայի վերահսկողության տեսչական մարմին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552DA29" w14:textId="484BC0F2" w:rsidR="007A7443" w:rsidRPr="00161CC4" w:rsidRDefault="00E3026A" w:rsidP="00161CC4">
            <w:pPr>
              <w:tabs>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21</w:t>
            </w:r>
            <w:r w:rsidR="007A7443" w:rsidRPr="00161CC4">
              <w:rPr>
                <w:rFonts w:ascii="Cambria Math" w:hAnsi="Cambria Math" w:cs="Cambria Math"/>
                <w:b/>
                <w:color w:val="000000" w:themeColor="text1"/>
                <w:sz w:val="24"/>
                <w:szCs w:val="24"/>
                <w:lang w:val="hy-AM"/>
              </w:rPr>
              <w:t>․</w:t>
            </w:r>
            <w:r w:rsidR="007A7443" w:rsidRPr="00161CC4">
              <w:rPr>
                <w:rFonts w:ascii="GHEA Grapalat" w:hAnsi="GHEA Grapalat"/>
                <w:b/>
                <w:color w:val="000000" w:themeColor="text1"/>
                <w:sz w:val="24"/>
                <w:szCs w:val="24"/>
                <w:lang w:val="hy-AM"/>
              </w:rPr>
              <w:t xml:space="preserve"> 1</w:t>
            </w:r>
            <w:r w:rsidRPr="00161CC4">
              <w:rPr>
                <w:rFonts w:ascii="GHEA Grapalat" w:hAnsi="GHEA Grapalat"/>
                <w:b/>
                <w:color w:val="000000" w:themeColor="text1"/>
                <w:sz w:val="24"/>
                <w:szCs w:val="24"/>
                <w:lang w:val="hy-AM"/>
              </w:rPr>
              <w:t>2</w:t>
            </w:r>
            <w:r w:rsidR="007A7443" w:rsidRPr="00161CC4">
              <w:rPr>
                <w:rFonts w:ascii="Cambria Math" w:hAnsi="Cambria Math" w:cs="Cambria Math"/>
                <w:b/>
                <w:color w:val="000000" w:themeColor="text1"/>
                <w:sz w:val="24"/>
                <w:szCs w:val="24"/>
                <w:lang w:val="hy-AM"/>
              </w:rPr>
              <w:t>․</w:t>
            </w:r>
            <w:r w:rsidR="007A7443" w:rsidRPr="00161CC4">
              <w:rPr>
                <w:rFonts w:ascii="GHEA Grapalat" w:hAnsi="GHEA Grapalat"/>
                <w:b/>
                <w:color w:val="000000" w:themeColor="text1"/>
                <w:sz w:val="24"/>
                <w:szCs w:val="24"/>
                <w:lang w:val="hy-AM"/>
              </w:rPr>
              <w:t xml:space="preserve"> 2022 թ</w:t>
            </w:r>
            <w:r w:rsidR="007A7443" w:rsidRPr="00161CC4">
              <w:rPr>
                <w:rFonts w:ascii="Cambria Math" w:hAnsi="Cambria Math" w:cs="Cambria Math"/>
                <w:b/>
                <w:color w:val="000000" w:themeColor="text1"/>
                <w:sz w:val="24"/>
                <w:szCs w:val="24"/>
                <w:lang w:val="hy-AM"/>
              </w:rPr>
              <w:t>․</w:t>
            </w:r>
          </w:p>
        </w:tc>
      </w:tr>
      <w:tr w:rsidR="007A7443" w:rsidRPr="00161CC4" w14:paraId="61E8BFC0" w14:textId="77777777" w:rsidTr="00AA75F6">
        <w:trPr>
          <w:trHeight w:val="165"/>
          <w:tblCellSpacing w:w="0" w:type="dxa"/>
          <w:jc w:val="center"/>
        </w:trPr>
        <w:tc>
          <w:tcPr>
            <w:tcW w:w="10162" w:type="dxa"/>
            <w:vMerge/>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B957519" w14:textId="77777777" w:rsidR="007A7443" w:rsidRPr="00161CC4" w:rsidRDefault="007A7443" w:rsidP="00161CC4">
            <w:pPr>
              <w:tabs>
                <w:tab w:val="left" w:pos="7350"/>
              </w:tabs>
              <w:spacing w:after="0"/>
              <w:ind w:left="60"/>
              <w:jc w:val="center"/>
              <w:rPr>
                <w:rFonts w:ascii="GHEA Grapalat" w:hAnsi="GHEA Grapalat"/>
                <w:b/>
                <w:color w:val="000000"/>
                <w:sz w:val="24"/>
                <w:szCs w:val="24"/>
                <w:lang w:val="hy-AM" w:eastAsia="en-US"/>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FBA1C9E" w14:textId="422B838C" w:rsidR="007A7443" w:rsidRPr="00161CC4" w:rsidRDefault="007A7443" w:rsidP="00161CC4">
            <w:pPr>
              <w:tabs>
                <w:tab w:val="left" w:pos="7350"/>
              </w:tabs>
              <w:spacing w:after="0"/>
              <w:jc w:val="center"/>
              <w:rPr>
                <w:rFonts w:ascii="GHEA Grapalat" w:hAnsi="GHEA Grapalat"/>
                <w:b/>
                <w:color w:val="000000"/>
                <w:sz w:val="24"/>
                <w:szCs w:val="24"/>
                <w:lang w:val="hy-AM" w:eastAsia="en-US"/>
              </w:rPr>
            </w:pPr>
            <w:r w:rsidRPr="00161CC4">
              <w:rPr>
                <w:rFonts w:ascii="GHEA Grapalat" w:hAnsi="GHEA Grapalat"/>
                <w:b/>
                <w:color w:val="000000"/>
                <w:sz w:val="24"/>
                <w:szCs w:val="24"/>
                <w:lang w:val="hy-AM" w:eastAsia="en-US"/>
              </w:rPr>
              <w:t xml:space="preserve"> N</w:t>
            </w:r>
            <w:r w:rsidRPr="00161CC4">
              <w:rPr>
                <w:rFonts w:ascii="GHEA Grapalat" w:hAnsi="GHEA Grapalat"/>
                <w:b/>
                <w:color w:val="000000" w:themeColor="text1"/>
                <w:sz w:val="24"/>
                <w:szCs w:val="24"/>
                <w:lang w:val="hy-AM"/>
              </w:rPr>
              <w:t xml:space="preserve"> </w:t>
            </w:r>
            <w:r w:rsidR="00E3026A" w:rsidRPr="00161CC4">
              <w:rPr>
                <w:rFonts w:ascii="GHEA Grapalat" w:hAnsi="GHEA Grapalat"/>
                <w:b/>
                <w:color w:val="000000"/>
                <w:sz w:val="24"/>
                <w:szCs w:val="24"/>
                <w:shd w:val="clear" w:color="auto" w:fill="D9D9D9" w:themeFill="background1" w:themeFillShade="D9"/>
                <w:lang w:val="hy-AM"/>
              </w:rPr>
              <w:t>01//2130-2023</w:t>
            </w:r>
          </w:p>
        </w:tc>
      </w:tr>
      <w:tr w:rsidR="007A7443" w:rsidRPr="00161CC4" w14:paraId="49CFB5A7" w14:textId="77777777" w:rsidTr="00AA75F6">
        <w:trPr>
          <w:trHeight w:val="210"/>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hideMark/>
          </w:tcPr>
          <w:p w14:paraId="3911073C" w14:textId="77777777" w:rsidR="007A7443" w:rsidRPr="00161CC4" w:rsidRDefault="00781A2A" w:rsidP="00161CC4">
            <w:pPr>
              <w:spacing w:after="0"/>
              <w:ind w:left="150" w:right="165" w:firstLine="90"/>
              <w:jc w:val="center"/>
              <w:rPr>
                <w:rFonts w:ascii="GHEA Grapalat" w:hAnsi="GHEA Grapalat"/>
                <w:sz w:val="24"/>
                <w:szCs w:val="24"/>
                <w:lang w:val="hy-AM"/>
              </w:rPr>
            </w:pPr>
            <w:r w:rsidRPr="00161CC4">
              <w:rPr>
                <w:rFonts w:ascii="GHEA Grapalat" w:eastAsia="Calibri" w:hAnsi="GHEA Grapalat" w:cs="GHEA Grapalat"/>
                <w:bCs/>
                <w:sz w:val="24"/>
                <w:szCs w:val="24"/>
                <w:lang w:val="hy-AM"/>
              </w:rPr>
              <w:t>Առաջարկություններ և դիտողություններ չկան: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4F6482" w14:textId="77777777" w:rsidR="007A7443" w:rsidRPr="00161CC4" w:rsidRDefault="007A7443" w:rsidP="00161CC4">
            <w:pPr>
              <w:tabs>
                <w:tab w:val="left" w:pos="7350"/>
              </w:tabs>
              <w:spacing w:after="0"/>
              <w:jc w:val="center"/>
              <w:rPr>
                <w:rFonts w:ascii="GHEA Grapalat" w:hAnsi="GHEA Grapalat"/>
                <w:color w:val="000000"/>
                <w:sz w:val="24"/>
                <w:szCs w:val="24"/>
                <w:lang w:val="hy-AM" w:eastAsia="en-US"/>
              </w:rPr>
            </w:pPr>
          </w:p>
        </w:tc>
      </w:tr>
      <w:tr w:rsidR="00E3026A" w:rsidRPr="00161CC4" w14:paraId="06C2EC32" w14:textId="77777777" w:rsidTr="0030600E">
        <w:trPr>
          <w:trHeight w:val="210"/>
          <w:tblCellSpacing w:w="0" w:type="dxa"/>
          <w:jc w:val="center"/>
        </w:trPr>
        <w:tc>
          <w:tcPr>
            <w:tcW w:w="10162" w:type="dxa"/>
            <w:vMerge w:val="restart"/>
            <w:tcBorders>
              <w:top w:val="outset" w:sz="6" w:space="0" w:color="auto"/>
              <w:left w:val="outset" w:sz="6" w:space="0" w:color="auto"/>
              <w:right w:val="outset" w:sz="6" w:space="0" w:color="auto"/>
            </w:tcBorders>
            <w:shd w:val="clear" w:color="auto" w:fill="BFBFBF" w:themeFill="background1" w:themeFillShade="BF"/>
          </w:tcPr>
          <w:p w14:paraId="1CBC6559" w14:textId="056A3492" w:rsidR="0030600E" w:rsidRPr="00161CC4" w:rsidRDefault="0030600E"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 xml:space="preserve">4. Տարածքային կառավարման </w:t>
            </w:r>
            <w:r w:rsidRPr="00161CC4">
              <w:rPr>
                <w:rFonts w:ascii="GHEA Grapalat" w:hAnsi="GHEA Grapalat"/>
                <w:b/>
                <w:color w:val="000000" w:themeColor="text1"/>
                <w:sz w:val="24"/>
                <w:szCs w:val="24"/>
              </w:rPr>
              <w:t>և</w:t>
            </w:r>
            <w:r w:rsidRPr="00161CC4">
              <w:rPr>
                <w:rFonts w:ascii="GHEA Grapalat" w:hAnsi="GHEA Grapalat"/>
                <w:b/>
                <w:color w:val="000000" w:themeColor="text1"/>
                <w:sz w:val="24"/>
                <w:szCs w:val="24"/>
                <w:lang w:val="hy-AM"/>
              </w:rPr>
              <w:t xml:space="preserve"> ենթակառուցվածքների նախարարություն</w:t>
            </w:r>
          </w:p>
          <w:p w14:paraId="31270251" w14:textId="0288D064" w:rsidR="00E3026A" w:rsidRPr="00161CC4" w:rsidRDefault="00E3026A" w:rsidP="00161CC4">
            <w:pPr>
              <w:spacing w:after="0"/>
              <w:ind w:left="150" w:right="165" w:firstLine="90"/>
              <w:jc w:val="center"/>
              <w:rPr>
                <w:rFonts w:ascii="GHEA Grapalat" w:hAnsi="GHEA Grapalat"/>
                <w:b/>
                <w:color w:val="000000" w:themeColor="text1"/>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40909C24" w14:textId="2B7115A6" w:rsidR="00E3026A" w:rsidRPr="00161CC4" w:rsidRDefault="0030600E" w:rsidP="00161CC4">
            <w:pPr>
              <w:tabs>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27</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12</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2022 թ</w:t>
            </w:r>
            <w:r w:rsidRPr="00161CC4">
              <w:rPr>
                <w:rFonts w:ascii="Cambria Math" w:hAnsi="Cambria Math" w:cs="Cambria Math"/>
                <w:b/>
                <w:color w:val="000000" w:themeColor="text1"/>
                <w:sz w:val="24"/>
                <w:szCs w:val="24"/>
                <w:lang w:val="hy-AM"/>
              </w:rPr>
              <w:t>․</w:t>
            </w:r>
          </w:p>
        </w:tc>
      </w:tr>
      <w:tr w:rsidR="00E3026A" w:rsidRPr="00161CC4" w14:paraId="50A2F940" w14:textId="77777777" w:rsidTr="0030600E">
        <w:trPr>
          <w:trHeight w:val="210"/>
          <w:tblCellSpacing w:w="0" w:type="dxa"/>
          <w:jc w:val="center"/>
        </w:trPr>
        <w:tc>
          <w:tcPr>
            <w:tcW w:w="10162" w:type="dxa"/>
            <w:vMerge/>
            <w:tcBorders>
              <w:left w:val="outset" w:sz="6" w:space="0" w:color="auto"/>
              <w:bottom w:val="outset" w:sz="6" w:space="0" w:color="auto"/>
              <w:right w:val="outset" w:sz="6" w:space="0" w:color="auto"/>
            </w:tcBorders>
            <w:shd w:val="clear" w:color="auto" w:fill="BFBFBF" w:themeFill="background1" w:themeFillShade="BF"/>
          </w:tcPr>
          <w:p w14:paraId="74819297" w14:textId="77777777" w:rsidR="00E3026A" w:rsidRPr="00161CC4" w:rsidRDefault="00E3026A" w:rsidP="00161CC4">
            <w:pPr>
              <w:spacing w:after="0"/>
              <w:ind w:left="150" w:right="165" w:firstLine="90"/>
              <w:jc w:val="center"/>
              <w:rPr>
                <w:rFonts w:ascii="GHEA Grapalat" w:eastAsia="Calibri" w:hAnsi="GHEA Grapalat" w:cs="GHEA Grapalat"/>
                <w:bCs/>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9E1A5D1" w14:textId="27F5EA84" w:rsidR="00E3026A" w:rsidRPr="00161CC4" w:rsidRDefault="0030600E" w:rsidP="00161CC4">
            <w:pPr>
              <w:tabs>
                <w:tab w:val="left" w:pos="7350"/>
              </w:tabs>
              <w:spacing w:after="0"/>
              <w:jc w:val="center"/>
              <w:rPr>
                <w:rFonts w:ascii="GHEA Grapalat" w:hAnsi="GHEA Grapalat"/>
                <w:b/>
                <w:color w:val="000000"/>
                <w:sz w:val="24"/>
                <w:szCs w:val="24"/>
                <w:lang w:val="hy-AM" w:eastAsia="en-US"/>
              </w:rPr>
            </w:pPr>
            <w:r w:rsidRPr="00161CC4">
              <w:rPr>
                <w:rFonts w:ascii="GHEA Grapalat" w:hAnsi="GHEA Grapalat"/>
                <w:b/>
                <w:color w:val="000000"/>
                <w:sz w:val="24"/>
                <w:szCs w:val="24"/>
                <w:lang w:val="hy-AM" w:eastAsia="en-US"/>
              </w:rPr>
              <w:t>N ԳՍ/21.1/40079-2023</w:t>
            </w:r>
          </w:p>
        </w:tc>
      </w:tr>
      <w:tr w:rsidR="00E3026A" w:rsidRPr="00161CC4" w14:paraId="466549C1" w14:textId="77777777" w:rsidTr="00AA75F6">
        <w:trPr>
          <w:trHeight w:val="210"/>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tcPr>
          <w:p w14:paraId="1B45BDCA" w14:textId="48EB73C6" w:rsidR="00E3026A" w:rsidRPr="00161CC4" w:rsidRDefault="00E3026A" w:rsidP="00161CC4">
            <w:pPr>
              <w:spacing w:after="0"/>
              <w:ind w:left="150" w:right="165" w:firstLine="90"/>
              <w:jc w:val="center"/>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Առաջարկություններ և դիտողություններ չկան: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tcPr>
          <w:p w14:paraId="5D8EB291" w14:textId="77777777" w:rsidR="00E3026A" w:rsidRPr="00161CC4" w:rsidRDefault="00E3026A" w:rsidP="00161CC4">
            <w:pPr>
              <w:tabs>
                <w:tab w:val="left" w:pos="7350"/>
              </w:tabs>
              <w:spacing w:after="0"/>
              <w:jc w:val="center"/>
              <w:rPr>
                <w:rFonts w:ascii="GHEA Grapalat" w:hAnsi="GHEA Grapalat"/>
                <w:color w:val="000000"/>
                <w:sz w:val="24"/>
                <w:szCs w:val="24"/>
                <w:lang w:val="hy-AM" w:eastAsia="en-US"/>
              </w:rPr>
            </w:pPr>
          </w:p>
        </w:tc>
      </w:tr>
      <w:tr w:rsidR="0030600E" w:rsidRPr="00161CC4" w14:paraId="65EA51B3" w14:textId="77777777" w:rsidTr="0030600E">
        <w:trPr>
          <w:trHeight w:val="210"/>
          <w:tblCellSpacing w:w="0" w:type="dxa"/>
          <w:jc w:val="center"/>
        </w:trPr>
        <w:tc>
          <w:tcPr>
            <w:tcW w:w="10162" w:type="dxa"/>
            <w:vMerge w:val="restart"/>
            <w:tcBorders>
              <w:top w:val="outset" w:sz="6" w:space="0" w:color="auto"/>
              <w:left w:val="outset" w:sz="6" w:space="0" w:color="auto"/>
              <w:right w:val="outset" w:sz="6" w:space="0" w:color="auto"/>
            </w:tcBorders>
            <w:shd w:val="clear" w:color="auto" w:fill="BFBFBF" w:themeFill="background1" w:themeFillShade="BF"/>
          </w:tcPr>
          <w:p w14:paraId="6FB98C3E" w14:textId="6651FAAB" w:rsidR="0030600E" w:rsidRPr="00161CC4" w:rsidRDefault="0030600E"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5. Պետական եկամուտների կոմիտե</w:t>
            </w:r>
          </w:p>
        </w:tc>
        <w:tc>
          <w:tcPr>
            <w:tcW w:w="51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C460994" w14:textId="7270358C" w:rsidR="0030600E" w:rsidRPr="00161CC4" w:rsidRDefault="0030600E" w:rsidP="00161CC4">
            <w:pPr>
              <w:tabs>
                <w:tab w:val="left" w:pos="4032"/>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25</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12</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2022 թ</w:t>
            </w:r>
            <w:r w:rsidRPr="00161CC4">
              <w:rPr>
                <w:rFonts w:ascii="Cambria Math" w:hAnsi="Cambria Math" w:cs="Cambria Math"/>
                <w:b/>
                <w:color w:val="000000" w:themeColor="text1"/>
                <w:sz w:val="24"/>
                <w:szCs w:val="24"/>
                <w:lang w:val="hy-AM"/>
              </w:rPr>
              <w:t>․</w:t>
            </w:r>
          </w:p>
        </w:tc>
      </w:tr>
      <w:tr w:rsidR="0030600E" w:rsidRPr="00161CC4" w14:paraId="4908165E" w14:textId="77777777" w:rsidTr="0030600E">
        <w:trPr>
          <w:trHeight w:val="210"/>
          <w:tblCellSpacing w:w="0" w:type="dxa"/>
          <w:jc w:val="center"/>
        </w:trPr>
        <w:tc>
          <w:tcPr>
            <w:tcW w:w="10162" w:type="dxa"/>
            <w:vMerge/>
            <w:tcBorders>
              <w:left w:val="outset" w:sz="6" w:space="0" w:color="auto"/>
              <w:bottom w:val="outset" w:sz="6" w:space="0" w:color="auto"/>
              <w:right w:val="outset" w:sz="6" w:space="0" w:color="auto"/>
            </w:tcBorders>
            <w:shd w:val="clear" w:color="auto" w:fill="BFBFBF" w:themeFill="background1" w:themeFillShade="BF"/>
          </w:tcPr>
          <w:p w14:paraId="30A01A1E" w14:textId="77777777" w:rsidR="0030600E" w:rsidRPr="00161CC4" w:rsidRDefault="0030600E" w:rsidP="00161CC4">
            <w:pPr>
              <w:tabs>
                <w:tab w:val="left" w:pos="4032"/>
              </w:tabs>
              <w:spacing w:after="0"/>
              <w:jc w:val="center"/>
              <w:rPr>
                <w:rFonts w:ascii="GHEA Grapalat" w:hAnsi="GHEA Grapalat"/>
                <w:b/>
                <w:color w:val="000000" w:themeColor="text1"/>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0916C173" w14:textId="4C07DE9A" w:rsidR="0030600E" w:rsidRPr="00161CC4" w:rsidRDefault="0030600E" w:rsidP="00161CC4">
            <w:pPr>
              <w:tabs>
                <w:tab w:val="left" w:pos="4032"/>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N 01/3-4/77626-2023</w:t>
            </w:r>
          </w:p>
        </w:tc>
      </w:tr>
      <w:tr w:rsidR="0030600E" w:rsidRPr="00161CC4" w14:paraId="201989B8" w14:textId="77777777" w:rsidTr="00AA75F6">
        <w:trPr>
          <w:trHeight w:val="210"/>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tcPr>
          <w:p w14:paraId="285C920F" w14:textId="1726CE15" w:rsidR="0030600E" w:rsidRPr="00161CC4" w:rsidRDefault="0030600E" w:rsidP="00161CC4">
            <w:pPr>
              <w:spacing w:after="0" w:line="360" w:lineRule="auto"/>
              <w:ind w:left="150" w:right="165" w:firstLine="90"/>
              <w:jc w:val="center"/>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Առաջարկություններ և դիտողություններ չկան:</w:t>
            </w: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tcPr>
          <w:p w14:paraId="025C0ADE" w14:textId="77777777" w:rsidR="0030600E" w:rsidRPr="00161CC4" w:rsidRDefault="0030600E" w:rsidP="00161CC4">
            <w:pPr>
              <w:tabs>
                <w:tab w:val="left" w:pos="7350"/>
              </w:tabs>
              <w:spacing w:after="0" w:line="360" w:lineRule="auto"/>
              <w:jc w:val="center"/>
              <w:rPr>
                <w:rFonts w:ascii="GHEA Grapalat" w:hAnsi="GHEA Grapalat"/>
                <w:color w:val="000000"/>
                <w:sz w:val="24"/>
                <w:szCs w:val="24"/>
                <w:lang w:val="hy-AM" w:eastAsia="en-US"/>
              </w:rPr>
            </w:pPr>
          </w:p>
        </w:tc>
      </w:tr>
      <w:tr w:rsidR="002A3FD6" w:rsidRPr="00161CC4" w14:paraId="3DD5397F" w14:textId="77777777" w:rsidTr="002A3FD6">
        <w:trPr>
          <w:trHeight w:val="210"/>
          <w:tblCellSpacing w:w="0" w:type="dxa"/>
          <w:jc w:val="center"/>
        </w:trPr>
        <w:tc>
          <w:tcPr>
            <w:tcW w:w="10162" w:type="dxa"/>
            <w:vMerge w:val="restart"/>
            <w:tcBorders>
              <w:top w:val="outset" w:sz="6" w:space="0" w:color="auto"/>
              <w:left w:val="outset" w:sz="6" w:space="0" w:color="auto"/>
              <w:right w:val="outset" w:sz="6" w:space="0" w:color="auto"/>
            </w:tcBorders>
            <w:shd w:val="clear" w:color="auto" w:fill="D9D9D9" w:themeFill="background1" w:themeFillShade="D9"/>
          </w:tcPr>
          <w:p w14:paraId="06618A83" w14:textId="53CF3FDA" w:rsidR="002A3FD6" w:rsidRPr="00161CC4" w:rsidRDefault="0030600E" w:rsidP="00161CC4">
            <w:pPr>
              <w:tabs>
                <w:tab w:val="left" w:pos="4032"/>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6</w:t>
            </w:r>
            <w:r w:rsidR="002A3FD6" w:rsidRPr="00161CC4">
              <w:rPr>
                <w:rFonts w:ascii="Cambria Math" w:hAnsi="Cambria Math" w:cs="Cambria Math"/>
                <w:b/>
                <w:color w:val="000000" w:themeColor="text1"/>
                <w:sz w:val="24"/>
                <w:szCs w:val="24"/>
                <w:lang w:val="hy-AM"/>
              </w:rPr>
              <w:t>․</w:t>
            </w:r>
            <w:r w:rsidR="002A3FD6" w:rsidRPr="00161CC4">
              <w:rPr>
                <w:rFonts w:ascii="GHEA Grapalat" w:hAnsi="GHEA Grapalat"/>
                <w:b/>
                <w:color w:val="000000" w:themeColor="text1"/>
                <w:sz w:val="24"/>
                <w:szCs w:val="24"/>
                <w:lang w:val="hy-AM"/>
              </w:rPr>
              <w:t xml:space="preserve"> Վարչապետի աշխատակազմի </w:t>
            </w:r>
            <w:r w:rsidR="001679CB" w:rsidRPr="00161CC4">
              <w:rPr>
                <w:rFonts w:ascii="GHEA Grapalat" w:hAnsi="GHEA Grapalat"/>
                <w:b/>
                <w:color w:val="000000" w:themeColor="text1"/>
                <w:sz w:val="24"/>
                <w:szCs w:val="24"/>
                <w:lang w:val="hy-AM"/>
              </w:rPr>
              <w:t>տեսչական մարմինների աշխատանքների համակարգման գրասենյակ</w:t>
            </w: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70B76B0" w14:textId="77777777" w:rsidR="002A3FD6" w:rsidRPr="00161CC4" w:rsidRDefault="002A3FD6" w:rsidP="00161CC4">
            <w:pPr>
              <w:tabs>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29</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12</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2022 թ</w:t>
            </w:r>
            <w:r w:rsidRPr="00161CC4">
              <w:rPr>
                <w:rFonts w:ascii="Cambria Math" w:hAnsi="Cambria Math" w:cs="Cambria Math"/>
                <w:b/>
                <w:color w:val="000000" w:themeColor="text1"/>
                <w:sz w:val="24"/>
                <w:szCs w:val="24"/>
                <w:lang w:val="hy-AM"/>
              </w:rPr>
              <w:t>․</w:t>
            </w:r>
          </w:p>
        </w:tc>
      </w:tr>
      <w:tr w:rsidR="002A3FD6" w:rsidRPr="00161CC4" w14:paraId="3F1425BB" w14:textId="77777777" w:rsidTr="002A3FD6">
        <w:trPr>
          <w:trHeight w:val="210"/>
          <w:tblCellSpacing w:w="0" w:type="dxa"/>
          <w:jc w:val="center"/>
        </w:trPr>
        <w:tc>
          <w:tcPr>
            <w:tcW w:w="10162" w:type="dxa"/>
            <w:vMerge/>
            <w:tcBorders>
              <w:left w:val="outset" w:sz="6" w:space="0" w:color="auto"/>
              <w:bottom w:val="outset" w:sz="6" w:space="0" w:color="auto"/>
              <w:right w:val="outset" w:sz="6" w:space="0" w:color="auto"/>
            </w:tcBorders>
            <w:shd w:val="clear" w:color="auto" w:fill="D9D9D9" w:themeFill="background1" w:themeFillShade="D9"/>
          </w:tcPr>
          <w:p w14:paraId="380B84C5" w14:textId="77777777" w:rsidR="002A3FD6" w:rsidRPr="00161CC4" w:rsidRDefault="002A3FD6" w:rsidP="00161CC4">
            <w:pPr>
              <w:tabs>
                <w:tab w:val="left" w:pos="4032"/>
              </w:tabs>
              <w:spacing w:after="0"/>
              <w:jc w:val="center"/>
              <w:rPr>
                <w:rFonts w:ascii="GHEA Grapalat" w:hAnsi="GHEA Grapalat"/>
                <w:b/>
                <w:color w:val="000000" w:themeColor="text1"/>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CF145EB" w14:textId="77777777" w:rsidR="002A3FD6" w:rsidRPr="00161CC4" w:rsidRDefault="002A3FD6" w:rsidP="00161CC4">
            <w:pPr>
              <w:tabs>
                <w:tab w:val="left" w:pos="4032"/>
                <w:tab w:val="left" w:pos="7350"/>
              </w:tabs>
              <w:spacing w:after="0"/>
              <w:jc w:val="center"/>
              <w:rPr>
                <w:rFonts w:ascii="GHEA Grapalat" w:hAnsi="GHEA Grapalat"/>
                <w:b/>
                <w:color w:val="000000" w:themeColor="text1"/>
                <w:sz w:val="24"/>
                <w:szCs w:val="24"/>
                <w:lang w:val="hy-AM"/>
              </w:rPr>
            </w:pPr>
            <w:r w:rsidRPr="00161CC4">
              <w:rPr>
                <w:rFonts w:ascii="GHEA Grapalat" w:hAnsi="GHEA Grapalat"/>
                <w:b/>
                <w:color w:val="000000" w:themeColor="text1"/>
                <w:sz w:val="24"/>
                <w:szCs w:val="24"/>
                <w:lang w:val="hy-AM"/>
              </w:rPr>
              <w:t xml:space="preserve"> N 02/08.2/43028-2022</w:t>
            </w:r>
          </w:p>
        </w:tc>
      </w:tr>
      <w:tr w:rsidR="002A3FD6" w:rsidRPr="00161CC4" w14:paraId="21D0D030" w14:textId="77777777" w:rsidTr="00AA75F6">
        <w:trPr>
          <w:trHeight w:val="210"/>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tcPr>
          <w:p w14:paraId="5A0BF785" w14:textId="77777777" w:rsidR="001679CB" w:rsidRPr="00161CC4" w:rsidRDefault="002A3FD6" w:rsidP="00161CC4">
            <w:pPr>
              <w:keepNext/>
              <w:spacing w:after="0" w:line="360" w:lineRule="auto"/>
              <w:ind w:left="156" w:right="342"/>
              <w:jc w:val="both"/>
              <w:rPr>
                <w:rFonts w:ascii="GHEA Grapalat" w:hAnsi="GHEA Grapalat" w:cs="Sylfaen"/>
                <w:sz w:val="24"/>
                <w:szCs w:val="24"/>
                <w:lang w:val="hy-AM"/>
              </w:rPr>
            </w:pPr>
            <w:r w:rsidRPr="00161CC4">
              <w:rPr>
                <w:rFonts w:ascii="GHEA Grapalat" w:eastAsia="Calibri" w:hAnsi="GHEA Grapalat" w:cs="GHEA Grapalat"/>
                <w:bCs/>
                <w:sz w:val="24"/>
                <w:szCs w:val="24"/>
                <w:lang w:val="hy-AM"/>
              </w:rPr>
              <w:lastRenderedPageBreak/>
              <w:t xml:space="preserve">     </w:t>
            </w:r>
            <w:r w:rsidR="001679CB" w:rsidRPr="00161CC4">
              <w:rPr>
                <w:rFonts w:ascii="GHEA Grapalat" w:hAnsi="GHEA Grapalat" w:cs="Sylfaen"/>
                <w:sz w:val="24"/>
                <w:szCs w:val="24"/>
                <w:lang w:val="hy-AM"/>
              </w:rPr>
              <w:t xml:space="preserve"> «Հավատարմագրման չափանիշները, համապատասխանության գնահատման մարմինների հավատարմագրման, գնահատումների կարգը և ժամկետները հաստատելու մասին» Էկոնոմիկայի նախարարի հրամանի նախագծի (այսուհետ՝ Նախագիծ) վերաբերալ հայտնում եմ հետևյալը.</w:t>
            </w:r>
          </w:p>
          <w:p w14:paraId="18237DFD"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Նախագծի N 1 հավելվածի 6-րդ կետը, որով սահմանվում է հավատարմագրման համար դիմելու իրավունք ունեցող սուբյեկտների շրջանակը, հանդիսանում է  օրենքի կարգավորման առարկա և սահմանված է «Հավատարմագրման մասին օրենքի (այսուհետ՝ Օրենք) 12-րդ հոդվածի 1-ին մասում: Հետևաբար՝ նորմատիվ իրավական ակտերով սահմանված նորմերի անհիմն կրկնություններից խուսափելու նպատակով</w:t>
            </w:r>
            <w:r w:rsidRPr="00161CC4">
              <w:rPr>
                <w:sz w:val="24"/>
                <w:szCs w:val="24"/>
                <w:lang w:val="hy-AM"/>
              </w:rPr>
              <w:t> </w:t>
            </w:r>
            <w:r w:rsidRPr="00161CC4">
              <w:rPr>
                <w:rFonts w:ascii="GHEA Grapalat" w:hAnsi="GHEA Grapalat" w:cs="Sylfaen"/>
                <w:sz w:val="24"/>
                <w:szCs w:val="24"/>
                <w:lang w:val="hy-AM"/>
              </w:rPr>
              <w:t>առաջարկում եմ նշված կետը հանել:</w:t>
            </w:r>
          </w:p>
          <w:p w14:paraId="24A51021"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 xml:space="preserve">Նախագծի ընդունման համար իրավական հիմք հանդիսացող </w:t>
            </w:r>
            <w:bookmarkStart w:id="1" w:name="_Hlk152231754"/>
            <w:r w:rsidRPr="00161CC4">
              <w:rPr>
                <w:rFonts w:ascii="GHEA Grapalat" w:hAnsi="GHEA Grapalat" w:cs="Sylfaen"/>
                <w:sz w:val="24"/>
                <w:szCs w:val="24"/>
                <w:lang w:val="hy-AM"/>
              </w:rPr>
              <w:t>Օրենքի 7-րդ հոդվածի 1-ին մասի 5.5-րդ կետ</w:t>
            </w:r>
            <w:bookmarkEnd w:id="1"/>
            <w:r w:rsidRPr="00161CC4">
              <w:rPr>
                <w:rFonts w:ascii="GHEA Grapalat" w:hAnsi="GHEA Grapalat" w:cs="Sylfaen"/>
                <w:sz w:val="24"/>
                <w:szCs w:val="24"/>
                <w:lang w:val="hy-AM"/>
              </w:rPr>
              <w:t xml:space="preserve">ով նախատեսվում է, որ </w:t>
            </w:r>
            <w:r w:rsidRPr="00161CC4">
              <w:rPr>
                <w:sz w:val="24"/>
                <w:szCs w:val="24"/>
                <w:lang w:val="hy-AM"/>
              </w:rPr>
              <w:t> </w:t>
            </w:r>
            <w:r w:rsidRPr="00161CC4">
              <w:rPr>
                <w:rFonts w:ascii="GHEA Grapalat" w:hAnsi="GHEA Grapalat" w:cs="Sylfaen"/>
                <w:sz w:val="24"/>
                <w:szCs w:val="24"/>
                <w:lang w:val="hy-AM"/>
              </w:rPr>
              <w:t>Հայաստանի</w:t>
            </w:r>
            <w:r w:rsidRPr="00161CC4">
              <w:rPr>
                <w:rFonts w:ascii="GHEA Grapalat" w:hAnsi="GHEA Grapalat"/>
                <w:color w:val="000000"/>
                <w:sz w:val="24"/>
                <w:szCs w:val="24"/>
                <w:shd w:val="clear" w:color="auto" w:fill="FFFFFF"/>
                <w:lang w:val="hy-AM"/>
              </w:rPr>
              <w:t xml:space="preserve"> </w:t>
            </w:r>
            <w:r w:rsidRPr="00161CC4">
              <w:rPr>
                <w:rFonts w:ascii="GHEA Grapalat" w:hAnsi="GHEA Grapalat" w:cs="Sylfaen"/>
                <w:sz w:val="24"/>
                <w:szCs w:val="24"/>
                <w:lang w:val="hy-AM"/>
              </w:rPr>
              <w:t xml:space="preserve">Հանրապետության կառավարության կողմից լիազորված պետական կառավարման մարմնի կողմից պետք է հաստատվեն </w:t>
            </w:r>
            <w:r w:rsidRPr="00161CC4">
              <w:rPr>
                <w:rFonts w:ascii="GHEA Grapalat" w:hAnsi="GHEA Grapalat" w:cs="Sylfaen"/>
                <w:b/>
                <w:sz w:val="24"/>
                <w:szCs w:val="24"/>
                <w:lang w:val="hy-AM"/>
              </w:rPr>
              <w:t>հավատարմագրման չափանիշները</w:t>
            </w:r>
            <w:r w:rsidRPr="00161CC4">
              <w:rPr>
                <w:rFonts w:ascii="GHEA Grapalat" w:hAnsi="GHEA Grapalat" w:cs="Sylfaen"/>
                <w:sz w:val="24"/>
                <w:szCs w:val="24"/>
                <w:lang w:val="hy-AM"/>
              </w:rPr>
              <w:t>, ՀԳՄ-ների հավատարմագրման, գնահատումների կարգը և ժամկետները, սակայն ինչպես բխում է Նախագծի N 1 հավելվածի 2-րդ գլխի իրավակարգավորումներից, որևէ հստակ չափանիշ  Նախագծով սահմանված չէ:  Հետևաբար, հիմք ընդունելով վերոգրյալն՝ առաջարկում եմ Նախագծով հստակ սահմանել հավատարմագրման չափանիշները:</w:t>
            </w:r>
          </w:p>
          <w:p w14:paraId="6B6884D2" w14:textId="4D672C6F" w:rsidR="001679CB" w:rsidRPr="00161CC4" w:rsidRDefault="001679CB" w:rsidP="00161CC4">
            <w:pPr>
              <w:keepNext/>
              <w:spacing w:after="0" w:line="360" w:lineRule="auto"/>
              <w:ind w:left="156" w:right="342"/>
              <w:jc w:val="both"/>
              <w:rPr>
                <w:rFonts w:ascii="GHEA Grapalat" w:hAnsi="GHEA Grapalat" w:cs="Sylfaen"/>
                <w:sz w:val="24"/>
                <w:szCs w:val="24"/>
              </w:rPr>
            </w:pPr>
            <w:r w:rsidRPr="00161CC4">
              <w:rPr>
                <w:rFonts w:ascii="GHEA Grapalat" w:hAnsi="GHEA Grapalat" w:cs="Sylfaen"/>
                <w:sz w:val="24"/>
                <w:szCs w:val="24"/>
                <w:lang w:val="hy-AM"/>
              </w:rPr>
              <w:t xml:space="preserve">Նախագծի N 1 հավելվածի 9-րդ կետով սահմանվում է, որ </w:t>
            </w:r>
            <w:r w:rsidRPr="00161CC4">
              <w:rPr>
                <w:rFonts w:ascii="GHEA Grapalat" w:hAnsi="GHEA Grapalat"/>
                <w:b/>
                <w:sz w:val="24"/>
                <w:szCs w:val="24"/>
                <w:lang w:val="hy-AM"/>
              </w:rPr>
              <w:t>հավատարմագրման իրականացման կարգը և ժամկետները</w:t>
            </w:r>
            <w:r w:rsidRPr="00161CC4">
              <w:rPr>
                <w:rFonts w:ascii="GHEA Grapalat" w:hAnsi="GHEA Grapalat"/>
                <w:sz w:val="24"/>
                <w:szCs w:val="24"/>
                <w:lang w:val="hy-AM"/>
              </w:rPr>
              <w:t xml:space="preserve"> </w:t>
            </w:r>
            <w:r w:rsidRPr="00161CC4">
              <w:rPr>
                <w:rFonts w:ascii="GHEA Grapalat" w:hAnsi="GHEA Grapalat" w:cs="Sylfaen"/>
                <w:sz w:val="24"/>
                <w:szCs w:val="24"/>
                <w:lang w:val="hy-AM"/>
              </w:rPr>
              <w:t>սահմանվում են ԱՐՄՆԱԲ-ի տնօրենի հրամանով հաստատված PR-7 «Հավատարմագրման ընթացակարգը և ընդհանուր պահանջները» ընթացակարգով, մինչդեռ՝ հավատարմագրման կարգի և ժա</w:t>
            </w:r>
            <w:r w:rsidR="005D65DB" w:rsidRPr="00161CC4">
              <w:rPr>
                <w:rFonts w:ascii="GHEA Grapalat" w:hAnsi="GHEA Grapalat" w:cs="Sylfaen"/>
                <w:sz w:val="24"/>
                <w:szCs w:val="24"/>
                <w:lang w:val="hy-AM"/>
              </w:rPr>
              <w:t>մ</w:t>
            </w:r>
            <w:r w:rsidRPr="00161CC4">
              <w:rPr>
                <w:rFonts w:ascii="GHEA Grapalat" w:hAnsi="GHEA Grapalat" w:cs="Sylfaen"/>
                <w:sz w:val="24"/>
                <w:szCs w:val="24"/>
                <w:lang w:val="hy-AM"/>
              </w:rPr>
              <w:t xml:space="preserve">կետների </w:t>
            </w:r>
            <w:r w:rsidRPr="00161CC4">
              <w:rPr>
                <w:rFonts w:ascii="GHEA Grapalat" w:hAnsi="GHEA Grapalat" w:cs="Sylfaen"/>
                <w:sz w:val="24"/>
                <w:szCs w:val="24"/>
                <w:lang w:val="hy-AM"/>
              </w:rPr>
              <w:lastRenderedPageBreak/>
              <w:t>սահմանումը հանդիսանում է Նախագծի կարգավորման առարկա, մասնավորապես՝ հիմք ընդունելով այն հանգամանքը, որ Օրենքի  8-րդ հոդվածի 4-րդ մասով ԱՐՄՆԱԲ-ը հավատարմագրման կարգ և ժամկետներ սահմանելու լիազորությամբ օժտված չէ: Հետևաբար՝ վերոնշյալ կետն առաջարկում եմ խմբագրել:</w:t>
            </w:r>
          </w:p>
          <w:p w14:paraId="23BC6D64" w14:textId="77777777" w:rsidR="001679CB" w:rsidRPr="00161CC4" w:rsidRDefault="001679CB" w:rsidP="00161CC4">
            <w:pPr>
              <w:keepNext/>
              <w:spacing w:after="0" w:line="360" w:lineRule="auto"/>
              <w:ind w:left="156" w:right="342"/>
              <w:jc w:val="both"/>
              <w:rPr>
                <w:rFonts w:ascii="GHEA Grapalat" w:hAnsi="GHEA Grapalat" w:cs="Sylfaen"/>
                <w:sz w:val="24"/>
                <w:szCs w:val="24"/>
              </w:rPr>
            </w:pPr>
            <w:r w:rsidRPr="00161CC4">
              <w:rPr>
                <w:rFonts w:ascii="GHEA Grapalat" w:hAnsi="GHEA Grapalat" w:cs="Sylfaen"/>
                <w:sz w:val="24"/>
                <w:szCs w:val="24"/>
                <w:lang w:val="hy-AM"/>
              </w:rPr>
              <w:t>Նախագծի N 1 հավելվածի 22-րդ կետում առաջարկում եմ հստակեցնել  ՀԳՄ-ի կողմից  հայտի, հայտին կից փաստաթղթերի թերությունները վերացնելու համար նախատեսված ժամկետները:</w:t>
            </w:r>
          </w:p>
          <w:p w14:paraId="0EBD6DF9"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Նախագծի N 1 հավելվածի 32-րդ կետում նշում է, որ ե</w:t>
            </w:r>
            <w:r w:rsidRPr="00161CC4">
              <w:rPr>
                <w:rFonts w:ascii="GHEA Grapalat" w:hAnsi="GHEA Grapalat"/>
                <w:sz w:val="24"/>
                <w:szCs w:val="24"/>
                <w:lang w:val="hy-AM"/>
              </w:rPr>
              <w:t xml:space="preserve">թե փաստաթղթերի փորձաքննության արդյունքում հայտնաբերված անհամապատասխանությունները </w:t>
            </w:r>
            <w:r w:rsidRPr="00161CC4">
              <w:rPr>
                <w:rFonts w:ascii="GHEA Grapalat" w:hAnsi="GHEA Grapalat"/>
                <w:b/>
                <w:sz w:val="24"/>
                <w:szCs w:val="24"/>
                <w:lang w:val="hy-AM"/>
              </w:rPr>
              <w:t>չեն ազդում գնահատման աշխատանքները շարունակելու վրա (չնչին են)</w:t>
            </w:r>
            <w:r w:rsidRPr="00161CC4">
              <w:rPr>
                <w:rFonts w:ascii="GHEA Grapalat" w:hAnsi="GHEA Grapalat"/>
                <w:sz w:val="24"/>
                <w:szCs w:val="24"/>
                <w:lang w:val="hy-AM"/>
              </w:rPr>
              <w:t>, ապա ՀԳՄ-ի կողմից համաձայնեցումը ստանալուց և տեղում գնահատման գործընթացն իրականացնելու համար վճարումը կատարելուց հետո սկսվում է տեղում գնահատման նախապատրաստման գործընթացը</w:t>
            </w:r>
            <w:r w:rsidRPr="00161CC4">
              <w:rPr>
                <w:rFonts w:ascii="GHEA Grapalat" w:hAnsi="GHEA Grapalat" w:cs="Sylfaen"/>
                <w:sz w:val="24"/>
                <w:szCs w:val="24"/>
                <w:lang w:val="hy-AM"/>
              </w:rPr>
              <w:t>: Վերոգրյալի համատեքստում իրավական որոշակիությունն ապահովելու  և տարընկալումներից խուսափելու նպատակով առաջարկում եմ սահմանել որո՞նք են այն անհամապատասխանություւնները, որոնք Նախագծի տրամաբանությամբ համարվում են չնչին:</w:t>
            </w:r>
          </w:p>
          <w:p w14:paraId="1430985D"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Նույն դիտողությունը վերաբերվում է նաև  Նախագծի N 1 հավելվածի 34-րդ կետին:</w:t>
            </w:r>
          </w:p>
          <w:p w14:paraId="2751F663"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 xml:space="preserve">Նախագծի N 1 հավելվածի 43-րդ կետում «Խորհրդատվական կոմիտեին» բառերն առաջարկում եմ փոխարինել «Խորհրդատվական տեխնիկական կոմիտեին» բառերով, հիմք ընդունելով Օրենքի 6-րդ հոդվածի 1-ին մասի 2-րդ կետի իրավակարգավորումը, այն է՝ </w:t>
            </w:r>
            <w:r w:rsidRPr="00161CC4">
              <w:rPr>
                <w:sz w:val="24"/>
                <w:szCs w:val="24"/>
                <w:lang w:val="hy-AM"/>
              </w:rPr>
              <w:t> </w:t>
            </w:r>
            <w:r w:rsidRPr="00161CC4">
              <w:rPr>
                <w:rFonts w:ascii="GHEA Grapalat" w:hAnsi="GHEA Grapalat" w:cs="Sylfaen"/>
                <w:sz w:val="24"/>
                <w:szCs w:val="24"/>
                <w:lang w:val="hy-AM"/>
              </w:rPr>
              <w:t xml:space="preserve">հավատարմագրման ազգային համակարգը կազմված է միմյանց հետ համագործակցող հետևյալ մասնակիցներից` որոնց  կազնում են ԱՐՄՆԱԲ-ը, ներառյալ` </w:t>
            </w:r>
            <w:r w:rsidRPr="00161CC4">
              <w:rPr>
                <w:rFonts w:ascii="GHEA Grapalat" w:hAnsi="GHEA Grapalat" w:cs="Sylfaen"/>
                <w:sz w:val="24"/>
                <w:szCs w:val="24"/>
                <w:lang w:val="hy-AM"/>
              </w:rPr>
              <w:lastRenderedPageBreak/>
              <w:t>հավատարմագրման խորհուրդը, հավատարմագրման կոմիտեները, խորհրդատվական տեխնիկական կոմիտեները և հանձնաժողովները:</w:t>
            </w:r>
          </w:p>
          <w:p w14:paraId="0E65FC33"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Նախագծի N 1 հավելվածի 46-րդ կետում նշվում է, որ հավատարմագրման մերժման դեպքում ԱՐՄՆԱԲ-ը ՀԳՄ-ին տեղեկացնում է հավատարմագրման մերժման որոշման վերաբերյալ` նշելով մերժման հիմքերը: Վերոգրյալ նորմի իրավակարգավորումից պարզ չէ ոչ միայն ի՞նչ եղանակով և ի՞նչ ժամկետներում է իրականացվելու տեղեկացումը, այլ նաև որո՞նք են հավատարմագրման մերժման հիմքերը:</w:t>
            </w:r>
          </w:p>
          <w:p w14:paraId="7988E7E5"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 xml:space="preserve">Նախագծի N 1 հավելվածի 47-րդ կետում նշվում է, որ </w:t>
            </w:r>
            <w:r w:rsidRPr="00161CC4">
              <w:rPr>
                <w:rFonts w:ascii="GHEA Grapalat" w:hAnsi="GHEA Grapalat"/>
                <w:sz w:val="24"/>
                <w:szCs w:val="24"/>
                <w:lang w:val="hy-AM"/>
              </w:rPr>
              <w:t xml:space="preserve">ՀԳՄ-ի հավատարմագրման և վերահավատարմագրման ժամկետ է սահմանվում չորս տարին, որի պարագայում խնդրահարույց է դառնում </w:t>
            </w:r>
            <w:r w:rsidRPr="00161CC4">
              <w:rPr>
                <w:rFonts w:ascii="GHEA Grapalat" w:hAnsi="GHEA Grapalat" w:cs="Sylfaen"/>
                <w:sz w:val="24"/>
                <w:szCs w:val="24"/>
                <w:lang w:val="hy-AM"/>
              </w:rPr>
              <w:t>Նախագծի N 1 հավելվածի 48-րդ կետով սահմանված իրավակարգավորումը, այն է՝ եթե վերահավատարմագրման գործընթացը չի ավարտվել, ապա ՀԳՄ-ի հավատարմագրման վկայագիրը շարունակում է գործել մինչև հավատարմագրման կոմիտեի կողմից հավատարմագրման վերաբերյալ համապատասխան որոշման ընդունումը, սակայն հավատարմագրման վկայագրի տրամադրման օրվանից մինչև համապատասխան որոշման ընդունումը չպետք է</w:t>
            </w:r>
            <w:r w:rsidRPr="00161CC4">
              <w:rPr>
                <w:rFonts w:ascii="GHEA Grapalat" w:hAnsi="GHEA Grapalat"/>
                <w:sz w:val="24"/>
                <w:szCs w:val="24"/>
                <w:lang w:val="hy-AM"/>
              </w:rPr>
              <w:t xml:space="preserve"> </w:t>
            </w:r>
            <w:r w:rsidRPr="00161CC4">
              <w:rPr>
                <w:rFonts w:ascii="GHEA Grapalat" w:hAnsi="GHEA Grapalat"/>
                <w:b/>
                <w:sz w:val="24"/>
                <w:szCs w:val="24"/>
                <w:lang w:val="hy-AM"/>
              </w:rPr>
              <w:t>գերազանցի 5 տարին</w:t>
            </w:r>
            <w:r w:rsidRPr="00161CC4">
              <w:rPr>
                <w:rFonts w:ascii="GHEA Grapalat" w:hAnsi="GHEA Grapalat"/>
                <w:sz w:val="24"/>
                <w:szCs w:val="24"/>
                <w:lang w:val="hy-AM"/>
              </w:rPr>
              <w:t>:</w:t>
            </w:r>
          </w:p>
          <w:p w14:paraId="14354550" w14:textId="77777777" w:rsidR="001679CB" w:rsidRPr="00161CC4" w:rsidRDefault="001679CB" w:rsidP="00161CC4">
            <w:pPr>
              <w:keepNext/>
              <w:spacing w:after="0" w:line="360" w:lineRule="auto"/>
              <w:ind w:left="156" w:right="342"/>
              <w:jc w:val="both"/>
              <w:rPr>
                <w:rFonts w:ascii="GHEA Grapalat" w:hAnsi="GHEA Grapalat"/>
                <w:sz w:val="24"/>
                <w:szCs w:val="24"/>
                <w:lang w:val="hy-AM"/>
              </w:rPr>
            </w:pPr>
            <w:r w:rsidRPr="00161CC4">
              <w:rPr>
                <w:rFonts w:ascii="GHEA Grapalat" w:hAnsi="GHEA Grapalat" w:cs="Sylfaen"/>
                <w:sz w:val="24"/>
                <w:szCs w:val="24"/>
                <w:lang w:val="hy-AM"/>
              </w:rPr>
              <w:t>Նախագծի N 1 հավելվածի 57-րդ կետում հղում է կատարվում Նախագծի N 1 հավելվածի 54-րդ կետով սահմանված ՀԳՄ-ների գործունեության իրականացման վայրի փոփոխության դեպքին,</w:t>
            </w:r>
            <w:r w:rsidRPr="00161CC4">
              <w:rPr>
                <w:rFonts w:ascii="GHEA Grapalat" w:hAnsi="GHEA Grapalat"/>
                <w:sz w:val="24"/>
                <w:szCs w:val="24"/>
                <w:lang w:val="hy-AM"/>
              </w:rPr>
              <w:t xml:space="preserve"> սակայն վերոնշյալ կետում նման դեպք սահմանված չէ: Հետևաբար՝ առաջարկում են նշված հղումը խմբարգել:</w:t>
            </w:r>
          </w:p>
          <w:p w14:paraId="5AB0D11F" w14:textId="77777777" w:rsidR="001679CB" w:rsidRPr="00161CC4" w:rsidRDefault="001679CB" w:rsidP="00161CC4">
            <w:pPr>
              <w:keepNext/>
              <w:tabs>
                <w:tab w:val="left" w:pos="252"/>
              </w:tabs>
              <w:spacing w:after="0" w:line="360" w:lineRule="auto"/>
              <w:ind w:left="156" w:right="342"/>
              <w:jc w:val="both"/>
              <w:rPr>
                <w:rFonts w:ascii="GHEA Grapalat" w:hAnsi="GHEA Grapalat"/>
                <w:sz w:val="24"/>
                <w:szCs w:val="24"/>
                <w:lang w:val="hy-AM"/>
              </w:rPr>
            </w:pPr>
            <w:r w:rsidRPr="00161CC4">
              <w:rPr>
                <w:rFonts w:ascii="GHEA Grapalat" w:hAnsi="GHEA Grapalat" w:cs="Sylfaen"/>
                <w:sz w:val="24"/>
                <w:szCs w:val="24"/>
                <w:lang w:val="hy-AM"/>
              </w:rPr>
              <w:t xml:space="preserve">Նախագծի N 1 հավելվածի 64-րդ կետում նշվում է, որ </w:t>
            </w:r>
            <w:r w:rsidRPr="00161CC4">
              <w:rPr>
                <w:rFonts w:ascii="GHEA Grapalat" w:hAnsi="GHEA Grapalat"/>
                <w:sz w:val="24"/>
                <w:szCs w:val="24"/>
                <w:lang w:val="hy-AM"/>
              </w:rPr>
              <w:t>ԱՐՄՆԱԲ-ը արտահերթ գնահատումներն իրականացնում է այն դեպքերում, երբ առկա է.</w:t>
            </w:r>
          </w:p>
          <w:p w14:paraId="4C5381E8" w14:textId="77777777" w:rsidR="001679CB" w:rsidRPr="00161CC4" w:rsidRDefault="001679CB" w:rsidP="00161CC4">
            <w:pPr>
              <w:tabs>
                <w:tab w:val="left" w:pos="252"/>
                <w:tab w:val="left" w:pos="285"/>
                <w:tab w:val="left" w:pos="540"/>
                <w:tab w:val="left" w:pos="1170"/>
                <w:tab w:val="left" w:pos="1260"/>
              </w:tabs>
              <w:spacing w:after="0" w:line="360" w:lineRule="auto"/>
              <w:ind w:left="156" w:right="342"/>
              <w:jc w:val="both"/>
              <w:rPr>
                <w:rFonts w:ascii="GHEA Grapalat" w:hAnsi="GHEA Grapalat"/>
                <w:sz w:val="24"/>
                <w:szCs w:val="24"/>
                <w:lang w:val="hy-AM"/>
              </w:rPr>
            </w:pPr>
            <w:r w:rsidRPr="00161CC4">
              <w:rPr>
                <w:rFonts w:ascii="GHEA Grapalat" w:hAnsi="GHEA Grapalat"/>
                <w:sz w:val="24"/>
                <w:szCs w:val="24"/>
                <w:lang w:val="hy-AM"/>
              </w:rPr>
              <w:lastRenderedPageBreak/>
              <w:t>1) Հայաստանի Հանրապետության և օտարերկրյա պետական ու ոչ պետական մարմինների, ֆիզիկական և իրավաբանական անձանց կողմից ստացված բողոք,</w:t>
            </w:r>
          </w:p>
          <w:p w14:paraId="3AAB6D7C" w14:textId="77777777" w:rsidR="001679CB" w:rsidRPr="00161CC4" w:rsidRDefault="001679CB" w:rsidP="00161CC4">
            <w:pPr>
              <w:tabs>
                <w:tab w:val="left" w:pos="252"/>
                <w:tab w:val="left" w:pos="285"/>
                <w:tab w:val="left" w:pos="540"/>
                <w:tab w:val="left" w:pos="1170"/>
                <w:tab w:val="left" w:pos="1260"/>
              </w:tabs>
              <w:spacing w:after="0" w:line="360" w:lineRule="auto"/>
              <w:ind w:left="156" w:right="342"/>
              <w:jc w:val="both"/>
              <w:rPr>
                <w:rFonts w:ascii="GHEA Grapalat" w:hAnsi="GHEA Grapalat"/>
                <w:sz w:val="24"/>
                <w:szCs w:val="24"/>
                <w:lang w:val="hy-AM"/>
              </w:rPr>
            </w:pPr>
            <w:r w:rsidRPr="00161CC4">
              <w:rPr>
                <w:rFonts w:ascii="GHEA Grapalat" w:hAnsi="GHEA Grapalat"/>
                <w:sz w:val="24"/>
                <w:szCs w:val="24"/>
                <w:lang w:val="hy-AM"/>
              </w:rPr>
              <w:t xml:space="preserve">2) </w:t>
            </w:r>
            <w:r w:rsidRPr="00161CC4">
              <w:rPr>
                <w:rFonts w:ascii="GHEA Grapalat" w:hAnsi="GHEA Grapalat"/>
                <w:b/>
                <w:sz w:val="24"/>
                <w:szCs w:val="24"/>
                <w:lang w:val="hy-AM"/>
              </w:rPr>
              <w:t>ԱՐՄՆԱԲ-ի հիմնավոր կասկած,</w:t>
            </w:r>
          </w:p>
          <w:p w14:paraId="5D93FD78" w14:textId="77777777" w:rsidR="001679CB" w:rsidRPr="00161CC4" w:rsidRDefault="001679CB" w:rsidP="00161CC4">
            <w:pPr>
              <w:tabs>
                <w:tab w:val="left" w:pos="252"/>
                <w:tab w:val="left" w:pos="285"/>
                <w:tab w:val="left" w:pos="540"/>
                <w:tab w:val="left" w:pos="1170"/>
                <w:tab w:val="left" w:pos="1260"/>
              </w:tabs>
              <w:spacing w:after="0" w:line="360" w:lineRule="auto"/>
              <w:ind w:left="156" w:right="342"/>
              <w:jc w:val="both"/>
              <w:rPr>
                <w:rFonts w:ascii="GHEA Grapalat" w:hAnsi="GHEA Grapalat"/>
                <w:sz w:val="24"/>
                <w:szCs w:val="24"/>
                <w:lang w:val="hy-AM"/>
              </w:rPr>
            </w:pPr>
            <w:r w:rsidRPr="00161CC4">
              <w:rPr>
                <w:rFonts w:ascii="GHEA Grapalat" w:hAnsi="GHEA Grapalat"/>
                <w:sz w:val="24"/>
                <w:szCs w:val="24"/>
                <w:lang w:val="hy-AM"/>
              </w:rPr>
              <w:t>3) հավատարմագրման պայմանների փոփոխությունների վերաբերյալ ՀԳՄ-ի դիմում (դեպքերն ամրագրվում են հավատարմագրման պայմանագրում),</w:t>
            </w:r>
          </w:p>
          <w:p w14:paraId="116FD31E" w14:textId="77777777" w:rsidR="001679CB" w:rsidRPr="00161CC4" w:rsidRDefault="001679CB" w:rsidP="00161CC4">
            <w:pPr>
              <w:tabs>
                <w:tab w:val="left" w:pos="252"/>
                <w:tab w:val="left" w:pos="285"/>
                <w:tab w:val="left" w:pos="540"/>
                <w:tab w:val="left" w:pos="1170"/>
                <w:tab w:val="left" w:pos="1260"/>
              </w:tabs>
              <w:spacing w:after="0" w:line="360" w:lineRule="auto"/>
              <w:ind w:left="156" w:right="342"/>
              <w:jc w:val="both"/>
              <w:rPr>
                <w:rFonts w:ascii="GHEA Grapalat" w:hAnsi="GHEA Grapalat"/>
                <w:sz w:val="24"/>
                <w:szCs w:val="24"/>
                <w:lang w:val="hy-AM"/>
              </w:rPr>
            </w:pPr>
            <w:r w:rsidRPr="00161CC4">
              <w:rPr>
                <w:rFonts w:ascii="GHEA Grapalat" w:hAnsi="GHEA Grapalat"/>
                <w:sz w:val="24"/>
                <w:szCs w:val="24"/>
                <w:lang w:val="hy-AM"/>
              </w:rPr>
              <w:t>4) հավատարմագրման կասեցումից հետո վերականգնման անհրաժեշտություն:</w:t>
            </w:r>
          </w:p>
          <w:p w14:paraId="0A02D64E" w14:textId="77777777" w:rsidR="001679CB" w:rsidRPr="00161CC4" w:rsidRDefault="001679CB" w:rsidP="00161CC4">
            <w:pPr>
              <w:tabs>
                <w:tab w:val="left" w:pos="252"/>
                <w:tab w:val="left" w:pos="285"/>
                <w:tab w:val="left" w:pos="540"/>
                <w:tab w:val="left" w:pos="1170"/>
                <w:tab w:val="left" w:pos="1260"/>
              </w:tabs>
              <w:spacing w:after="0" w:line="360" w:lineRule="auto"/>
              <w:ind w:left="156" w:right="342"/>
              <w:jc w:val="both"/>
              <w:rPr>
                <w:rFonts w:ascii="GHEA Grapalat" w:hAnsi="GHEA Grapalat" w:cs="Sylfaen"/>
                <w:sz w:val="24"/>
                <w:szCs w:val="24"/>
                <w:lang w:val="hy-AM"/>
              </w:rPr>
            </w:pPr>
            <w:r w:rsidRPr="00161CC4">
              <w:rPr>
                <w:rFonts w:ascii="GHEA Grapalat" w:hAnsi="GHEA Grapalat" w:cs="Sylfaen"/>
                <w:sz w:val="24"/>
                <w:szCs w:val="24"/>
                <w:lang w:val="hy-AM"/>
              </w:rPr>
              <w:t xml:space="preserve">Վերոգրյալի համատեքստում հարկ եմ համարում անդրադարձ կատարել Օրենքի 2-րդ հոդվածի 1-ին մասի 24-րդ կետին, համաձայն որի, </w:t>
            </w:r>
            <w:r w:rsidRPr="00161CC4">
              <w:rPr>
                <w:sz w:val="24"/>
                <w:szCs w:val="24"/>
                <w:lang w:val="hy-AM"/>
              </w:rPr>
              <w:t> </w:t>
            </w:r>
            <w:r w:rsidRPr="00161CC4">
              <w:rPr>
                <w:rFonts w:ascii="GHEA Grapalat" w:hAnsi="GHEA Grapalat" w:cs="Sylfaen"/>
                <w:b/>
                <w:bCs/>
                <w:sz w:val="24"/>
                <w:szCs w:val="24"/>
                <w:lang w:val="hy-AM"/>
              </w:rPr>
              <w:t>արտահերթ գնահատումը</w:t>
            </w:r>
            <w:r w:rsidRPr="00161CC4">
              <w:rPr>
                <w:rFonts w:ascii="GHEA Grapalat" w:hAnsi="GHEA Grapalat" w:cs="Sylfaen"/>
                <w:sz w:val="24"/>
                <w:szCs w:val="24"/>
                <w:lang w:val="hy-AM"/>
              </w:rPr>
              <w:t>` գործընթաց է, որն իրականացվում է ԱՐՄՆԱԲ-ի հավատարմագրած ՀԳՄ-ի գործունեության վերաբերյալ ստացված բողոքների կամ ՀԳՄ-ի հավատարմագրման պայմանների փոփոխությունների կամ այլ դեպքերում, որը կարող է ազդել ՀԳՄ-ի՝ հավատարմագրման պահանջները կատարելու ունակության կամ իրազեկության վրա: Հետևաբար՝ լրացուցիչ պարզաբանման կարիք ունի ոչ միայն «ԱՐՄՆԱԲ-ի հիմնավոր կասկած»  հասկացությունը, այն նաև արդյո՞ք  այդ հիմնավոր կասկածը հենց այն դեպքն է, որն կարող է ազդել ՀԳՄ-ի՝ հավատարմագրման պահանջները կատարելու ունակության կամ իրազեկության վրա:</w:t>
            </w:r>
          </w:p>
          <w:p w14:paraId="29E42EDA" w14:textId="77777777" w:rsidR="001679CB" w:rsidRPr="00161CC4" w:rsidRDefault="001679CB" w:rsidP="00161CC4">
            <w:pPr>
              <w:keepNext/>
              <w:spacing w:after="0" w:line="360" w:lineRule="auto"/>
              <w:ind w:left="156" w:right="342"/>
              <w:jc w:val="both"/>
              <w:rPr>
                <w:rFonts w:ascii="GHEA Grapalat" w:hAnsi="GHEA Grapalat" w:cs="Sylfaen"/>
                <w:sz w:val="24"/>
                <w:szCs w:val="24"/>
                <w:lang w:val="hy-AM"/>
              </w:rPr>
            </w:pPr>
            <w:r w:rsidRPr="00161CC4">
              <w:rPr>
                <w:rFonts w:ascii="GHEA Grapalat" w:hAnsi="GHEA Grapalat" w:cs="Sylfaen"/>
                <w:b/>
                <w:sz w:val="24"/>
                <w:szCs w:val="24"/>
                <w:lang w:val="hy-AM"/>
              </w:rPr>
              <w:t>«Հայաստանի Հանրապետության կառավարության 2012 թվականի սեպտեմբերի 6-Ի N 1201-Ն որոշումն ուժը կորցրած ճանաչելու մասին»</w:t>
            </w:r>
            <w:r w:rsidRPr="00161CC4">
              <w:rPr>
                <w:rFonts w:ascii="GHEA Grapalat" w:hAnsi="GHEA Grapalat" w:cs="Sylfaen"/>
                <w:sz w:val="24"/>
                <w:szCs w:val="24"/>
                <w:lang w:val="hy-AM"/>
              </w:rPr>
              <w:t xml:space="preserve"> ՀՀ կառավարության որոշման նախագծի վերաբերյալ առաջարկություններ չկան:</w:t>
            </w:r>
          </w:p>
          <w:p w14:paraId="02F85D37" w14:textId="31E623BC" w:rsidR="002A3FD6" w:rsidRPr="00161CC4" w:rsidRDefault="002A3FD6" w:rsidP="00161CC4">
            <w:pPr>
              <w:spacing w:after="0" w:line="360" w:lineRule="auto"/>
              <w:ind w:left="156" w:right="342"/>
              <w:rPr>
                <w:rFonts w:ascii="GHEA Grapalat" w:eastAsia="Calibri" w:hAnsi="GHEA Grapalat" w:cs="GHEA Grapalat"/>
                <w:bCs/>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tcPr>
          <w:p w14:paraId="4A92D80E" w14:textId="77777777" w:rsidR="002A3FD6" w:rsidRPr="00161CC4" w:rsidRDefault="002A3FD6" w:rsidP="00161CC4">
            <w:pPr>
              <w:tabs>
                <w:tab w:val="left" w:pos="7350"/>
              </w:tabs>
              <w:spacing w:after="0" w:line="360" w:lineRule="auto"/>
              <w:jc w:val="center"/>
              <w:rPr>
                <w:rFonts w:ascii="GHEA Grapalat" w:hAnsi="GHEA Grapalat" w:cs="Sylfaen"/>
                <w:sz w:val="24"/>
                <w:szCs w:val="24"/>
                <w:lang w:val="hy-AM"/>
              </w:rPr>
            </w:pPr>
            <w:r w:rsidRPr="00161CC4">
              <w:rPr>
                <w:rFonts w:ascii="GHEA Grapalat" w:hAnsi="GHEA Grapalat" w:cs="Sylfaen"/>
                <w:sz w:val="24"/>
                <w:szCs w:val="24"/>
                <w:lang w:val="hy-AM"/>
              </w:rPr>
              <w:lastRenderedPageBreak/>
              <w:t>Ընդունվել է</w:t>
            </w:r>
          </w:p>
          <w:p w14:paraId="4978734D"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7972D368"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3F2BB21B"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1CC5FC0E"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6B9957D5"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3AF1C22D"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59AB65AE"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0DCE9004"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30396338"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4EB1EBE1" w14:textId="5A1B12CA" w:rsidR="005D65DB" w:rsidRPr="00161CC4" w:rsidRDefault="00D030FE" w:rsidP="00161CC4">
            <w:pPr>
              <w:tabs>
                <w:tab w:val="left" w:pos="7350"/>
              </w:tabs>
              <w:spacing w:after="0" w:line="360" w:lineRule="auto"/>
              <w:jc w:val="center"/>
              <w:rPr>
                <w:rFonts w:ascii="GHEA Grapalat" w:hAnsi="GHEA Grapalat" w:cs="Sylfaen"/>
                <w:sz w:val="24"/>
                <w:szCs w:val="24"/>
              </w:rPr>
            </w:pPr>
            <w:proofErr w:type="spellStart"/>
            <w:r w:rsidRPr="00161CC4">
              <w:rPr>
                <w:rFonts w:ascii="GHEA Grapalat" w:hAnsi="GHEA Grapalat" w:cs="Sylfaen"/>
                <w:b/>
                <w:bCs/>
                <w:sz w:val="24"/>
                <w:szCs w:val="24"/>
              </w:rPr>
              <w:t>Ընդունվել</w:t>
            </w:r>
            <w:proofErr w:type="spellEnd"/>
            <w:r w:rsidRPr="00161CC4">
              <w:rPr>
                <w:rFonts w:ascii="GHEA Grapalat" w:hAnsi="GHEA Grapalat" w:cs="Sylfaen"/>
                <w:b/>
                <w:bCs/>
                <w:sz w:val="24"/>
                <w:szCs w:val="24"/>
              </w:rPr>
              <w:t xml:space="preserve"> է</w:t>
            </w:r>
          </w:p>
          <w:p w14:paraId="567BD596"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75E7B845"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0A94197E"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73EB2E14"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36C281B6" w14:textId="77777777" w:rsidR="00161CC4" w:rsidRDefault="00161CC4" w:rsidP="00161CC4">
            <w:pPr>
              <w:tabs>
                <w:tab w:val="left" w:pos="7350"/>
              </w:tabs>
              <w:spacing w:after="0" w:line="360" w:lineRule="auto"/>
              <w:jc w:val="center"/>
              <w:rPr>
                <w:rFonts w:ascii="GHEA Grapalat" w:hAnsi="GHEA Grapalat" w:cs="Sylfaen"/>
                <w:b/>
                <w:bCs/>
                <w:sz w:val="24"/>
                <w:szCs w:val="24"/>
                <w:lang w:val="hy-AM"/>
              </w:rPr>
            </w:pPr>
          </w:p>
          <w:p w14:paraId="447E32BC" w14:textId="77777777" w:rsidR="00161CC4" w:rsidRDefault="00161CC4" w:rsidP="00161CC4">
            <w:pPr>
              <w:tabs>
                <w:tab w:val="left" w:pos="7350"/>
              </w:tabs>
              <w:spacing w:after="0" w:line="360" w:lineRule="auto"/>
              <w:jc w:val="center"/>
              <w:rPr>
                <w:rFonts w:ascii="GHEA Grapalat" w:hAnsi="GHEA Grapalat" w:cs="Sylfaen"/>
                <w:b/>
                <w:bCs/>
                <w:sz w:val="24"/>
                <w:szCs w:val="24"/>
                <w:lang w:val="hy-AM"/>
              </w:rPr>
            </w:pPr>
          </w:p>
          <w:p w14:paraId="5207476D" w14:textId="77777777" w:rsidR="00161CC4" w:rsidRDefault="00161CC4" w:rsidP="00161CC4">
            <w:pPr>
              <w:tabs>
                <w:tab w:val="left" w:pos="7350"/>
              </w:tabs>
              <w:spacing w:after="0" w:line="360" w:lineRule="auto"/>
              <w:jc w:val="center"/>
              <w:rPr>
                <w:rFonts w:ascii="GHEA Grapalat" w:hAnsi="GHEA Grapalat" w:cs="Sylfaen"/>
                <w:b/>
                <w:bCs/>
                <w:sz w:val="24"/>
                <w:szCs w:val="24"/>
                <w:lang w:val="hy-AM"/>
              </w:rPr>
            </w:pPr>
          </w:p>
          <w:p w14:paraId="6FBB398C" w14:textId="386D3E99" w:rsidR="005D65DB" w:rsidRPr="00161CC4" w:rsidRDefault="005D65DB" w:rsidP="00161CC4">
            <w:pPr>
              <w:tabs>
                <w:tab w:val="left" w:pos="7350"/>
              </w:tabs>
              <w:spacing w:after="0" w:line="360" w:lineRule="auto"/>
              <w:jc w:val="center"/>
              <w:rPr>
                <w:rFonts w:ascii="GHEA Grapalat" w:hAnsi="GHEA Grapalat" w:cs="Sylfaen"/>
                <w:b/>
                <w:bCs/>
                <w:sz w:val="24"/>
                <w:szCs w:val="24"/>
                <w:lang w:val="hy-AM"/>
              </w:rPr>
            </w:pPr>
            <w:r w:rsidRPr="00161CC4">
              <w:rPr>
                <w:rFonts w:ascii="GHEA Grapalat" w:hAnsi="GHEA Grapalat" w:cs="Sylfaen"/>
                <w:b/>
                <w:bCs/>
                <w:sz w:val="24"/>
                <w:szCs w:val="24"/>
                <w:lang w:val="hy-AM"/>
              </w:rPr>
              <w:t>Ընդունվել է</w:t>
            </w:r>
          </w:p>
          <w:p w14:paraId="252D6C75" w14:textId="77777777" w:rsidR="005D65DB" w:rsidRPr="00161CC4" w:rsidRDefault="005D65DB" w:rsidP="00161CC4">
            <w:pPr>
              <w:tabs>
                <w:tab w:val="left" w:pos="7350"/>
              </w:tabs>
              <w:spacing w:after="0" w:line="360" w:lineRule="auto"/>
              <w:jc w:val="center"/>
              <w:rPr>
                <w:rFonts w:ascii="GHEA Grapalat" w:hAnsi="GHEA Grapalat" w:cs="Sylfaen"/>
                <w:sz w:val="24"/>
                <w:szCs w:val="24"/>
                <w:lang w:val="hy-AM"/>
              </w:rPr>
            </w:pPr>
          </w:p>
          <w:p w14:paraId="4215EA2C"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79136D2D"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1B0D6475"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2F21D807"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2459B2A8"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2A8311AC"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27CDE008" w14:textId="77777777" w:rsidR="00D030FE" w:rsidRPr="00161CC4" w:rsidRDefault="00D030FE" w:rsidP="00161CC4">
            <w:pPr>
              <w:tabs>
                <w:tab w:val="left" w:pos="7350"/>
              </w:tabs>
              <w:spacing w:after="0" w:line="360" w:lineRule="auto"/>
              <w:jc w:val="center"/>
              <w:rPr>
                <w:rFonts w:ascii="GHEA Grapalat" w:hAnsi="GHEA Grapalat" w:cs="Sylfaen"/>
                <w:b/>
                <w:bCs/>
                <w:sz w:val="24"/>
                <w:szCs w:val="24"/>
                <w:lang w:val="hy-AM"/>
              </w:rPr>
            </w:pPr>
            <w:r w:rsidRPr="00161CC4">
              <w:rPr>
                <w:rFonts w:ascii="GHEA Grapalat" w:hAnsi="GHEA Grapalat" w:cs="Sylfaen"/>
                <w:b/>
                <w:bCs/>
                <w:sz w:val="24"/>
                <w:szCs w:val="24"/>
                <w:lang w:val="hy-AM"/>
              </w:rPr>
              <w:t>Ընդունվել է</w:t>
            </w:r>
          </w:p>
          <w:p w14:paraId="4F224964"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1F4AD92"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558654C5"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41C941F2"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0AC7729"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1EBCDD0"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F4C3BF7"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16C71D21"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144E8235"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9E3237B"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D04F637"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7A874739"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31659A4A"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2F99DFE9"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9CBB6D5"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49B16D3"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0B9B0A8"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10D7F1A7"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68BABBD"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6910A3D1"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r w:rsidRPr="00161CC4">
              <w:rPr>
                <w:rFonts w:ascii="GHEA Grapalat" w:hAnsi="GHEA Grapalat" w:cs="Sylfaen"/>
                <w:b/>
                <w:bCs/>
                <w:sz w:val="24"/>
                <w:szCs w:val="24"/>
                <w:lang w:val="hy-AM"/>
              </w:rPr>
              <w:t>Ընդունվել է</w:t>
            </w:r>
          </w:p>
          <w:p w14:paraId="65BFC1A5"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0D9ACE2"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16698499" w14:textId="77777777" w:rsidR="006A0F83" w:rsidRPr="00161CC4" w:rsidRDefault="006A0F83" w:rsidP="00161CC4">
            <w:pPr>
              <w:tabs>
                <w:tab w:val="left" w:pos="7350"/>
              </w:tabs>
              <w:spacing w:after="0" w:line="360" w:lineRule="auto"/>
              <w:jc w:val="center"/>
              <w:rPr>
                <w:rFonts w:ascii="GHEA Grapalat" w:hAnsi="GHEA Grapalat" w:cs="Sylfaen"/>
                <w:b/>
                <w:bCs/>
                <w:sz w:val="24"/>
                <w:szCs w:val="24"/>
                <w:lang w:val="hy-AM"/>
              </w:rPr>
            </w:pPr>
          </w:p>
          <w:p w14:paraId="05AD4DF8"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396ED495" w14:textId="77777777" w:rsidR="00D030FE" w:rsidRPr="00161CC4" w:rsidRDefault="00D030FE" w:rsidP="00161CC4">
            <w:pPr>
              <w:tabs>
                <w:tab w:val="left" w:pos="7350"/>
              </w:tabs>
              <w:spacing w:after="0" w:line="360" w:lineRule="auto"/>
              <w:jc w:val="center"/>
              <w:rPr>
                <w:rFonts w:ascii="GHEA Grapalat" w:hAnsi="GHEA Grapalat" w:cs="Sylfaen"/>
                <w:sz w:val="24"/>
                <w:szCs w:val="24"/>
                <w:lang w:val="hy-AM"/>
              </w:rPr>
            </w:pPr>
          </w:p>
          <w:p w14:paraId="44CB58CD"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3F04DC0B"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4A628F9B"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2DCA9219"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569849AA"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0C0329CF"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510A93AD"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56F404EB" w14:textId="77777777" w:rsidR="006A0F83" w:rsidRPr="00161CC4" w:rsidRDefault="006A0F83" w:rsidP="00161CC4">
            <w:pPr>
              <w:tabs>
                <w:tab w:val="left" w:pos="7350"/>
              </w:tabs>
              <w:spacing w:after="0" w:line="360" w:lineRule="auto"/>
              <w:jc w:val="center"/>
              <w:rPr>
                <w:rFonts w:ascii="GHEA Grapalat" w:hAnsi="GHEA Grapalat" w:cs="Sylfaen"/>
                <w:sz w:val="24"/>
                <w:szCs w:val="24"/>
                <w:lang w:val="hy-AM"/>
              </w:rPr>
            </w:pPr>
          </w:p>
          <w:p w14:paraId="2BDCD18A" w14:textId="77777777" w:rsidR="006A0F83" w:rsidRDefault="006A0F83" w:rsidP="00161CC4">
            <w:pPr>
              <w:tabs>
                <w:tab w:val="left" w:pos="7350"/>
              </w:tabs>
              <w:spacing w:after="0" w:line="360" w:lineRule="auto"/>
              <w:jc w:val="center"/>
              <w:rPr>
                <w:rFonts w:ascii="GHEA Grapalat" w:hAnsi="GHEA Grapalat" w:cs="Sylfaen"/>
                <w:b/>
                <w:bCs/>
                <w:sz w:val="24"/>
                <w:szCs w:val="24"/>
              </w:rPr>
            </w:pPr>
            <w:proofErr w:type="spellStart"/>
            <w:r w:rsidRPr="00161CC4">
              <w:rPr>
                <w:rFonts w:ascii="GHEA Grapalat" w:hAnsi="GHEA Grapalat" w:cs="Sylfaen"/>
                <w:b/>
                <w:bCs/>
                <w:sz w:val="24"/>
                <w:szCs w:val="24"/>
              </w:rPr>
              <w:t>Ընդունվել</w:t>
            </w:r>
            <w:proofErr w:type="spellEnd"/>
            <w:r w:rsidRPr="00161CC4">
              <w:rPr>
                <w:rFonts w:ascii="GHEA Grapalat" w:hAnsi="GHEA Grapalat" w:cs="Sylfaen"/>
                <w:b/>
                <w:bCs/>
                <w:sz w:val="24"/>
                <w:szCs w:val="24"/>
              </w:rPr>
              <w:t xml:space="preserve"> է</w:t>
            </w:r>
          </w:p>
          <w:p w14:paraId="567341FD"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7F3212F3"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13A8789C"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2999A443"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4BBBB0D7"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028E90A6"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400FE83E" w14:textId="77777777" w:rsidR="005C692A" w:rsidRDefault="005C692A" w:rsidP="00161CC4">
            <w:pPr>
              <w:tabs>
                <w:tab w:val="left" w:pos="7350"/>
              </w:tabs>
              <w:spacing w:after="0" w:line="360" w:lineRule="auto"/>
              <w:jc w:val="center"/>
              <w:rPr>
                <w:rFonts w:ascii="GHEA Grapalat" w:hAnsi="GHEA Grapalat" w:cs="Sylfaen"/>
                <w:b/>
                <w:bCs/>
                <w:sz w:val="24"/>
                <w:szCs w:val="24"/>
              </w:rPr>
            </w:pPr>
          </w:p>
          <w:p w14:paraId="5CD02E23" w14:textId="3986EF00" w:rsidR="005C692A" w:rsidRDefault="005C692A" w:rsidP="00161CC4">
            <w:pPr>
              <w:tabs>
                <w:tab w:val="left" w:pos="7350"/>
              </w:tabs>
              <w:spacing w:after="0" w:line="360" w:lineRule="auto"/>
              <w:jc w:val="center"/>
              <w:rPr>
                <w:rFonts w:ascii="GHEA Grapalat" w:hAnsi="GHEA Grapalat" w:cs="Sylfaen"/>
                <w:b/>
                <w:bCs/>
                <w:sz w:val="24"/>
                <w:szCs w:val="24"/>
              </w:rPr>
            </w:pPr>
            <w:proofErr w:type="spellStart"/>
            <w:r w:rsidRPr="00161CC4">
              <w:rPr>
                <w:rFonts w:ascii="GHEA Grapalat" w:hAnsi="GHEA Grapalat" w:cs="Sylfaen"/>
                <w:b/>
                <w:bCs/>
                <w:sz w:val="24"/>
                <w:szCs w:val="24"/>
              </w:rPr>
              <w:t>Ընդունվել</w:t>
            </w:r>
            <w:proofErr w:type="spellEnd"/>
            <w:r w:rsidRPr="00161CC4">
              <w:rPr>
                <w:rFonts w:ascii="GHEA Grapalat" w:hAnsi="GHEA Grapalat" w:cs="Sylfaen"/>
                <w:b/>
                <w:bCs/>
                <w:sz w:val="24"/>
                <w:szCs w:val="24"/>
              </w:rPr>
              <w:t xml:space="preserve"> է</w:t>
            </w:r>
          </w:p>
          <w:p w14:paraId="0D1CB823" w14:textId="3D4D62B2" w:rsidR="005C692A" w:rsidRPr="00161CC4" w:rsidRDefault="005C692A" w:rsidP="00161CC4">
            <w:pPr>
              <w:tabs>
                <w:tab w:val="left" w:pos="7350"/>
              </w:tabs>
              <w:spacing w:after="0" w:line="360" w:lineRule="auto"/>
              <w:jc w:val="center"/>
              <w:rPr>
                <w:rFonts w:ascii="GHEA Grapalat" w:hAnsi="GHEA Grapalat" w:cs="Sylfaen"/>
                <w:b/>
                <w:bCs/>
                <w:sz w:val="24"/>
                <w:szCs w:val="24"/>
              </w:rPr>
            </w:pPr>
          </w:p>
        </w:tc>
      </w:tr>
      <w:tr w:rsidR="00E42CD7" w:rsidRPr="00161CC4" w14:paraId="12E8EBA3" w14:textId="77777777" w:rsidTr="00E42CD7">
        <w:trPr>
          <w:trHeight w:val="210"/>
          <w:tblCellSpacing w:w="0" w:type="dxa"/>
          <w:jc w:val="center"/>
        </w:trPr>
        <w:tc>
          <w:tcPr>
            <w:tcW w:w="10162" w:type="dxa"/>
            <w:vMerge w:val="restart"/>
            <w:tcBorders>
              <w:top w:val="outset" w:sz="6" w:space="0" w:color="auto"/>
              <w:left w:val="outset" w:sz="6" w:space="0" w:color="auto"/>
              <w:right w:val="outset" w:sz="6" w:space="0" w:color="auto"/>
            </w:tcBorders>
            <w:shd w:val="clear" w:color="auto" w:fill="D9D9D9" w:themeFill="background1" w:themeFillShade="D9"/>
          </w:tcPr>
          <w:p w14:paraId="23CA9BDB" w14:textId="5044C0F6" w:rsidR="00E42CD7" w:rsidRPr="00161CC4" w:rsidRDefault="00E42CD7" w:rsidP="00161CC4">
            <w:pPr>
              <w:keepNext/>
              <w:spacing w:after="0"/>
              <w:ind w:left="156" w:right="342"/>
              <w:jc w:val="center"/>
              <w:rPr>
                <w:rFonts w:ascii="GHEA Grapalat" w:eastAsia="Calibri" w:hAnsi="GHEA Grapalat" w:cs="GHEA Grapalat"/>
                <w:b/>
                <w:bCs/>
                <w:sz w:val="24"/>
                <w:szCs w:val="24"/>
                <w:lang w:val="hy-AM"/>
              </w:rPr>
            </w:pPr>
            <w:r w:rsidRPr="00161CC4">
              <w:rPr>
                <w:rFonts w:ascii="GHEA Grapalat" w:eastAsia="Calibri" w:hAnsi="GHEA Grapalat" w:cs="GHEA Grapalat"/>
                <w:b/>
                <w:bCs/>
                <w:sz w:val="24"/>
                <w:szCs w:val="24"/>
              </w:rPr>
              <w:lastRenderedPageBreak/>
              <w:t xml:space="preserve">7. </w:t>
            </w:r>
            <w:r w:rsidRPr="00161CC4">
              <w:rPr>
                <w:rFonts w:ascii="GHEA Grapalat" w:eastAsia="Calibri" w:hAnsi="GHEA Grapalat" w:cs="GHEA Grapalat"/>
                <w:b/>
                <w:bCs/>
                <w:sz w:val="24"/>
                <w:szCs w:val="24"/>
                <w:lang w:val="hy-AM"/>
              </w:rPr>
              <w:t>Առողջապահության նախարար</w:t>
            </w: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EC9E87E" w14:textId="783D7714" w:rsidR="00E42CD7" w:rsidRPr="00161CC4" w:rsidRDefault="00E42CD7" w:rsidP="00161CC4">
            <w:pPr>
              <w:tabs>
                <w:tab w:val="left" w:pos="7350"/>
              </w:tabs>
              <w:spacing w:after="0"/>
              <w:jc w:val="center"/>
              <w:rPr>
                <w:rFonts w:ascii="GHEA Grapalat" w:hAnsi="GHEA Grapalat" w:cs="Sylfaen"/>
                <w:sz w:val="24"/>
                <w:szCs w:val="24"/>
              </w:rPr>
            </w:pPr>
            <w:r w:rsidRPr="00161CC4">
              <w:rPr>
                <w:rFonts w:ascii="GHEA Grapalat" w:hAnsi="GHEA Grapalat"/>
                <w:b/>
                <w:color w:val="000000" w:themeColor="text1"/>
                <w:sz w:val="24"/>
                <w:szCs w:val="24"/>
              </w:rPr>
              <w:t>03</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w:t>
            </w:r>
            <w:r w:rsidRPr="00161CC4">
              <w:rPr>
                <w:rFonts w:ascii="GHEA Grapalat" w:hAnsi="GHEA Grapalat"/>
                <w:b/>
                <w:color w:val="000000" w:themeColor="text1"/>
                <w:sz w:val="24"/>
                <w:szCs w:val="24"/>
              </w:rPr>
              <w:t>01</w:t>
            </w:r>
            <w:r w:rsidRPr="00161CC4">
              <w:rPr>
                <w:rFonts w:ascii="Cambria Math" w:hAnsi="Cambria Math" w:cs="Cambria Math"/>
                <w:b/>
                <w:color w:val="000000" w:themeColor="text1"/>
                <w:sz w:val="24"/>
                <w:szCs w:val="24"/>
                <w:lang w:val="hy-AM"/>
              </w:rPr>
              <w:t>․</w:t>
            </w:r>
            <w:r w:rsidRPr="00161CC4">
              <w:rPr>
                <w:rFonts w:ascii="GHEA Grapalat" w:hAnsi="GHEA Grapalat"/>
                <w:b/>
                <w:color w:val="000000" w:themeColor="text1"/>
                <w:sz w:val="24"/>
                <w:szCs w:val="24"/>
                <w:lang w:val="hy-AM"/>
              </w:rPr>
              <w:t xml:space="preserve"> 202</w:t>
            </w:r>
            <w:r w:rsidRPr="00161CC4">
              <w:rPr>
                <w:rFonts w:ascii="GHEA Grapalat" w:hAnsi="GHEA Grapalat"/>
                <w:b/>
                <w:color w:val="000000" w:themeColor="text1"/>
                <w:sz w:val="24"/>
                <w:szCs w:val="24"/>
              </w:rPr>
              <w:t>4</w:t>
            </w:r>
            <w:r w:rsidRPr="00161CC4">
              <w:rPr>
                <w:rFonts w:ascii="GHEA Grapalat" w:hAnsi="GHEA Grapalat"/>
                <w:b/>
                <w:color w:val="000000" w:themeColor="text1"/>
                <w:sz w:val="24"/>
                <w:szCs w:val="24"/>
                <w:lang w:val="hy-AM"/>
              </w:rPr>
              <w:t xml:space="preserve"> թ</w:t>
            </w:r>
            <w:r w:rsidRPr="00161CC4">
              <w:rPr>
                <w:rFonts w:ascii="Cambria Math" w:hAnsi="Cambria Math" w:cs="Cambria Math"/>
                <w:b/>
                <w:color w:val="000000" w:themeColor="text1"/>
                <w:sz w:val="24"/>
                <w:szCs w:val="24"/>
                <w:lang w:val="hy-AM"/>
              </w:rPr>
              <w:t>․</w:t>
            </w:r>
          </w:p>
        </w:tc>
      </w:tr>
      <w:tr w:rsidR="00E42CD7" w:rsidRPr="00161CC4" w14:paraId="6996FC6B" w14:textId="77777777" w:rsidTr="00E42CD7">
        <w:trPr>
          <w:trHeight w:val="210"/>
          <w:tblCellSpacing w:w="0" w:type="dxa"/>
          <w:jc w:val="center"/>
        </w:trPr>
        <w:tc>
          <w:tcPr>
            <w:tcW w:w="10162" w:type="dxa"/>
            <w:vMerge/>
            <w:tcBorders>
              <w:left w:val="outset" w:sz="6" w:space="0" w:color="auto"/>
              <w:bottom w:val="outset" w:sz="6" w:space="0" w:color="auto"/>
              <w:right w:val="outset" w:sz="6" w:space="0" w:color="auto"/>
            </w:tcBorders>
            <w:shd w:val="clear" w:color="auto" w:fill="D9D9D9" w:themeFill="background1" w:themeFillShade="D9"/>
          </w:tcPr>
          <w:p w14:paraId="44D70B5B" w14:textId="77777777" w:rsidR="00E42CD7" w:rsidRPr="00161CC4" w:rsidRDefault="00E42CD7" w:rsidP="00161CC4">
            <w:pPr>
              <w:keepNext/>
              <w:spacing w:after="0"/>
              <w:ind w:left="156" w:right="342"/>
              <w:jc w:val="both"/>
              <w:rPr>
                <w:rFonts w:ascii="GHEA Grapalat" w:eastAsia="Calibri" w:hAnsi="GHEA Grapalat" w:cs="GHEA Grapalat"/>
                <w:bCs/>
                <w:sz w:val="24"/>
                <w:szCs w:val="24"/>
                <w:lang w:val="hy-AM"/>
              </w:rPr>
            </w:pPr>
          </w:p>
        </w:tc>
        <w:tc>
          <w:tcPr>
            <w:tcW w:w="51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8DB8C03" w14:textId="7F58E631" w:rsidR="00E42CD7" w:rsidRPr="00161CC4" w:rsidRDefault="00E42CD7" w:rsidP="00161CC4">
            <w:pPr>
              <w:tabs>
                <w:tab w:val="left" w:pos="7350"/>
              </w:tabs>
              <w:spacing w:after="0"/>
              <w:jc w:val="center"/>
              <w:rPr>
                <w:rFonts w:ascii="GHEA Grapalat" w:hAnsi="GHEA Grapalat" w:cs="Sylfaen"/>
                <w:sz w:val="24"/>
                <w:szCs w:val="24"/>
                <w:lang w:val="hy-AM"/>
              </w:rPr>
            </w:pPr>
            <w:r w:rsidRPr="00161CC4">
              <w:rPr>
                <w:rFonts w:ascii="GHEA Grapalat" w:hAnsi="GHEA Grapalat"/>
                <w:b/>
                <w:color w:val="000000" w:themeColor="text1"/>
                <w:sz w:val="24"/>
                <w:szCs w:val="24"/>
                <w:lang w:val="hy-AM"/>
              </w:rPr>
              <w:t xml:space="preserve"> N 02/08.2/43028-2022</w:t>
            </w:r>
          </w:p>
        </w:tc>
      </w:tr>
      <w:tr w:rsidR="00E42CD7" w:rsidRPr="00161CC4" w14:paraId="4F9DF75E" w14:textId="77777777" w:rsidTr="00AA75F6">
        <w:trPr>
          <w:trHeight w:val="210"/>
          <w:tblCellSpacing w:w="0" w:type="dxa"/>
          <w:jc w:val="center"/>
        </w:trPr>
        <w:tc>
          <w:tcPr>
            <w:tcW w:w="10162" w:type="dxa"/>
            <w:tcBorders>
              <w:top w:val="outset" w:sz="6" w:space="0" w:color="auto"/>
              <w:left w:val="outset" w:sz="6" w:space="0" w:color="auto"/>
              <w:bottom w:val="outset" w:sz="6" w:space="0" w:color="auto"/>
              <w:right w:val="outset" w:sz="6" w:space="0" w:color="auto"/>
            </w:tcBorders>
            <w:shd w:val="clear" w:color="auto" w:fill="FFFFFF"/>
          </w:tcPr>
          <w:p w14:paraId="2D7C0DD3" w14:textId="77777777" w:rsidR="00E42CD7" w:rsidRPr="00161CC4" w:rsidRDefault="00E42CD7" w:rsidP="00161CC4">
            <w:pPr>
              <w:keepNext/>
              <w:spacing w:after="0" w:line="360" w:lineRule="auto"/>
              <w:ind w:left="156" w:right="342"/>
              <w:jc w:val="both"/>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1)</w:t>
            </w:r>
            <w:r w:rsidRPr="00161CC4">
              <w:rPr>
                <w:rFonts w:ascii="GHEA Grapalat" w:eastAsia="Calibri" w:hAnsi="GHEA Grapalat" w:cs="GHEA Grapalat"/>
                <w:bCs/>
                <w:sz w:val="24"/>
                <w:szCs w:val="24"/>
                <w:lang w:val="hy-AM"/>
              </w:rPr>
              <w:tab/>
              <w:t xml:space="preserve">«Հիմնավորում-կարգ» փաստաթղթի վերնագրի վերջին «նախարարի նախագծի» բառակապակցությունն անհրաժեշտ է խմբագրել` «նախարարի հրամանի նախագծի» </w:t>
            </w:r>
            <w:proofErr w:type="spellStart"/>
            <w:r w:rsidRPr="00161CC4">
              <w:rPr>
                <w:rFonts w:ascii="GHEA Grapalat" w:eastAsia="Calibri" w:hAnsi="GHEA Grapalat" w:cs="GHEA Grapalat"/>
                <w:bCs/>
                <w:sz w:val="24"/>
                <w:szCs w:val="24"/>
                <w:lang w:val="hy-AM"/>
              </w:rPr>
              <w:t>ձևակերպումով</w:t>
            </w:r>
            <w:proofErr w:type="spellEnd"/>
            <w:r w:rsidRPr="00161CC4">
              <w:rPr>
                <w:rFonts w:ascii="GHEA Grapalat" w:eastAsia="Calibri" w:hAnsi="GHEA Grapalat" w:cs="GHEA Grapalat"/>
                <w:bCs/>
                <w:sz w:val="24"/>
                <w:szCs w:val="24"/>
                <w:lang w:val="hy-AM"/>
              </w:rPr>
              <w:t>,</w:t>
            </w:r>
          </w:p>
          <w:p w14:paraId="768FB4C7" w14:textId="0B2B19E4" w:rsidR="00E42CD7" w:rsidRPr="00161CC4" w:rsidRDefault="00E42CD7" w:rsidP="00161CC4">
            <w:pPr>
              <w:keepNext/>
              <w:spacing w:after="0" w:line="360" w:lineRule="auto"/>
              <w:ind w:left="156" w:right="342"/>
              <w:jc w:val="both"/>
              <w:rPr>
                <w:rFonts w:ascii="GHEA Grapalat" w:eastAsia="Calibri" w:hAnsi="GHEA Grapalat" w:cs="GHEA Grapalat"/>
                <w:bCs/>
                <w:sz w:val="24"/>
                <w:szCs w:val="24"/>
                <w:lang w:val="hy-AM"/>
              </w:rPr>
            </w:pPr>
            <w:r w:rsidRPr="00161CC4">
              <w:rPr>
                <w:rFonts w:ascii="GHEA Grapalat" w:eastAsia="Calibri" w:hAnsi="GHEA Grapalat" w:cs="GHEA Grapalat"/>
                <w:bCs/>
                <w:sz w:val="24"/>
                <w:szCs w:val="24"/>
                <w:lang w:val="hy-AM"/>
              </w:rPr>
              <w:t>2)</w:t>
            </w:r>
            <w:r w:rsidRPr="00161CC4">
              <w:rPr>
                <w:rFonts w:ascii="GHEA Grapalat" w:eastAsia="Calibri" w:hAnsi="GHEA Grapalat" w:cs="GHEA Grapalat"/>
                <w:bCs/>
                <w:sz w:val="24"/>
                <w:szCs w:val="24"/>
                <w:lang w:val="hy-AM"/>
              </w:rPr>
              <w:tab/>
              <w:t>սահմանվել Նախագծի այն հասկացությունները, որոնք Հավատարմագրման մասին» օրենքով, «Տեխնիկական կանոնակարգման մասին» օրենքով և ԻՍՕ/ԻԷԿ 17011 ստանդարտով սահմանված չեն, օրինակ՝ «կետ 13-ի 6-րդ և 8-րդ ենթակետերը»։</w:t>
            </w:r>
          </w:p>
        </w:tc>
        <w:tc>
          <w:tcPr>
            <w:tcW w:w="5130" w:type="dxa"/>
            <w:gridSpan w:val="2"/>
            <w:tcBorders>
              <w:top w:val="outset" w:sz="6" w:space="0" w:color="auto"/>
              <w:left w:val="outset" w:sz="6" w:space="0" w:color="auto"/>
              <w:bottom w:val="outset" w:sz="6" w:space="0" w:color="auto"/>
              <w:right w:val="outset" w:sz="6" w:space="0" w:color="auto"/>
            </w:tcBorders>
            <w:shd w:val="clear" w:color="auto" w:fill="FFFFFF"/>
          </w:tcPr>
          <w:p w14:paraId="37152B28" w14:textId="77777777" w:rsidR="00E42CD7" w:rsidRPr="00161CC4" w:rsidRDefault="00603473" w:rsidP="00161CC4">
            <w:pPr>
              <w:tabs>
                <w:tab w:val="left" w:pos="7350"/>
              </w:tabs>
              <w:spacing w:after="0" w:line="360" w:lineRule="auto"/>
              <w:jc w:val="center"/>
              <w:rPr>
                <w:rFonts w:ascii="GHEA Grapalat" w:hAnsi="GHEA Grapalat" w:cs="Sylfaen"/>
                <w:b/>
                <w:bCs/>
                <w:sz w:val="24"/>
                <w:szCs w:val="24"/>
              </w:rPr>
            </w:pPr>
            <w:proofErr w:type="spellStart"/>
            <w:r w:rsidRPr="00161CC4">
              <w:rPr>
                <w:rFonts w:ascii="GHEA Grapalat" w:hAnsi="GHEA Grapalat" w:cs="Sylfaen"/>
                <w:b/>
                <w:bCs/>
                <w:sz w:val="24"/>
                <w:szCs w:val="24"/>
              </w:rPr>
              <w:t>Ընդունվել</w:t>
            </w:r>
            <w:proofErr w:type="spellEnd"/>
            <w:r w:rsidRPr="00161CC4">
              <w:rPr>
                <w:rFonts w:ascii="GHEA Grapalat" w:hAnsi="GHEA Grapalat" w:cs="Sylfaen"/>
                <w:b/>
                <w:bCs/>
                <w:sz w:val="24"/>
                <w:szCs w:val="24"/>
              </w:rPr>
              <w:t xml:space="preserve"> է</w:t>
            </w:r>
          </w:p>
          <w:p w14:paraId="300B6416" w14:textId="77777777" w:rsidR="00603473" w:rsidRPr="00161CC4" w:rsidRDefault="00603473" w:rsidP="00161CC4">
            <w:pPr>
              <w:tabs>
                <w:tab w:val="left" w:pos="7350"/>
              </w:tabs>
              <w:spacing w:after="0" w:line="360" w:lineRule="auto"/>
              <w:jc w:val="center"/>
              <w:rPr>
                <w:rFonts w:ascii="GHEA Grapalat" w:hAnsi="GHEA Grapalat" w:cs="Sylfaen"/>
                <w:b/>
                <w:bCs/>
                <w:sz w:val="24"/>
                <w:szCs w:val="24"/>
              </w:rPr>
            </w:pPr>
          </w:p>
          <w:p w14:paraId="0F769E49" w14:textId="77777777" w:rsidR="00603473" w:rsidRPr="00161CC4" w:rsidRDefault="00603473" w:rsidP="00161CC4">
            <w:pPr>
              <w:tabs>
                <w:tab w:val="left" w:pos="7350"/>
              </w:tabs>
              <w:spacing w:after="0" w:line="360" w:lineRule="auto"/>
              <w:jc w:val="center"/>
              <w:rPr>
                <w:rFonts w:ascii="GHEA Grapalat" w:hAnsi="GHEA Grapalat" w:cs="Sylfaen"/>
                <w:b/>
                <w:bCs/>
                <w:sz w:val="24"/>
                <w:szCs w:val="24"/>
              </w:rPr>
            </w:pPr>
          </w:p>
          <w:p w14:paraId="01F79EAF" w14:textId="77777777" w:rsidR="00603473" w:rsidRDefault="00921222" w:rsidP="00921222">
            <w:pPr>
              <w:tabs>
                <w:tab w:val="left" w:pos="7350"/>
              </w:tabs>
              <w:spacing w:after="0" w:line="360" w:lineRule="auto"/>
              <w:jc w:val="center"/>
              <w:rPr>
                <w:rFonts w:ascii="GHEA Grapalat" w:hAnsi="GHEA Grapalat" w:cs="Sylfaen"/>
                <w:b/>
                <w:bCs/>
                <w:sz w:val="24"/>
                <w:szCs w:val="24"/>
                <w:lang w:val="hy-AM"/>
              </w:rPr>
            </w:pPr>
            <w:r>
              <w:rPr>
                <w:rFonts w:ascii="GHEA Grapalat" w:hAnsi="GHEA Grapalat" w:cs="Sylfaen"/>
                <w:b/>
                <w:bCs/>
                <w:sz w:val="24"/>
                <w:szCs w:val="24"/>
                <w:lang w:val="hy-AM"/>
              </w:rPr>
              <w:t>Չի ընդունվել</w:t>
            </w:r>
          </w:p>
          <w:p w14:paraId="021736CD" w14:textId="122E843C" w:rsidR="00921222" w:rsidRPr="00853328" w:rsidRDefault="00921222" w:rsidP="00F36B8D">
            <w:pPr>
              <w:tabs>
                <w:tab w:val="left" w:pos="7350"/>
              </w:tabs>
              <w:spacing w:after="0" w:line="360" w:lineRule="auto"/>
              <w:ind w:left="75" w:right="165" w:firstLine="90"/>
              <w:rPr>
                <w:rFonts w:ascii="GHEA Grapalat" w:hAnsi="GHEA Grapalat" w:cs="Sylfaen"/>
                <w:sz w:val="24"/>
                <w:szCs w:val="24"/>
                <w:lang w:val="hy-AM"/>
              </w:rPr>
            </w:pPr>
            <w:r w:rsidRPr="00921222">
              <w:rPr>
                <w:rFonts w:ascii="GHEA Grapalat" w:eastAsia="Calibri" w:hAnsi="GHEA Grapalat" w:cs="GHEA Grapalat"/>
                <w:bCs/>
                <w:sz w:val="24"/>
                <w:szCs w:val="24"/>
                <w:lang w:val="hy-AM"/>
              </w:rPr>
              <w:t>ԳՕՍՏ ԻՍՕ/ԻԷԿ 17011-2018 ստանդարտ</w:t>
            </w:r>
            <w:r w:rsidR="00853328">
              <w:rPr>
                <w:rFonts w:ascii="GHEA Grapalat" w:eastAsia="Calibri" w:hAnsi="GHEA Grapalat" w:cs="GHEA Grapalat"/>
                <w:bCs/>
                <w:sz w:val="24"/>
                <w:szCs w:val="24"/>
                <w:lang w:val="hy-AM"/>
              </w:rPr>
              <w:t xml:space="preserve">ի </w:t>
            </w:r>
            <w:r w:rsidRPr="00921222">
              <w:rPr>
                <w:rFonts w:ascii="GHEA Grapalat" w:eastAsia="Calibri" w:hAnsi="GHEA Grapalat" w:cs="GHEA Grapalat"/>
                <w:bCs/>
                <w:sz w:val="24"/>
                <w:szCs w:val="24"/>
                <w:lang w:val="hy-AM"/>
              </w:rPr>
              <w:t>3</w:t>
            </w:r>
            <w:r w:rsidRPr="00921222">
              <w:rPr>
                <w:rFonts w:ascii="Cambria Math" w:eastAsia="Calibri" w:hAnsi="Cambria Math" w:cs="Cambria Math"/>
                <w:bCs/>
                <w:sz w:val="24"/>
                <w:szCs w:val="24"/>
                <w:lang w:val="hy-AM"/>
              </w:rPr>
              <w:t>․</w:t>
            </w:r>
            <w:r w:rsidRPr="00921222">
              <w:rPr>
                <w:rFonts w:ascii="GHEA Grapalat" w:eastAsia="Calibri" w:hAnsi="GHEA Grapalat" w:cs="GHEA Grapalat"/>
                <w:bCs/>
                <w:sz w:val="24"/>
                <w:szCs w:val="24"/>
                <w:lang w:val="hy-AM"/>
              </w:rPr>
              <w:t xml:space="preserve">24 հասկացությամբ սահմանված </w:t>
            </w:r>
            <w:r w:rsidR="00853328">
              <w:rPr>
                <w:rFonts w:ascii="GHEA Grapalat" w:eastAsia="Calibri" w:hAnsi="GHEA Grapalat" w:cs="GHEA Grapalat"/>
                <w:bCs/>
                <w:sz w:val="24"/>
                <w:szCs w:val="24"/>
                <w:lang w:val="hy-AM"/>
              </w:rPr>
              <w:t>են</w:t>
            </w:r>
            <w:r w:rsidRPr="00921222">
              <w:rPr>
                <w:rFonts w:ascii="GHEA Grapalat" w:eastAsia="Calibri" w:hAnsi="GHEA Grapalat" w:cs="GHEA Grapalat"/>
                <w:bCs/>
                <w:sz w:val="24"/>
                <w:szCs w:val="24"/>
                <w:lang w:val="hy-AM"/>
              </w:rPr>
              <w:t xml:space="preserve"> </w:t>
            </w:r>
            <w:r w:rsidRPr="00921222">
              <w:rPr>
                <w:rFonts w:ascii="GHEA Grapalat" w:eastAsia="Calibri" w:hAnsi="GHEA Grapalat" w:cs="GHEA Grapalat"/>
                <w:bCs/>
                <w:sz w:val="24"/>
                <w:szCs w:val="24"/>
                <w:lang w:val="ru-RU"/>
              </w:rPr>
              <w:t>«</w:t>
            </w:r>
            <w:r w:rsidRPr="00921222">
              <w:rPr>
                <w:rFonts w:ascii="GHEA Grapalat" w:eastAsia="Calibri" w:hAnsi="GHEA Grapalat" w:cs="GHEA Grapalat"/>
                <w:bCs/>
                <w:sz w:val="24"/>
                <w:szCs w:val="24"/>
                <w:lang w:val="hy-AM"/>
              </w:rPr>
              <w:t>չափման աուդիտ</w:t>
            </w:r>
            <w:r w:rsidRPr="00921222">
              <w:rPr>
                <w:rFonts w:ascii="GHEA Grapalat" w:eastAsia="Calibri" w:hAnsi="GHEA Grapalat" w:cs="GHEA Grapalat"/>
                <w:bCs/>
                <w:sz w:val="24"/>
                <w:szCs w:val="24"/>
                <w:lang w:val="ru-RU"/>
              </w:rPr>
              <w:t>»</w:t>
            </w:r>
            <w:r w:rsidRPr="00921222">
              <w:rPr>
                <w:rFonts w:ascii="GHEA Grapalat" w:eastAsia="Calibri" w:hAnsi="GHEA Grapalat" w:cs="GHEA Grapalat"/>
                <w:bCs/>
                <w:sz w:val="24"/>
                <w:szCs w:val="24"/>
                <w:lang w:val="hy-AM"/>
              </w:rPr>
              <w:t xml:space="preserve"> և  </w:t>
            </w:r>
            <w:r w:rsidRPr="00921222">
              <w:rPr>
                <w:rFonts w:ascii="GHEA Grapalat" w:eastAsia="Calibri" w:hAnsi="GHEA Grapalat" w:cs="GHEA Grapalat"/>
                <w:bCs/>
                <w:sz w:val="24"/>
                <w:szCs w:val="24"/>
                <w:lang w:val="ru-RU"/>
              </w:rPr>
              <w:t>«</w:t>
            </w:r>
            <w:r w:rsidRPr="00921222">
              <w:rPr>
                <w:rFonts w:ascii="GHEA Grapalat" w:hAnsi="GHEA Grapalat"/>
                <w:sz w:val="24"/>
                <w:szCs w:val="24"/>
                <w:lang w:val="hy-AM"/>
              </w:rPr>
              <w:t>վավերացման (</w:t>
            </w:r>
            <w:proofErr w:type="spellStart"/>
            <w:r w:rsidRPr="00921222">
              <w:rPr>
                <w:rFonts w:ascii="GHEA Grapalat" w:hAnsi="GHEA Grapalat"/>
                <w:sz w:val="24"/>
                <w:szCs w:val="24"/>
                <w:lang w:val="hy-AM"/>
              </w:rPr>
              <w:t>վալիդաց</w:t>
            </w:r>
            <w:r>
              <w:rPr>
                <w:rFonts w:ascii="GHEA Grapalat" w:hAnsi="GHEA Grapalat"/>
                <w:sz w:val="24"/>
                <w:szCs w:val="24"/>
                <w:lang w:val="hy-AM"/>
              </w:rPr>
              <w:t>մ</w:t>
            </w:r>
            <w:r w:rsidRPr="00921222">
              <w:rPr>
                <w:rFonts w:ascii="GHEA Grapalat" w:hAnsi="GHEA Grapalat"/>
                <w:sz w:val="24"/>
                <w:szCs w:val="24"/>
                <w:lang w:val="hy-AM"/>
              </w:rPr>
              <w:t>ան</w:t>
            </w:r>
            <w:proofErr w:type="spellEnd"/>
            <w:r w:rsidRPr="00921222">
              <w:rPr>
                <w:rFonts w:ascii="GHEA Grapalat" w:hAnsi="GHEA Grapalat"/>
                <w:sz w:val="24"/>
                <w:szCs w:val="24"/>
                <w:lang w:val="ru-RU"/>
              </w:rPr>
              <w:t>)</w:t>
            </w:r>
            <w:r w:rsidRPr="00921222">
              <w:rPr>
                <w:rFonts w:ascii="GHEA Grapalat" w:hAnsi="GHEA Grapalat"/>
                <w:sz w:val="24"/>
                <w:szCs w:val="24"/>
                <w:lang w:val="hy-AM"/>
              </w:rPr>
              <w:t xml:space="preserve">  </w:t>
            </w:r>
            <w:r w:rsidRPr="00921222">
              <w:rPr>
                <w:rFonts w:ascii="GHEA Grapalat" w:eastAsia="Calibri" w:hAnsi="GHEA Grapalat" w:cs="GHEA Grapalat"/>
                <w:bCs/>
                <w:sz w:val="24"/>
                <w:szCs w:val="24"/>
                <w:lang w:val="hy-AM"/>
              </w:rPr>
              <w:t>աուդիտ</w:t>
            </w:r>
            <w:r w:rsidRPr="00921222">
              <w:rPr>
                <w:rFonts w:ascii="GHEA Grapalat" w:eastAsia="Calibri" w:hAnsi="GHEA Grapalat" w:cs="GHEA Grapalat"/>
                <w:bCs/>
                <w:sz w:val="24"/>
                <w:szCs w:val="24"/>
                <w:lang w:val="ru-RU"/>
              </w:rPr>
              <w:t>»</w:t>
            </w:r>
            <w:r w:rsidR="00853328">
              <w:rPr>
                <w:rFonts w:ascii="GHEA Grapalat" w:eastAsia="Calibri" w:hAnsi="GHEA Grapalat" w:cs="GHEA Grapalat"/>
                <w:bCs/>
                <w:sz w:val="24"/>
                <w:szCs w:val="24"/>
                <w:lang w:val="hy-AM"/>
              </w:rPr>
              <w:t xml:space="preserve"> հասկացությունները</w:t>
            </w:r>
          </w:p>
        </w:tc>
      </w:tr>
    </w:tbl>
    <w:p w14:paraId="62CF981E" w14:textId="77777777" w:rsidR="004D1467" w:rsidRPr="006A058C" w:rsidRDefault="004D1467" w:rsidP="00161CC4">
      <w:pPr>
        <w:spacing w:after="0" w:line="360" w:lineRule="auto"/>
        <w:rPr>
          <w:rFonts w:ascii="GHEA Grapalat" w:hAnsi="GHEA Grapalat"/>
          <w:sz w:val="24"/>
          <w:szCs w:val="24"/>
        </w:rPr>
      </w:pPr>
    </w:p>
    <w:sectPr w:rsidR="004D1467" w:rsidRPr="006A058C" w:rsidSect="00EF2818">
      <w:pgSz w:w="16838" w:h="11906" w:orient="landscape"/>
      <w:pgMar w:top="360" w:right="1138" w:bottom="450" w:left="1138"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4C38"/>
    <w:multiLevelType w:val="hybridMultilevel"/>
    <w:tmpl w:val="270C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321E03"/>
    <w:multiLevelType w:val="hybridMultilevel"/>
    <w:tmpl w:val="782EEE50"/>
    <w:lvl w:ilvl="0" w:tplc="8FA40E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275B57"/>
    <w:multiLevelType w:val="hybridMultilevel"/>
    <w:tmpl w:val="669E3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91"/>
    <w:rsid w:val="0001675F"/>
    <w:rsid w:val="000B7574"/>
    <w:rsid w:val="001276A5"/>
    <w:rsid w:val="00161CC4"/>
    <w:rsid w:val="001679CB"/>
    <w:rsid w:val="001C7DB6"/>
    <w:rsid w:val="002A3FD6"/>
    <w:rsid w:val="002E4322"/>
    <w:rsid w:val="0030600E"/>
    <w:rsid w:val="003B6D4A"/>
    <w:rsid w:val="003D3FC9"/>
    <w:rsid w:val="00421028"/>
    <w:rsid w:val="00433DE2"/>
    <w:rsid w:val="004619E0"/>
    <w:rsid w:val="004649DE"/>
    <w:rsid w:val="00486F5C"/>
    <w:rsid w:val="004A5136"/>
    <w:rsid w:val="004D1467"/>
    <w:rsid w:val="004F2648"/>
    <w:rsid w:val="00582D34"/>
    <w:rsid w:val="005C692A"/>
    <w:rsid w:val="005D0864"/>
    <w:rsid w:val="005D65DB"/>
    <w:rsid w:val="00603473"/>
    <w:rsid w:val="0061491F"/>
    <w:rsid w:val="006A058C"/>
    <w:rsid w:val="006A0F83"/>
    <w:rsid w:val="006B6AEE"/>
    <w:rsid w:val="00737F1E"/>
    <w:rsid w:val="00775DF4"/>
    <w:rsid w:val="00781A2A"/>
    <w:rsid w:val="0079635E"/>
    <w:rsid w:val="007A7443"/>
    <w:rsid w:val="007C61DB"/>
    <w:rsid w:val="007E0951"/>
    <w:rsid w:val="007E2F72"/>
    <w:rsid w:val="00812C88"/>
    <w:rsid w:val="00853328"/>
    <w:rsid w:val="008D029C"/>
    <w:rsid w:val="008F7121"/>
    <w:rsid w:val="00921222"/>
    <w:rsid w:val="00932E12"/>
    <w:rsid w:val="009D4E70"/>
    <w:rsid w:val="00A61D15"/>
    <w:rsid w:val="00A62F15"/>
    <w:rsid w:val="00A87D91"/>
    <w:rsid w:val="00AA75F6"/>
    <w:rsid w:val="00AB7C41"/>
    <w:rsid w:val="00AC2086"/>
    <w:rsid w:val="00AD3760"/>
    <w:rsid w:val="00B04140"/>
    <w:rsid w:val="00B246C1"/>
    <w:rsid w:val="00B25BDF"/>
    <w:rsid w:val="00B457E7"/>
    <w:rsid w:val="00B55B73"/>
    <w:rsid w:val="00B615D1"/>
    <w:rsid w:val="00B97960"/>
    <w:rsid w:val="00BC4EF1"/>
    <w:rsid w:val="00BE37C7"/>
    <w:rsid w:val="00C16F7C"/>
    <w:rsid w:val="00C36F97"/>
    <w:rsid w:val="00C461D2"/>
    <w:rsid w:val="00D030FE"/>
    <w:rsid w:val="00DD1170"/>
    <w:rsid w:val="00E21264"/>
    <w:rsid w:val="00E3026A"/>
    <w:rsid w:val="00E42CD7"/>
    <w:rsid w:val="00E86F04"/>
    <w:rsid w:val="00EF2818"/>
    <w:rsid w:val="00F2213D"/>
    <w:rsid w:val="00F355A6"/>
    <w:rsid w:val="00F36B8D"/>
    <w:rsid w:val="00F553ED"/>
    <w:rsid w:val="00F97A6A"/>
    <w:rsid w:val="00FE6603"/>
    <w:rsid w:val="00FF5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B469D"/>
  <w15:chartTrackingRefBased/>
  <w15:docId w15:val="{91B9D811-6C5C-49D6-9BC4-BE95BC5F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0"/>
    <w:pPr>
      <w:spacing w:after="200" w:line="276" w:lineRule="auto"/>
    </w:pPr>
    <w:rPr>
      <w:rFonts w:ascii="Calibri" w:eastAsiaTheme="minorEastAsia" w:hAnsi="Calibri" w:cs="Calibri"/>
      <w:lang w:eastAsia="ru-RU"/>
    </w:rPr>
  </w:style>
  <w:style w:type="paragraph" w:styleId="Heading3">
    <w:name w:val="heading 3"/>
    <w:basedOn w:val="Normal"/>
    <w:next w:val="Normal"/>
    <w:link w:val="Heading3Char"/>
    <w:rsid w:val="00AD3760"/>
    <w:pPr>
      <w:keepNext/>
      <w:keepLines/>
      <w:spacing w:before="40" w:after="0" w:line="240" w:lineRule="auto"/>
      <w:outlineLvl w:val="2"/>
    </w:pPr>
    <w:rPr>
      <w:rFonts w:eastAsia="Calibri"/>
      <w:color w:val="1F3863"/>
      <w:sz w:val="24"/>
      <w:szCs w:val="24"/>
      <w:lang w:val="hy-AM" w:eastAsia="en-GB"/>
    </w:rPr>
  </w:style>
  <w:style w:type="paragraph" w:styleId="Heading5">
    <w:name w:val="heading 5"/>
    <w:basedOn w:val="Normal"/>
    <w:next w:val="Normal"/>
    <w:link w:val="Heading5Char"/>
    <w:uiPriority w:val="9"/>
    <w:semiHidden/>
    <w:unhideWhenUsed/>
    <w:qFormat/>
    <w:rsid w:val="00AB7C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3760"/>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
    <w:basedOn w:val="Normal"/>
    <w:link w:val="ListParagraphChar"/>
    <w:uiPriority w:val="34"/>
    <w:qFormat/>
    <w:rsid w:val="00AD3760"/>
    <w:pPr>
      <w:ind w:left="720"/>
      <w:contextualSpacing/>
    </w:p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locked/>
    <w:rsid w:val="00AD3760"/>
    <w:rPr>
      <w:rFonts w:ascii="Calibri" w:eastAsiaTheme="minorEastAsia" w:hAnsi="Calibri" w:cs="Calibri"/>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 webb,Знак,Знак Знак1,Char Char Char,Char Char Char Char"/>
    <w:basedOn w:val="Normal"/>
    <w:link w:val="NormalWebChar"/>
    <w:uiPriority w:val="99"/>
    <w:unhideWhenUsed/>
    <w:qFormat/>
    <w:rsid w:val="00AD376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 webb Char,Знак Char,Знак Знак1 Char,Char Char Char Char1"/>
    <w:link w:val="NormalWeb"/>
    <w:uiPriority w:val="99"/>
    <w:locked/>
    <w:rsid w:val="00AD3760"/>
    <w:rPr>
      <w:rFonts w:ascii="Times New Roman" w:eastAsia="Times New Roman" w:hAnsi="Times New Roman" w:cs="Times New Roman"/>
      <w:sz w:val="24"/>
      <w:szCs w:val="24"/>
    </w:rPr>
  </w:style>
  <w:style w:type="paragraph" w:styleId="NoSpacing">
    <w:name w:val="No Spacing"/>
    <w:uiPriority w:val="1"/>
    <w:qFormat/>
    <w:rsid w:val="00AD3760"/>
    <w:pPr>
      <w:spacing w:after="0" w:line="240" w:lineRule="auto"/>
    </w:pPr>
    <w:rPr>
      <w:rFonts w:ascii="Calibri" w:eastAsia="Calibri" w:hAnsi="Calibri" w:cs="Times New Roman"/>
    </w:rPr>
  </w:style>
  <w:style w:type="character" w:customStyle="1" w:styleId="markedcontent">
    <w:name w:val="markedcontent"/>
    <w:basedOn w:val="DefaultParagraphFont"/>
    <w:rsid w:val="00AD3760"/>
  </w:style>
  <w:style w:type="character" w:customStyle="1" w:styleId="Heading5Char">
    <w:name w:val="Heading 5 Char"/>
    <w:basedOn w:val="DefaultParagraphFont"/>
    <w:link w:val="Heading5"/>
    <w:uiPriority w:val="9"/>
    <w:semiHidden/>
    <w:rsid w:val="00AB7C41"/>
    <w:rPr>
      <w:rFonts w:asciiTheme="majorHAnsi" w:eastAsiaTheme="majorEastAsia" w:hAnsiTheme="majorHAnsi" w:cstheme="majorBidi"/>
      <w:color w:val="2E74B5" w:themeColor="accent1" w:themeShade="BF"/>
      <w:lang w:eastAsia="ru-RU"/>
    </w:rPr>
  </w:style>
  <w:style w:type="character" w:styleId="Hyperlink">
    <w:name w:val="Hyperlink"/>
    <w:basedOn w:val="DefaultParagraphFont"/>
    <w:uiPriority w:val="99"/>
    <w:unhideWhenUsed/>
    <w:rsid w:val="00AB7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30970">
      <w:bodyDiv w:val="1"/>
      <w:marLeft w:val="0"/>
      <w:marRight w:val="0"/>
      <w:marTop w:val="0"/>
      <w:marBottom w:val="0"/>
      <w:divBdr>
        <w:top w:val="none" w:sz="0" w:space="0" w:color="auto"/>
        <w:left w:val="none" w:sz="0" w:space="0" w:color="auto"/>
        <w:bottom w:val="none" w:sz="0" w:space="0" w:color="auto"/>
        <w:right w:val="none" w:sz="0" w:space="0" w:color="auto"/>
      </w:divBdr>
    </w:div>
    <w:div w:id="1359576313">
      <w:bodyDiv w:val="1"/>
      <w:marLeft w:val="0"/>
      <w:marRight w:val="0"/>
      <w:marTop w:val="0"/>
      <w:marBottom w:val="0"/>
      <w:divBdr>
        <w:top w:val="none" w:sz="0" w:space="0" w:color="auto"/>
        <w:left w:val="none" w:sz="0" w:space="0" w:color="auto"/>
        <w:bottom w:val="none" w:sz="0" w:space="0" w:color="auto"/>
        <w:right w:val="none" w:sz="0" w:space="0" w:color="auto"/>
      </w:divBdr>
    </w:div>
    <w:div w:id="1572232428">
      <w:bodyDiv w:val="1"/>
      <w:marLeft w:val="0"/>
      <w:marRight w:val="0"/>
      <w:marTop w:val="0"/>
      <w:marBottom w:val="0"/>
      <w:divBdr>
        <w:top w:val="none" w:sz="0" w:space="0" w:color="auto"/>
        <w:left w:val="none" w:sz="0" w:space="0" w:color="auto"/>
        <w:bottom w:val="none" w:sz="0" w:space="0" w:color="auto"/>
        <w:right w:val="none" w:sz="0" w:space="0" w:color="auto"/>
      </w:divBdr>
    </w:div>
    <w:div w:id="20987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F0E8-AFC2-49ED-82DF-081214EC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6321</Characters>
  <Application>Microsoft Office Word</Application>
  <DocSecurity>0</DocSecurity>
  <Lines>225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 H. Kurghinyan</dc:creator>
  <cp:keywords>https:/mul2-mineconomy.gov.am/tasks/584623/oneclick/havatarnagrnab karg-ampopatert.docx?token=b694666c78949651dcf5efbd6fd9766b</cp:keywords>
  <dc:description/>
  <cp:lastModifiedBy>Gayane K. Margaryan</cp:lastModifiedBy>
  <cp:revision>2</cp:revision>
  <dcterms:created xsi:type="dcterms:W3CDTF">2024-01-08T13:34:00Z</dcterms:created>
  <dcterms:modified xsi:type="dcterms:W3CDTF">2024-01-08T13:34:00Z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26312ad0821bf2fe5200a7fad982a705af1fe69c1d0bbafb184aaaf391150790</vt:lpwstr>
  </property>
</Properties>
</file>