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2FA7" w14:textId="77777777" w:rsidR="003543D3" w:rsidRPr="003543D3" w:rsidRDefault="003543D3" w:rsidP="00946E12">
      <w:pPr>
        <w:shd w:val="clear" w:color="auto" w:fill="FFFFFF"/>
        <w:spacing w:after="80" w:line="360" w:lineRule="auto"/>
        <w:jc w:val="center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Հ Ի Մ Ն Ա Վ Ո Ր Ո Ւ Մ</w:t>
      </w:r>
    </w:p>
    <w:p w14:paraId="16A825FC" w14:textId="4BC5E759" w:rsidR="00697277" w:rsidRDefault="006C3CD6" w:rsidP="00697277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E42F3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ՀԱՅԱՍՏԱՆԻ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ՀԱՆՐԱՊԵՏՈՒԹՅԱՆ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ԿԱՌԱՎԱՐՈՒԹՅԱՆ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2023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ԹՎԱԿԱՆԻ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ՀՈՒՆԻՍԻ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16-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Ի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Fonts w:ascii="GHEA Grapalat" w:hAnsi="GHEA Grapalat" w:cs="Arial"/>
          <w:b/>
          <w:spacing w:val="-4"/>
          <w:sz w:val="24"/>
          <w:szCs w:val="24"/>
          <w:lang w:val="hy-AM" w:eastAsia="hy-AM"/>
        </w:rPr>
        <w:t>N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970-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Լ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ՈՐՈՇՄԱՆ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ՄԵՋ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ՓՈՓՈԽՈՒԹՅՈՒՆՆԵՐ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ԵՎ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ԼՐԱՑՈՒՄ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eastAsia="en-US"/>
        </w:rPr>
        <w:t>ԿԱՏԱՐԵԼՈՒ</w:t>
      </w:r>
      <w:r w:rsidRPr="00DD6D45">
        <w:rPr>
          <w:rStyle w:val="a4"/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DD6D45">
        <w:rPr>
          <w:rStyle w:val="a4"/>
          <w:rFonts w:ascii="GHEA Grapalat" w:hAnsi="GHEA Grapalat" w:cs="Sylfaen"/>
          <w:color w:val="000000"/>
          <w:sz w:val="24"/>
          <w:szCs w:val="24"/>
          <w:lang w:val="hy-AM" w:eastAsia="en-US"/>
        </w:rPr>
        <w:t>ՄԱՍԻՆ</w:t>
      </w:r>
      <w:r w:rsidRPr="00E42F33">
        <w:rPr>
          <w:rFonts w:ascii="GHEA Grapalat" w:hAnsi="GHEA Grapalat" w:cs="Sylfaen"/>
          <w:b/>
          <w:sz w:val="24"/>
          <w:szCs w:val="24"/>
          <w:lang w:val="hy-AM"/>
        </w:rPr>
        <w:t>» ՀԱՅԱՍՏԱՆԻ ՀԱՆՐԱՊԵՏՈՒԹՅԱՆ ԿԱՌԱՎԱՐՈՒԹՅԱՆ ՈՐՈՇՄԱՆ ԸՆԴՈՒՆՄԱՆ ԱՆՀՐԱԺԵՇՏՈՒԹՅԱՆ ՎԵՐԱԲԵՐՅԱԼ</w:t>
      </w:r>
    </w:p>
    <w:p w14:paraId="4A846E92" w14:textId="77777777" w:rsidR="00697277" w:rsidRPr="00697277" w:rsidRDefault="00697277" w:rsidP="00697277">
      <w:pPr>
        <w:pStyle w:val="mechtex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14:paraId="693B99C6" w14:textId="0DB540A9" w:rsidR="003543D3" w:rsidRPr="00697277" w:rsidRDefault="00465115" w:rsidP="0069727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Ի</w:t>
      </w:r>
      <w:r w:rsidR="003543D3"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րավական</w:t>
      </w:r>
      <w:r w:rsidRPr="00697277">
        <w:rPr>
          <w:rFonts w:ascii="GHEA Grapalat" w:eastAsia="Times New Roman" w:hAnsi="GHEA Grapalat" w:cs="Calibri"/>
          <w:spacing w:val="-4"/>
          <w:sz w:val="24"/>
          <w:szCs w:val="24"/>
          <w:lang w:val="hy-AM"/>
        </w:rPr>
        <w:t xml:space="preserve"> </w:t>
      </w:r>
      <w:r w:rsidR="003543D3"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ակտի</w:t>
      </w:r>
      <w:r w:rsidRPr="00697277">
        <w:rPr>
          <w:rFonts w:ascii="GHEA Grapalat" w:eastAsia="Times New Roman" w:hAnsi="GHEA Grapalat" w:cs="Calibri"/>
          <w:spacing w:val="-4"/>
          <w:sz w:val="24"/>
          <w:szCs w:val="24"/>
          <w:lang w:val="hy-AM"/>
        </w:rPr>
        <w:t xml:space="preserve"> </w:t>
      </w:r>
      <w:r w:rsidR="003543D3"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ընդունման</w:t>
      </w:r>
      <w:r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 xml:space="preserve"> </w:t>
      </w:r>
      <w:r w:rsidR="003543D3"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անհրաժեշտությունը</w:t>
      </w:r>
      <w:r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 xml:space="preserve"> և </w:t>
      </w:r>
      <w:r w:rsidR="003543D3" w:rsidRPr="00697277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  <w:lang w:val="hy-AM"/>
        </w:rPr>
        <w:t>նպատակը</w:t>
      </w:r>
    </w:p>
    <w:p w14:paraId="42073D9F" w14:textId="46C16B18" w:rsidR="00465115" w:rsidRPr="00697277" w:rsidRDefault="00E6771C" w:rsidP="00697277">
      <w:pPr>
        <w:tabs>
          <w:tab w:val="left" w:pos="993"/>
        </w:tabs>
        <w:spacing w:after="0" w:line="360" w:lineRule="auto"/>
        <w:jc w:val="both"/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</w:pPr>
      <w:r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ab/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ՀՀ կառավարության 2023 </w:t>
      </w:r>
      <w:r w:rsidR="00465115" w:rsidRPr="00697277">
        <w:rPr>
          <w:rFonts w:ascii="GHEA Grapalat" w:hAnsi="GHEA Grapalat" w:cs="Sylfaen"/>
          <w:noProof/>
          <w:spacing w:val="-4"/>
          <w:lang w:val="hy-AM"/>
        </w:rPr>
        <w:t>թվականի</w:t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 հունիսի 16-ի N 970-Լ որոշմամբ (այսուհետ՝ Որոշում) հավանություն է տրվել Երևան քաղաքը գազամատակարարման լրացուցիչ նոր հզորություններով ապահովելու ծրագրին (այսուհետ՝ Ծրագիր)։ Ծրագրին զուգահեռ</w:t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 xml:space="preserve"> նույն ուղղությամբ շինարարություն իրականացնող</w:t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 մի խումբ կառուցապատողների կողմից համախմբման սկզբունքով ձեռնարկվել են միջոցառումներ Ծրագրի 1-ին և 2-րդ փուլերով նախատեսված հիմնական ուղղությունների մի շարք ճյուղերով </w:t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 xml:space="preserve">գազատարների կառուցման ուղղությամբ: </w:t>
      </w:r>
    </w:p>
    <w:p w14:paraId="2AD3DE78" w14:textId="73577534" w:rsidR="00465115" w:rsidRPr="00697277" w:rsidRDefault="00111A14" w:rsidP="00697277">
      <w:pPr>
        <w:tabs>
          <w:tab w:val="left" w:pos="993"/>
        </w:tabs>
        <w:spacing w:after="0" w:line="360" w:lineRule="auto"/>
        <w:jc w:val="both"/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</w:pPr>
      <w:r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ab/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 xml:space="preserve">Շինարարությամբ ավարտված </w:t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>Ծ</w:t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 xml:space="preserve">րագրով սահմանված ուղղությունների գազատարների տեխնիկական շահագործման, սպասարկման և ընթացիկ նորոգման գործառույթները ՀՀ նորմատիվաիրավական ակտերով սահմանված կարգով ապահովելու նպատակով, անհրաժեշտ է դիտարկել նաև ավարտական փաստաթղթերի առկայության պայմաններում, այլ անձանց սեփականությունը հանդիսացող գազամատակարարման համակարգերի </w:t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  <w:t xml:space="preserve">«Գազպրոմ Արմենիա» ՓԲԸ-ի </w:t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(այսուհետ՝ Ընկերություն) </w:t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>կողմից ձեռքբերումը:</w:t>
      </w:r>
    </w:p>
    <w:p w14:paraId="1D0A760A" w14:textId="7D382F04" w:rsidR="00465115" w:rsidRPr="00697277" w:rsidRDefault="00111A14" w:rsidP="00697277">
      <w:pPr>
        <w:tabs>
          <w:tab w:val="left" w:pos="993"/>
        </w:tabs>
        <w:spacing w:after="0" w:line="360" w:lineRule="auto"/>
        <w:jc w:val="both"/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</w:pPr>
      <w:r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ab/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Միևնույն ժամանակ, Որոշման 3-րդ կետի 2-րդ ենթակետով առաջադրված դրույթների կատարումն ապահովելու նպատակով, գազամատակարարման համակարգերի կառուցումն այլ անձանց կողմից իրականացված </w:t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 xml:space="preserve">գազամատակարարման համակարգերի Ընկերության կողմից ձեռքբերման դեպքում, </w:t>
      </w:r>
      <w:r w:rsidR="00465115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առաջացել է համապատասխան միացման վճարի մեծության սահմանման անհրաժեշտություն: </w:t>
      </w:r>
    </w:p>
    <w:p w14:paraId="355F2C4F" w14:textId="6F70B8A4" w:rsidR="00465115" w:rsidRPr="00697277" w:rsidRDefault="00111A14" w:rsidP="00697277">
      <w:pPr>
        <w:tabs>
          <w:tab w:val="left" w:pos="993"/>
        </w:tabs>
        <w:spacing w:after="0" w:line="360" w:lineRule="auto"/>
        <w:jc w:val="both"/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</w:pPr>
      <w:r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ab/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 xml:space="preserve">Ընկերության կողմից իրականացվել է գազասպառման համակարգերի գազամատակարարման ցանցին միացման տեխնիկական պայմանների տրամադրման պահանջ ներկայացված դիմումների վերլուծություն, որի արդյունքում բացառվել են ներկայումս </w:t>
      </w:r>
      <w:r w:rsidR="00465115"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lastRenderedPageBreak/>
        <w:t>ժամկետանց, ինչպես նաև կրկնակի հայտերով ներկայացված դիմումները և արդիականացվել են պահանջվող սպառման ծավալները:</w:t>
      </w:r>
    </w:p>
    <w:p w14:paraId="07A41039" w14:textId="77777777" w:rsidR="00D960DD" w:rsidRDefault="00465115" w:rsidP="00111A1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 xml:space="preserve">Հաշվի առնելով նաև իրականացվող խոշորամասշտաբ կառուցապատման դինամիկ փոփոխվող աշխարհագրությունը, ինչպես նաև դրա հետևանքով զուգահեռ զարգացող այլ կոմունիկացիոն ուղիները, դրանց զուգահեռ գազատարների նախագծման ու անցկացման հետ կապված լրացուցիչ աշխատանքների ծավալները, </w:t>
      </w:r>
      <w:r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>Ը</w:t>
      </w:r>
      <w:r w:rsidRPr="00697277">
        <w:rPr>
          <w:rFonts w:ascii="GHEA Grapalat" w:eastAsia="Calibri" w:hAnsi="GHEA Grapalat" w:cs="Arial"/>
          <w:bCs/>
          <w:noProof/>
          <w:spacing w:val="-4"/>
          <w:sz w:val="24"/>
          <w:szCs w:val="24"/>
          <w:lang w:val="hy-AM"/>
        </w:rPr>
        <w:t>նկերության կողմից իրականացվել է ուսումնասիրություն, որի արդյունքում պարզ է դարձել, որ անհրաժեշտ է վերանայել ծրագրի կատարման ժամանակացույցը:</w:t>
      </w:r>
    </w:p>
    <w:p w14:paraId="41F93FAF" w14:textId="44478AC9" w:rsidR="00D960DD" w:rsidRPr="00D960DD" w:rsidRDefault="00D960DD" w:rsidP="00D960DD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D960DD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Առաջարկվող կարգավորման բնույթը</w:t>
      </w:r>
    </w:p>
    <w:p w14:paraId="1BD90B33" w14:textId="77777777" w:rsidR="00465115" w:rsidRPr="00697277" w:rsidRDefault="00465115" w:rsidP="00111A14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</w:pPr>
      <w:r w:rsidRPr="00697277">
        <w:rPr>
          <w:rFonts w:ascii="GHEA Grapalat" w:hAnsi="GHEA Grapalat" w:cs="Sylfaen"/>
          <w:noProof/>
          <w:color w:val="000000"/>
          <w:sz w:val="24"/>
          <w:szCs w:val="24"/>
          <w:lang w:val="hy-AM" w:eastAsia="hy-AM"/>
        </w:rPr>
        <w:t>Նախագծով</w:t>
      </w:r>
      <w:r w:rsidRPr="00697277"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  <w:t xml:space="preserve"> նախատեսվում է հստակեցնել, որ Երևան քաղաքը գազամատակարարման լրացուցիչ նոր հզորություններով ապահովման </w:t>
      </w:r>
      <w:r w:rsidRPr="00697277">
        <w:rPr>
          <w:rFonts w:ascii="GHEA Grapalat" w:hAnsi="GHEA Grapalat"/>
          <w:noProof/>
          <w:color w:val="000000"/>
          <w:sz w:val="24"/>
          <w:lang w:val="hy-AM" w:eastAsia="hy-AM"/>
        </w:rPr>
        <w:t>ծ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  <w:t>րագրով սահմանված որևէ ուղղության գազամատակարարման համակարգերի կառուցումն այլ անձանց կողմից իրականացվելու դեպքում տվյալ համակարգերը «Գազպրոմ Արմենիա» ՓԲԸ-ի կողմից ձեռքբերման ժամանակ կառուցումն իրականացնող անձանց կողմից կվճարվի գազամատակարարման ցանցի այդ պահի ծանրաբեռնվածությանը համապատասխան միացման վճար։</w:t>
      </w:r>
    </w:p>
    <w:p w14:paraId="1DD742BB" w14:textId="46A6A88D" w:rsidR="00465115" w:rsidRPr="00697277" w:rsidRDefault="00465115" w:rsidP="00111A1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697277"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  <w:t xml:space="preserve">Բացի այդ, նախատեսվում է ճշգրտել </w:t>
      </w:r>
      <w:r w:rsidRPr="00697277"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  <w:t xml:space="preserve">Երևան քաղաքը գազամատակարարման լրացուցիչ նոր հզորություններով ապահովման 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  <w:t>ծրագրի իրականացման ժամկետները և իրականացնումից ակնկալվող արդյունքները, ինչն էլ հիմք կհանդիսանա միացման վճարների ճշգրիտ մեծությունների սահմանման համար։</w:t>
      </w:r>
    </w:p>
    <w:p w14:paraId="6C24384E" w14:textId="77777777" w:rsidR="003543D3" w:rsidRPr="00697277" w:rsidRDefault="003543D3" w:rsidP="0069727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</w:t>
      </w:r>
    </w:p>
    <w:p w14:paraId="70EF76C2" w14:textId="77777777" w:rsidR="00697277" w:rsidRPr="00697277" w:rsidRDefault="00465115" w:rsidP="00111A1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697277">
        <w:rPr>
          <w:rFonts w:ascii="GHEA Grapalat" w:hAnsi="GHEA Grapalat" w:cs="Sylfaen"/>
          <w:noProof/>
          <w:color w:val="000000"/>
          <w:sz w:val="24"/>
          <w:szCs w:val="24"/>
          <w:lang w:val="hy-AM" w:eastAsia="hy-AM"/>
        </w:rPr>
        <w:t>Նախագծի</w:t>
      </w:r>
      <w:r w:rsidRPr="00697277"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  <w:t xml:space="preserve"> ընդունման դեպքում Երևան քաղաքը գազամատակարարման լրացուցիչ նոր հզորություններով ապահովման ծրագրի շրջանակում սահմանվող միացման վճարները ամբողջությամբ կփոխհատուցեն ծրագրի արժեքը։</w:t>
      </w:r>
    </w:p>
    <w:p w14:paraId="65D5FE78" w14:textId="6C2030ED" w:rsidR="00465115" w:rsidRPr="00697277" w:rsidRDefault="00697277" w:rsidP="00697277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697277">
        <w:rPr>
          <w:rFonts w:ascii="GHEA Grapalat" w:hAnsi="GHEA Grapalat"/>
          <w:b/>
          <w:bCs/>
          <w:bdr w:val="none" w:sz="0" w:space="0" w:color="auto" w:frame="1"/>
          <w:shd w:val="clear" w:color="auto" w:fill="FFFFFF"/>
          <w:lang w:val="hy-AM" w:eastAsia="lt-LT"/>
        </w:rPr>
        <w:t>Ն</w:t>
      </w:r>
      <w:r w:rsidR="00465115" w:rsidRPr="00697277">
        <w:rPr>
          <w:rFonts w:ascii="GHEA Grapalat" w:hAnsi="GHEA Grapalat"/>
          <w:b/>
          <w:bCs/>
          <w:bdr w:val="none" w:sz="0" w:space="0" w:color="auto" w:frame="1"/>
          <w:shd w:val="clear" w:color="auto" w:fill="FFFFFF"/>
          <w:lang w:val="hy-AM" w:eastAsia="lt-LT"/>
        </w:rPr>
        <w:t>ախագծի մշակման գործընթացում ներգրավված ինստիտուտները և անձինք</w:t>
      </w:r>
    </w:p>
    <w:p w14:paraId="056F4072" w14:textId="63BF7B41" w:rsidR="00697277" w:rsidRPr="00697277" w:rsidRDefault="00697277" w:rsidP="00111A1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697277">
        <w:rPr>
          <w:rFonts w:ascii="GHEA Grapalat" w:hAnsi="GHEA Grapalat" w:cs="Sylfaen"/>
          <w:sz w:val="24"/>
          <w:szCs w:val="24"/>
          <w:lang w:val="hy-AM"/>
        </w:rPr>
        <w:t>Տ</w:t>
      </w:r>
      <w:r w:rsidRPr="00697277">
        <w:rPr>
          <w:rFonts w:ascii="GHEA Grapalat" w:hAnsi="GHEA Grapalat"/>
          <w:sz w:val="24"/>
          <w:szCs w:val="24"/>
          <w:lang w:val="hy-AM"/>
        </w:rPr>
        <w:t>արածքային</w:t>
      </w:r>
      <w:r w:rsidRPr="00697277">
        <w:rPr>
          <w:rFonts w:ascii="GHEA Grapalat" w:hAnsi="GHEA Grapalat"/>
          <w:sz w:val="24"/>
          <w:szCs w:val="24"/>
          <w:lang w:val="fi-FI"/>
        </w:rPr>
        <w:t xml:space="preserve"> </w:t>
      </w:r>
      <w:r w:rsidRPr="00697277">
        <w:rPr>
          <w:rFonts w:ascii="GHEA Grapalat" w:hAnsi="GHEA Grapalat"/>
          <w:sz w:val="24"/>
          <w:szCs w:val="24"/>
          <w:lang w:val="hy-AM"/>
        </w:rPr>
        <w:t>կառավարման</w:t>
      </w:r>
      <w:r w:rsidRPr="00697277">
        <w:rPr>
          <w:rFonts w:ascii="GHEA Grapalat" w:hAnsi="GHEA Grapalat"/>
          <w:sz w:val="24"/>
          <w:szCs w:val="24"/>
          <w:lang w:val="fi-FI"/>
        </w:rPr>
        <w:t xml:space="preserve"> </w:t>
      </w:r>
      <w:r w:rsidRPr="00697277">
        <w:rPr>
          <w:rFonts w:ascii="GHEA Grapalat" w:hAnsi="GHEA Grapalat"/>
          <w:sz w:val="24"/>
          <w:szCs w:val="24"/>
          <w:lang w:val="hy-AM"/>
        </w:rPr>
        <w:t>և</w:t>
      </w:r>
      <w:r w:rsidRPr="00697277">
        <w:rPr>
          <w:rFonts w:ascii="GHEA Grapalat" w:hAnsi="GHEA Grapalat"/>
          <w:sz w:val="24"/>
          <w:szCs w:val="24"/>
          <w:lang w:val="fi-FI"/>
        </w:rPr>
        <w:t xml:space="preserve"> </w:t>
      </w:r>
      <w:r w:rsidRPr="00697277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Pr="00697277">
        <w:rPr>
          <w:rFonts w:ascii="GHEA Grapalat" w:hAnsi="GHEA Grapalat"/>
          <w:sz w:val="24"/>
          <w:szCs w:val="24"/>
          <w:lang w:val="fi-FI"/>
        </w:rPr>
        <w:t xml:space="preserve"> </w:t>
      </w:r>
      <w:r w:rsidRPr="00697277">
        <w:rPr>
          <w:rFonts w:ascii="GHEA Grapalat" w:hAnsi="GHEA Grapalat"/>
          <w:sz w:val="24"/>
          <w:szCs w:val="24"/>
          <w:lang w:val="hy-AM"/>
        </w:rPr>
        <w:t>նախարարություն,</w:t>
      </w:r>
      <w:r w:rsidRPr="00697277">
        <w:rPr>
          <w:rFonts w:ascii="GHEA Grapalat" w:hAnsi="GHEA Grapalat"/>
          <w:sz w:val="24"/>
          <w:szCs w:val="24"/>
          <w:lang w:val="fi-FI"/>
        </w:rPr>
        <w:t xml:space="preserve"> 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fi-FI" w:eastAsia="hy-AM"/>
        </w:rPr>
        <w:t>«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  <w:t>Գազպրոմ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fi-FI" w:eastAsia="hy-AM"/>
        </w:rPr>
        <w:t xml:space="preserve"> 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  <w:t>Արմենիա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fi-FI" w:eastAsia="hy-AM"/>
        </w:rPr>
        <w:t xml:space="preserve">» </w:t>
      </w:r>
      <w:r w:rsidRPr="00697277">
        <w:rPr>
          <w:rFonts w:ascii="GHEA Grapalat" w:hAnsi="GHEA Grapalat" w:cs="Arial"/>
          <w:bCs/>
          <w:noProof/>
          <w:spacing w:val="-4"/>
          <w:sz w:val="24"/>
          <w:lang w:val="hy-AM" w:eastAsia="hy-AM"/>
        </w:rPr>
        <w:t>ՓԲԸ</w:t>
      </w:r>
    </w:p>
    <w:p w14:paraId="4B021F95" w14:textId="44F569FC" w:rsidR="00A057AA" w:rsidRPr="00697277" w:rsidRDefault="00A057AA" w:rsidP="0069727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97277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>Տեղեկատվություն</w:t>
      </w:r>
      <w:r w:rsidRPr="00697277">
        <w:rPr>
          <w:rFonts w:ascii="GHEA Grapalat" w:eastAsia="Times New Roman" w:hAnsi="GHEA Grapalat" w:cs="Calibri"/>
          <w:b/>
          <w:bCs/>
          <w:sz w:val="24"/>
          <w:szCs w:val="24"/>
          <w:lang w:val="fr-FR"/>
        </w:rPr>
        <w:t xml:space="preserve"> </w:t>
      </w:r>
      <w:r w:rsidRPr="00697277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2B82758A" w14:textId="77777777" w:rsidR="00A057AA" w:rsidRPr="00697277" w:rsidRDefault="00A057AA" w:rsidP="00111A14">
      <w:pPr>
        <w:shd w:val="clear" w:color="auto" w:fill="FFFFFF"/>
        <w:spacing w:after="0" w:line="360" w:lineRule="auto"/>
        <w:ind w:left="36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9727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Նախագծի</w:t>
      </w:r>
      <w:r w:rsidRPr="00697277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ընդունման կապակցությամբ </w:t>
      </w:r>
      <w:r w:rsidRPr="00697277">
        <w:rPr>
          <w:rFonts w:ascii="GHEA Grapalat" w:eastAsia="Times New Roman" w:hAnsi="GHEA Grapalat" w:cs="Sylfaen"/>
          <w:sz w:val="24"/>
          <w:szCs w:val="24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14:paraId="46E403E0" w14:textId="51091F43" w:rsidR="003543D3" w:rsidRPr="00697277" w:rsidRDefault="003543D3" w:rsidP="00697277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9727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347592ED" w14:textId="4711498A" w:rsidR="003543D3" w:rsidRPr="00697277" w:rsidRDefault="003543D3" w:rsidP="00697277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69727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Նախագիծը </w:t>
      </w:r>
      <w:r w:rsidR="00111A1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չի բխում վե</w:t>
      </w:r>
      <w:r w:rsidR="000F4DA2" w:rsidRPr="000F4DA2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ր</w:t>
      </w:r>
      <w:r w:rsidR="00111A1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ոնշյալ փաստաթղթերից։ Սակայն, </w:t>
      </w:r>
      <w:r w:rsidR="00111A14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ՀՀ կառավարության 2023 </w:t>
      </w:r>
      <w:r w:rsidR="00111A14" w:rsidRPr="00697277">
        <w:rPr>
          <w:rFonts w:ascii="GHEA Grapalat" w:hAnsi="GHEA Grapalat" w:cs="Sylfaen"/>
          <w:noProof/>
          <w:spacing w:val="-4"/>
          <w:lang w:val="hy-AM"/>
        </w:rPr>
        <w:t>թվականի</w:t>
      </w:r>
      <w:r w:rsidR="00111A14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 հունիսի 16-ի N 970-Լ որոշմա</w:t>
      </w:r>
      <w:r w:rsidR="00111A14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>ն ընդունումը</w:t>
      </w:r>
      <w:r w:rsidR="00111A14" w:rsidRPr="00697277">
        <w:rPr>
          <w:rFonts w:ascii="GHEA Grapalat" w:hAnsi="GHEA Grapalat" w:cs="Arial"/>
          <w:bCs/>
          <w:noProof/>
          <w:spacing w:val="-4"/>
          <w:sz w:val="24"/>
          <w:szCs w:val="24"/>
          <w:lang w:val="hy-AM"/>
        </w:rPr>
        <w:t xml:space="preserve"> </w:t>
      </w:r>
      <w:r w:rsidRPr="0069727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բխ</w:t>
      </w:r>
      <w:r w:rsidR="00111A1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ել է</w:t>
      </w:r>
      <w:r w:rsidRPr="0069727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ՀՀ կառավարության 2021-2026թթ. ծրագրի </w:t>
      </w:r>
      <w:r w:rsidR="009B7FB2" w:rsidRPr="0069727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«2.6 ՈՐԱԿԻ ԵՆԹԱԿԱՌՈՒՑՎԱԾՔ» և </w:t>
      </w:r>
      <w:r w:rsidRPr="0069727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«2.7 ՔԱՂԱՔԱՇԻՆՈՒԹՅՈՒՆ»</w:t>
      </w:r>
      <w:r w:rsidR="00822BD5" w:rsidRPr="0069727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Pr="0069727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կետերից։ </w:t>
      </w:r>
    </w:p>
    <w:sectPr w:rsidR="003543D3" w:rsidRPr="00697277" w:rsidSect="003543D3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334"/>
    <w:multiLevelType w:val="hybridMultilevel"/>
    <w:tmpl w:val="8538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7F0"/>
    <w:multiLevelType w:val="multilevel"/>
    <w:tmpl w:val="48FEA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216D7"/>
    <w:multiLevelType w:val="multilevel"/>
    <w:tmpl w:val="BDE4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E0279"/>
    <w:multiLevelType w:val="multilevel"/>
    <w:tmpl w:val="2564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C72F0"/>
    <w:multiLevelType w:val="multilevel"/>
    <w:tmpl w:val="5912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F6CDD"/>
    <w:multiLevelType w:val="hybridMultilevel"/>
    <w:tmpl w:val="03AE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643C"/>
    <w:multiLevelType w:val="hybridMultilevel"/>
    <w:tmpl w:val="314A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0D4E"/>
    <w:multiLevelType w:val="multilevel"/>
    <w:tmpl w:val="46360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774930">
    <w:abstractNumId w:val="3"/>
  </w:num>
  <w:num w:numId="2" w16cid:durableId="2006546352">
    <w:abstractNumId w:val="1"/>
  </w:num>
  <w:num w:numId="3" w16cid:durableId="1507555051">
    <w:abstractNumId w:val="2"/>
  </w:num>
  <w:num w:numId="4" w16cid:durableId="1012298653">
    <w:abstractNumId w:val="4"/>
  </w:num>
  <w:num w:numId="5" w16cid:durableId="1437824397">
    <w:abstractNumId w:val="7"/>
  </w:num>
  <w:num w:numId="6" w16cid:durableId="1134522489">
    <w:abstractNumId w:val="0"/>
  </w:num>
  <w:num w:numId="7" w16cid:durableId="2096127009">
    <w:abstractNumId w:val="5"/>
  </w:num>
  <w:num w:numId="8" w16cid:durableId="376245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D3"/>
    <w:rsid w:val="000F4DA2"/>
    <w:rsid w:val="00111A14"/>
    <w:rsid w:val="00123566"/>
    <w:rsid w:val="00161F64"/>
    <w:rsid w:val="002B3604"/>
    <w:rsid w:val="003543D3"/>
    <w:rsid w:val="00465115"/>
    <w:rsid w:val="004765BC"/>
    <w:rsid w:val="00697277"/>
    <w:rsid w:val="006C3CD6"/>
    <w:rsid w:val="00701A97"/>
    <w:rsid w:val="00752077"/>
    <w:rsid w:val="00822BD5"/>
    <w:rsid w:val="008A3C75"/>
    <w:rsid w:val="00907D99"/>
    <w:rsid w:val="00946E12"/>
    <w:rsid w:val="00964150"/>
    <w:rsid w:val="009B7FB2"/>
    <w:rsid w:val="009E61C3"/>
    <w:rsid w:val="00A057AA"/>
    <w:rsid w:val="00B138F2"/>
    <w:rsid w:val="00B51A21"/>
    <w:rsid w:val="00C11DE7"/>
    <w:rsid w:val="00CB2ABB"/>
    <w:rsid w:val="00D56E1C"/>
    <w:rsid w:val="00D960DD"/>
    <w:rsid w:val="00E6771C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A2AE"/>
  <w15:chartTrackingRefBased/>
  <w15:docId w15:val="{A4E0F5EA-9FC3-4C69-A454-CA7F302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43D3"/>
    <w:rPr>
      <w:b/>
      <w:bCs/>
    </w:rPr>
  </w:style>
  <w:style w:type="paragraph" w:styleId="a5">
    <w:name w:val="List Paragraph"/>
    <w:basedOn w:val="a"/>
    <w:uiPriority w:val="34"/>
    <w:qFormat/>
    <w:rsid w:val="00A057AA"/>
    <w:pPr>
      <w:ind w:left="720"/>
      <w:contextualSpacing/>
    </w:pPr>
  </w:style>
  <w:style w:type="paragraph" w:customStyle="1" w:styleId="mechtex">
    <w:name w:val="mechtex"/>
    <w:basedOn w:val="a"/>
    <w:link w:val="mechtexChar"/>
    <w:uiPriority w:val="99"/>
    <w:qFormat/>
    <w:rsid w:val="006C3CD6"/>
    <w:pPr>
      <w:spacing w:after="0" w:line="240" w:lineRule="auto"/>
      <w:jc w:val="center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mechtexChar">
    <w:name w:val="mechtex Char"/>
    <w:link w:val="mechtex"/>
    <w:uiPriority w:val="99"/>
    <w:rsid w:val="006C3CD6"/>
    <w:rPr>
      <w:rFonts w:ascii="Arial Armenian" w:eastAsia="Times New Roman" w:hAnsi="Arial Armeni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Armen Hovhannisyan</cp:lastModifiedBy>
  <cp:revision>26</cp:revision>
  <cp:lastPrinted>2023-06-13T04:37:00Z</cp:lastPrinted>
  <dcterms:created xsi:type="dcterms:W3CDTF">2023-05-04T04:39:00Z</dcterms:created>
  <dcterms:modified xsi:type="dcterms:W3CDTF">2023-11-16T13:26:00Z</dcterms:modified>
</cp:coreProperties>
</file>