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79A0" w14:textId="77777777" w:rsidR="002F1732" w:rsidRPr="00C86A4B" w:rsidRDefault="002F1732" w:rsidP="002F1732">
      <w:pPr>
        <w:spacing w:line="360" w:lineRule="auto"/>
        <w:jc w:val="right"/>
        <w:rPr>
          <w:rFonts w:ascii="GHEA Grapalat" w:hAnsi="GHEA Grapalat"/>
          <w:sz w:val="24"/>
          <w:szCs w:val="24"/>
        </w:rPr>
      </w:pPr>
      <w:r w:rsidRPr="00C86A4B">
        <w:rPr>
          <w:rFonts w:ascii="GHEA Grapalat" w:hAnsi="GHEA Grapalat"/>
          <w:sz w:val="24"/>
          <w:szCs w:val="24"/>
        </w:rPr>
        <w:t>ՆԱԽԱԳԻԾ</w:t>
      </w:r>
    </w:p>
    <w:p w14:paraId="00A8D5C8" w14:textId="77777777" w:rsidR="002F1732" w:rsidRPr="00C86A4B" w:rsidRDefault="002F1732" w:rsidP="002F1732">
      <w:pPr>
        <w:spacing w:line="360" w:lineRule="auto"/>
        <w:jc w:val="center"/>
        <w:rPr>
          <w:rFonts w:ascii="GHEA Grapalat" w:hAnsi="GHEA Grapalat"/>
          <w:sz w:val="24"/>
          <w:szCs w:val="24"/>
        </w:rPr>
      </w:pPr>
      <w:r w:rsidRPr="00C86A4B">
        <w:rPr>
          <w:rFonts w:ascii="GHEA Grapalat" w:hAnsi="GHEA Grapalat"/>
          <w:sz w:val="24"/>
          <w:szCs w:val="24"/>
        </w:rPr>
        <w:t>ՀԱՅԱՍՏԱՆԻ ՀԱՆՐԱՊԵՏՈՒԹՅԱՆ ԿԱՌԱՎԱՐՈՒԹՅՈՒՆ</w:t>
      </w:r>
    </w:p>
    <w:p w14:paraId="681E0749" w14:textId="77777777" w:rsidR="002F1732" w:rsidRPr="00C86A4B" w:rsidRDefault="002F1732" w:rsidP="002F1732">
      <w:pPr>
        <w:spacing w:line="360" w:lineRule="auto"/>
        <w:jc w:val="center"/>
        <w:rPr>
          <w:rFonts w:ascii="GHEA Grapalat" w:hAnsi="GHEA Grapalat"/>
          <w:sz w:val="24"/>
          <w:szCs w:val="24"/>
        </w:rPr>
      </w:pPr>
      <w:r w:rsidRPr="00C86A4B">
        <w:rPr>
          <w:rFonts w:ascii="GHEA Grapalat" w:hAnsi="GHEA Grapalat"/>
          <w:sz w:val="24"/>
          <w:szCs w:val="24"/>
        </w:rPr>
        <w:t>ՈՐՈՇՈՒՄ</w:t>
      </w:r>
    </w:p>
    <w:p w14:paraId="630A6D1C" w14:textId="77777777" w:rsidR="002F1732" w:rsidRPr="00C86A4B" w:rsidRDefault="002F1732" w:rsidP="002F1732">
      <w:pPr>
        <w:spacing w:line="360" w:lineRule="auto"/>
        <w:jc w:val="center"/>
        <w:rPr>
          <w:rFonts w:ascii="GHEA Grapalat" w:hAnsi="GHEA Grapalat"/>
          <w:sz w:val="24"/>
          <w:szCs w:val="24"/>
          <w:lang w:val="hy-AM"/>
        </w:rPr>
      </w:pPr>
      <w:r w:rsidRPr="00C86A4B">
        <w:rPr>
          <w:rFonts w:ascii="GHEA Grapalat" w:hAnsi="GHEA Grapalat"/>
          <w:sz w:val="24"/>
          <w:szCs w:val="24"/>
        </w:rPr>
        <w:t>«____»_______________202</w:t>
      </w:r>
      <w:r w:rsidRPr="00C86A4B">
        <w:rPr>
          <w:rFonts w:ascii="GHEA Grapalat" w:hAnsi="GHEA Grapalat"/>
          <w:sz w:val="24"/>
          <w:szCs w:val="24"/>
          <w:lang w:val="hy-AM"/>
        </w:rPr>
        <w:t>3</w:t>
      </w:r>
      <w:r w:rsidRPr="00C86A4B">
        <w:rPr>
          <w:rFonts w:ascii="GHEA Grapalat" w:hAnsi="GHEA Grapalat"/>
          <w:sz w:val="24"/>
          <w:szCs w:val="24"/>
        </w:rPr>
        <w:t xml:space="preserve"> թ. №_____-Ն</w:t>
      </w:r>
    </w:p>
    <w:p w14:paraId="2208BE90" w14:textId="4754ABA4" w:rsidR="002F1732" w:rsidRPr="00C86A4B" w:rsidRDefault="002F1732" w:rsidP="002F1732">
      <w:pPr>
        <w:spacing w:line="360" w:lineRule="auto"/>
        <w:jc w:val="center"/>
        <w:rPr>
          <w:rFonts w:ascii="GHEA Grapalat" w:hAnsi="GHEA Grapalat"/>
          <w:sz w:val="24"/>
          <w:szCs w:val="24"/>
          <w:lang w:val="hy-AM"/>
        </w:rPr>
      </w:pPr>
      <w:r w:rsidRPr="00C86A4B">
        <w:rPr>
          <w:rFonts w:ascii="GHEA Grapalat" w:hAnsi="GHEA Grapalat"/>
          <w:sz w:val="24"/>
          <w:szCs w:val="24"/>
          <w:lang w:val="hy-AM"/>
        </w:rPr>
        <w:t xml:space="preserve">ՀԱՅԱՍՏԱՆԻ ՀԱՆՐԱՊԵՏՈՒԹՅԱՆ ԿԱՌԱՎԱՐՈՒԹՅԱՆ 2014 ԹՎԱԿԱՆԻ ՀՈՒԼԻՍԻ 3-Ի </w:t>
      </w:r>
      <w:r w:rsidRPr="002F1732">
        <w:rPr>
          <w:rFonts w:ascii="GHEA Grapalat" w:hAnsi="GHEA Grapalat"/>
          <w:sz w:val="24"/>
          <w:szCs w:val="24"/>
          <w:lang w:val="hy-AM"/>
        </w:rPr>
        <w:t>№</w:t>
      </w:r>
      <w:r w:rsidRPr="00C86A4B">
        <w:rPr>
          <w:rFonts w:ascii="GHEA Grapalat" w:hAnsi="GHEA Grapalat"/>
          <w:sz w:val="24"/>
          <w:szCs w:val="24"/>
          <w:lang w:val="hy-AM"/>
        </w:rPr>
        <w:t xml:space="preserve"> 737-Ն ՈՐՈՇՄԱՆ ՄԵՋ  ԼՐԱՑՈՒՄՆԵՐ  ԿԱՏԱՐԵԼՈՒ ՄԱՍԻՆ</w:t>
      </w:r>
    </w:p>
    <w:p w14:paraId="448369A9" w14:textId="77777777" w:rsidR="002F1732" w:rsidRPr="00C86A4B" w:rsidRDefault="002F1732" w:rsidP="002F1732">
      <w:pPr>
        <w:spacing w:line="360" w:lineRule="auto"/>
        <w:jc w:val="both"/>
        <w:rPr>
          <w:rFonts w:ascii="GHEA Grapalat" w:hAnsi="GHEA Grapalat"/>
          <w:sz w:val="24"/>
          <w:szCs w:val="24"/>
          <w:lang w:val="hy-AM"/>
        </w:rPr>
      </w:pPr>
    </w:p>
    <w:p w14:paraId="00795FF3" w14:textId="77777777" w:rsidR="002F1732" w:rsidRPr="00C86A4B" w:rsidRDefault="002F1732" w:rsidP="002F1732">
      <w:pPr>
        <w:spacing w:after="0" w:line="360" w:lineRule="auto"/>
        <w:ind w:firstLine="720"/>
        <w:jc w:val="both"/>
        <w:rPr>
          <w:rFonts w:ascii="GHEA Grapalat" w:hAnsi="GHEA Grapalat"/>
          <w:sz w:val="24"/>
          <w:szCs w:val="24"/>
          <w:lang w:val="hy-AM"/>
        </w:rPr>
      </w:pPr>
      <w:r w:rsidRPr="00C86A4B">
        <w:rPr>
          <w:rFonts w:ascii="GHEA Grapalat" w:hAnsi="GHEA Grapalat"/>
          <w:sz w:val="24"/>
          <w:szCs w:val="24"/>
          <w:lang w:val="hy-AM"/>
        </w:rPr>
        <w:t xml:space="preserve">Ղեկավարվելով «Նորմատիվ իրավական ակտերի մասին» օրենքի 33-րդ և 34-րդ հոդվածներով՝ </w:t>
      </w:r>
      <w:r w:rsidRPr="00C86A4B">
        <w:rPr>
          <w:rFonts w:ascii="GHEA Grapalat" w:hAnsi="GHEA Grapalat"/>
          <w:b/>
          <w:i/>
          <w:sz w:val="24"/>
          <w:szCs w:val="24"/>
          <w:lang w:val="hy-AM"/>
        </w:rPr>
        <w:t>Հայաստանի Հանրապետության կառավարությունը որոշում է</w:t>
      </w:r>
      <w:r w:rsidRPr="00C86A4B">
        <w:rPr>
          <w:rFonts w:ascii="GHEA Grapalat" w:hAnsi="GHEA Grapalat"/>
          <w:sz w:val="24"/>
          <w:szCs w:val="24"/>
          <w:lang w:val="hy-AM"/>
        </w:rPr>
        <w:t>՝</w:t>
      </w:r>
    </w:p>
    <w:p w14:paraId="4B62A1CD" w14:textId="79F91DA8" w:rsidR="002F1732" w:rsidRPr="00C86A4B" w:rsidRDefault="002F1732" w:rsidP="002F1732">
      <w:pPr>
        <w:spacing w:after="0" w:line="360" w:lineRule="auto"/>
        <w:ind w:firstLine="720"/>
        <w:jc w:val="both"/>
        <w:rPr>
          <w:rFonts w:ascii="GHEA Grapalat" w:hAnsi="GHEA Grapalat"/>
          <w:sz w:val="24"/>
          <w:szCs w:val="24"/>
          <w:lang w:val="hy-AM"/>
        </w:rPr>
      </w:pPr>
      <w:r w:rsidRPr="00C86A4B">
        <w:rPr>
          <w:rFonts w:ascii="GHEA Grapalat" w:hAnsi="GHEA Grapalat"/>
          <w:sz w:val="24"/>
          <w:szCs w:val="24"/>
          <w:lang w:val="hy-AM"/>
        </w:rPr>
        <w:t>1. Հայաստանի Հանրապետության կառավարության 2014 թվականի հուլիսի 3-ի «Պետական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 № 737-Ն որոշման (այսուհետ՝ որոշում) մեջ կատարել հետևյալ լրացումները.</w:t>
      </w:r>
    </w:p>
    <w:p w14:paraId="21E61BFA" w14:textId="1E4A81E9" w:rsidR="002F1732" w:rsidRPr="00C86A4B" w:rsidRDefault="002F1732" w:rsidP="002F1732">
      <w:pPr>
        <w:spacing w:after="0" w:line="360" w:lineRule="auto"/>
        <w:ind w:firstLine="720"/>
        <w:jc w:val="both"/>
        <w:rPr>
          <w:rFonts w:ascii="GHEA Grapalat" w:hAnsi="GHEA Grapalat"/>
          <w:b/>
          <w:bCs/>
          <w:i/>
          <w:iCs/>
          <w:sz w:val="24"/>
          <w:szCs w:val="24"/>
          <w:lang w:val="hy-AM"/>
        </w:rPr>
      </w:pPr>
      <w:r w:rsidRPr="00C86A4B">
        <w:rPr>
          <w:rFonts w:ascii="GHEA Grapalat" w:hAnsi="GHEA Grapalat"/>
          <w:b/>
          <w:bCs/>
          <w:i/>
          <w:iCs/>
          <w:sz w:val="24"/>
          <w:szCs w:val="24"/>
          <w:lang w:val="hy-AM"/>
        </w:rPr>
        <w:t>1) որոշման 1-ին կետը լրացնել հետևյալ բովանդակությամբ 7-րդ ենթակետով.</w:t>
      </w:r>
    </w:p>
    <w:p w14:paraId="13CC1758" w14:textId="2D72DEF2" w:rsidR="002F1732" w:rsidRPr="00C86A4B" w:rsidRDefault="002F1732" w:rsidP="002F1732">
      <w:pPr>
        <w:spacing w:after="0" w:line="360" w:lineRule="auto"/>
        <w:ind w:firstLine="720"/>
        <w:jc w:val="both"/>
        <w:rPr>
          <w:rFonts w:ascii="GHEA Grapalat" w:hAnsi="GHEA Grapalat"/>
          <w:sz w:val="24"/>
          <w:szCs w:val="24"/>
          <w:lang w:val="hy-AM"/>
        </w:rPr>
      </w:pPr>
      <w:r w:rsidRPr="00C86A4B">
        <w:rPr>
          <w:rFonts w:ascii="GHEA Grapalat" w:hAnsi="GHEA Grapalat"/>
          <w:sz w:val="24"/>
          <w:szCs w:val="24"/>
          <w:lang w:val="hy-AM"/>
        </w:rPr>
        <w:t xml:space="preserve">«7) </w:t>
      </w:r>
      <w:bookmarkStart w:id="0" w:name="_Hlk147411775"/>
      <w:r w:rsidRPr="00C86A4B">
        <w:rPr>
          <w:rFonts w:ascii="GHEA Grapalat" w:hAnsi="GHEA Grapalat"/>
          <w:sz w:val="24"/>
          <w:szCs w:val="24"/>
          <w:lang w:val="hy-AM"/>
        </w:rPr>
        <w:t>Միջուկային անվտանգության կարգավորման կոմիտեի</w:t>
      </w:r>
      <w:r w:rsidRPr="00C86A4B">
        <w:rPr>
          <w:rFonts w:ascii="GHEA Grapalat" w:hAnsi="GHEA Grapalat"/>
          <w:b/>
          <w:bCs/>
          <w:sz w:val="24"/>
          <w:szCs w:val="24"/>
          <w:lang w:val="hy-AM"/>
        </w:rPr>
        <w:t xml:space="preserve"> </w:t>
      </w:r>
      <w:r w:rsidRPr="00C86A4B">
        <w:rPr>
          <w:rFonts w:ascii="GHEA Grapalat" w:hAnsi="GHEA Grapalat"/>
          <w:sz w:val="24"/>
          <w:szCs w:val="24"/>
          <w:lang w:val="hy-AM"/>
        </w:rPr>
        <w:t xml:space="preserve">միջուկային անվտանգության, </w:t>
      </w:r>
      <w:r w:rsidRPr="00C86A4B">
        <w:rPr>
          <w:rFonts w:ascii="GHEA Grapalat" w:hAnsi="GHEA Grapalat"/>
          <w:bCs/>
          <w:sz w:val="24"/>
          <w:szCs w:val="24"/>
          <w:lang w:val="hy-AM"/>
        </w:rPr>
        <w:t>ճառագայթային անվտանգության</w:t>
      </w:r>
      <w:r w:rsidRPr="00C86A4B">
        <w:rPr>
          <w:rFonts w:ascii="GHEA Grapalat" w:hAnsi="GHEA Grapalat"/>
          <w:sz w:val="24"/>
          <w:szCs w:val="24"/>
          <w:lang w:val="hy-AM"/>
        </w:rPr>
        <w:t xml:space="preserve"> և տեխնիկական </w:t>
      </w:r>
      <w:r w:rsidR="007526D8">
        <w:rPr>
          <w:rFonts w:ascii="GHEA Grapalat" w:hAnsi="GHEA Grapalat"/>
          <w:sz w:val="24"/>
          <w:szCs w:val="24"/>
          <w:lang w:val="hy-AM"/>
        </w:rPr>
        <w:t>ստորաբաժանումների</w:t>
      </w:r>
      <w:r w:rsidRPr="00C86A4B">
        <w:rPr>
          <w:rFonts w:ascii="GHEA Grapalat" w:hAnsi="GHEA Grapalat"/>
          <w:sz w:val="24"/>
          <w:szCs w:val="24"/>
          <w:lang w:val="hy-AM"/>
        </w:rPr>
        <w:t xml:space="preserve"> </w:t>
      </w:r>
      <w:bookmarkEnd w:id="0"/>
      <w:r w:rsidRPr="00C86A4B">
        <w:rPr>
          <w:rFonts w:ascii="GHEA Grapalat" w:hAnsi="GHEA Grapalat"/>
          <w:sz w:val="24"/>
          <w:szCs w:val="24"/>
          <w:lang w:val="hy-AM"/>
        </w:rPr>
        <w:t xml:space="preserve">քաղաքացիական աշխատանք կատարող անձանց հավելավճարների վճարման պայմանները, դեպքերը, կարգը և չափերը՝ համաձայն </w:t>
      </w:r>
      <w:r w:rsidRPr="00C86A4B">
        <w:rPr>
          <w:rFonts w:ascii="GHEA Grapalat" w:hAnsi="GHEA Grapalat"/>
          <w:sz w:val="24"/>
          <w:szCs w:val="24"/>
          <w:lang w:val="hy-AM"/>
        </w:rPr>
        <w:br/>
        <w:t>№ 7 հավելվածի</w:t>
      </w:r>
      <w:r w:rsidR="00B30C53">
        <w:rPr>
          <w:rFonts w:ascii="GHEA Grapalat" w:hAnsi="GHEA Grapalat"/>
          <w:sz w:val="24"/>
          <w:szCs w:val="24"/>
          <w:lang w:val="hy-AM"/>
        </w:rPr>
        <w:t>։</w:t>
      </w:r>
      <w:r w:rsidRPr="00C86A4B">
        <w:rPr>
          <w:rFonts w:ascii="GHEA Grapalat" w:hAnsi="GHEA Grapalat"/>
          <w:sz w:val="24"/>
          <w:szCs w:val="24"/>
          <w:lang w:val="hy-AM"/>
        </w:rPr>
        <w:t>»</w:t>
      </w:r>
      <w:r w:rsidRPr="00B30C53">
        <w:rPr>
          <w:rFonts w:ascii="GHEA Grapalat" w:hAnsi="GHEA Grapalat"/>
          <w:sz w:val="24"/>
          <w:szCs w:val="24"/>
          <w:lang w:val="hy-AM"/>
        </w:rPr>
        <w:t>:</w:t>
      </w:r>
    </w:p>
    <w:p w14:paraId="17A8566D" w14:textId="73C7B3C6" w:rsidR="002F1732" w:rsidRPr="00C86A4B" w:rsidRDefault="002F1732" w:rsidP="002F1732">
      <w:pPr>
        <w:spacing w:after="0" w:line="360" w:lineRule="auto"/>
        <w:ind w:firstLine="720"/>
        <w:jc w:val="both"/>
        <w:rPr>
          <w:rFonts w:ascii="GHEA Grapalat" w:hAnsi="GHEA Grapalat"/>
          <w:sz w:val="24"/>
          <w:szCs w:val="24"/>
          <w:lang w:val="hy-AM"/>
        </w:rPr>
      </w:pPr>
      <w:r w:rsidRPr="00C86A4B">
        <w:rPr>
          <w:rFonts w:ascii="GHEA Grapalat" w:hAnsi="GHEA Grapalat"/>
          <w:sz w:val="24"/>
          <w:szCs w:val="24"/>
          <w:lang w:val="hy-AM"/>
        </w:rPr>
        <w:t>2) որոշման № 1 հավելված</w:t>
      </w:r>
      <w:r w:rsidR="00EF4A5F">
        <w:rPr>
          <w:rFonts w:ascii="GHEA Grapalat" w:hAnsi="GHEA Grapalat"/>
          <w:sz w:val="24"/>
          <w:szCs w:val="24"/>
          <w:lang w:val="hy-AM"/>
        </w:rPr>
        <w:t>ը լրացնել</w:t>
      </w:r>
      <w:r w:rsidRPr="00C86A4B">
        <w:rPr>
          <w:rFonts w:ascii="GHEA Grapalat" w:hAnsi="GHEA Grapalat"/>
          <w:sz w:val="24"/>
          <w:szCs w:val="24"/>
          <w:lang w:val="hy-AM"/>
        </w:rPr>
        <w:t xml:space="preserve"> հետևյալ բովանդակությամբ </w:t>
      </w:r>
      <w:r w:rsidR="00EF4A5F" w:rsidRPr="00B30C53">
        <w:rPr>
          <w:rFonts w:ascii="GHEA Grapalat" w:hAnsi="GHEA Grapalat"/>
          <w:sz w:val="24"/>
          <w:szCs w:val="24"/>
          <w:lang w:val="hy-AM"/>
        </w:rPr>
        <w:t>նոր</w:t>
      </w:r>
      <w:r w:rsidR="00EF4A5F">
        <w:rPr>
          <w:rFonts w:ascii="GHEA Grapalat" w:hAnsi="GHEA Grapalat"/>
          <w:sz w:val="24"/>
          <w:szCs w:val="24"/>
          <w:lang w:val="hy-AM"/>
        </w:rPr>
        <w:t xml:space="preserve"> բաժնով՝</w:t>
      </w:r>
    </w:p>
    <w:p w14:paraId="300843B4" w14:textId="77777777" w:rsidR="002F1732" w:rsidRPr="00C86A4B" w:rsidRDefault="002F1732" w:rsidP="002F1732">
      <w:pPr>
        <w:tabs>
          <w:tab w:val="left" w:pos="1375"/>
        </w:tabs>
        <w:spacing w:after="0" w:line="360" w:lineRule="auto"/>
        <w:ind w:firstLine="720"/>
        <w:jc w:val="both"/>
        <w:rPr>
          <w:rFonts w:ascii="GHEA Grapalat" w:hAnsi="GHEA Grapalat"/>
          <w:sz w:val="24"/>
          <w:szCs w:val="24"/>
          <w:lang w:val="hy-AM"/>
        </w:rPr>
      </w:pPr>
      <w:r w:rsidRPr="00C86A4B">
        <w:rPr>
          <w:rFonts w:ascii="GHEA Grapalat" w:hAnsi="GHEA Grapalat"/>
          <w:sz w:val="24"/>
          <w:szCs w:val="24"/>
          <w:lang w:val="hy-AM"/>
        </w:rPr>
        <w:t>«</w:t>
      </w:r>
      <w:r w:rsidRPr="00C86A4B">
        <w:rPr>
          <w:rFonts w:ascii="GHEA Grapalat" w:hAnsi="GHEA Grapalat"/>
          <w:sz w:val="24"/>
          <w:szCs w:val="24"/>
          <w:lang w:val="hy-AM"/>
        </w:rPr>
        <w:tab/>
      </w:r>
    </w:p>
    <w:p w14:paraId="481A1B65" w14:textId="77777777" w:rsidR="002F1732" w:rsidRPr="00C86A4B" w:rsidRDefault="002F1732" w:rsidP="002F1732">
      <w:pPr>
        <w:tabs>
          <w:tab w:val="left" w:pos="1375"/>
        </w:tabs>
        <w:spacing w:after="0" w:line="360" w:lineRule="auto"/>
        <w:ind w:firstLine="720"/>
        <w:jc w:val="both"/>
        <w:rPr>
          <w:rFonts w:ascii="GHEA Grapalat" w:hAnsi="GHEA Grapalat"/>
          <w:sz w:val="24"/>
          <w:szCs w:val="24"/>
          <w:lang w:val="hy-AM"/>
        </w:rPr>
      </w:pPr>
    </w:p>
    <w:p w14:paraId="2C99C4B7" w14:textId="77777777" w:rsidR="002F1732" w:rsidRPr="00C86A4B" w:rsidRDefault="002F1732" w:rsidP="002F1732">
      <w:pPr>
        <w:spacing w:after="0" w:line="360" w:lineRule="auto"/>
        <w:ind w:firstLine="720"/>
        <w:jc w:val="right"/>
        <w:rPr>
          <w:rFonts w:ascii="GHEA Grapalat" w:hAnsi="GHEA Grapalat"/>
          <w:sz w:val="24"/>
          <w:szCs w:val="24"/>
          <w:lang w:val="hy-AM"/>
        </w:rPr>
      </w:pPr>
    </w:p>
    <w:tbl>
      <w:tblPr>
        <w:tblStyle w:val="TableGrid"/>
        <w:tblW w:w="9594" w:type="dxa"/>
        <w:tblInd w:w="-5" w:type="dxa"/>
        <w:tblLayout w:type="fixed"/>
        <w:tblLook w:val="04A0" w:firstRow="1" w:lastRow="0" w:firstColumn="1" w:lastColumn="0" w:noHBand="0" w:noVBand="1"/>
      </w:tblPr>
      <w:tblGrid>
        <w:gridCol w:w="810"/>
        <w:gridCol w:w="6987"/>
        <w:gridCol w:w="1797"/>
      </w:tblGrid>
      <w:tr w:rsidR="002F1732" w:rsidRPr="002451D7" w14:paraId="35491E9B" w14:textId="77777777" w:rsidTr="00B93DA7">
        <w:tc>
          <w:tcPr>
            <w:tcW w:w="9594" w:type="dxa"/>
            <w:gridSpan w:val="3"/>
          </w:tcPr>
          <w:p w14:paraId="221C5DD9" w14:textId="653244C0" w:rsidR="002F1732" w:rsidRPr="00C86A4B" w:rsidRDefault="002F1732" w:rsidP="00B93DA7">
            <w:pPr>
              <w:tabs>
                <w:tab w:val="left" w:pos="1375"/>
              </w:tabs>
              <w:spacing w:line="360" w:lineRule="auto"/>
              <w:jc w:val="center"/>
              <w:rPr>
                <w:rFonts w:ascii="GHEA Grapalat" w:hAnsi="GHEA Grapalat"/>
                <w:sz w:val="24"/>
                <w:szCs w:val="24"/>
                <w:highlight w:val="green"/>
                <w:lang w:val="hy-AM"/>
              </w:rPr>
            </w:pPr>
            <w:bookmarkStart w:id="1" w:name="_Hlk147412520"/>
            <w:r w:rsidRPr="00C86A4B">
              <w:rPr>
                <w:rFonts w:ascii="GHEA Grapalat" w:eastAsia="Times New Roman" w:hAnsi="GHEA Grapalat" w:cs="Times New Roman"/>
                <w:sz w:val="24"/>
                <w:szCs w:val="24"/>
                <w:lang w:val="hy-AM"/>
              </w:rPr>
              <w:lastRenderedPageBreak/>
              <w:t>ՄԻՋՈՒԿԱՅԻՆ ԱՆՎՏԱՆԳՈՒԹՅԱՆ ԿԱՐԳԱՎՈՐՄԱՆ ԿՈՄԻՏԵԻ</w:t>
            </w:r>
            <w:r w:rsidRPr="00C86A4B">
              <w:rPr>
                <w:rFonts w:ascii="GHEA Grapalat" w:eastAsia="Times New Roman" w:hAnsi="GHEA Grapalat" w:cs="Times New Roman"/>
                <w:b/>
                <w:bCs/>
                <w:sz w:val="24"/>
                <w:szCs w:val="24"/>
                <w:lang w:val="hy-AM"/>
              </w:rPr>
              <w:t xml:space="preserve"> </w:t>
            </w:r>
            <w:r w:rsidRPr="00C86A4B">
              <w:rPr>
                <w:rFonts w:ascii="GHEA Grapalat" w:eastAsia="Times New Roman" w:hAnsi="GHEA Grapalat" w:cs="Times New Roman"/>
                <w:sz w:val="24"/>
                <w:szCs w:val="24"/>
                <w:lang w:val="hy-AM"/>
              </w:rPr>
              <w:t xml:space="preserve">ՄԻՋՈՒԿԱՅԻՆ ԱՆՎՏԱՆԳՈՒԹՅԱՆ, </w:t>
            </w:r>
            <w:r w:rsidRPr="00C86A4B">
              <w:rPr>
                <w:rFonts w:ascii="GHEA Grapalat" w:eastAsia="Times New Roman" w:hAnsi="GHEA Grapalat" w:cs="Times New Roman"/>
                <w:bCs/>
                <w:sz w:val="24"/>
                <w:szCs w:val="24"/>
                <w:lang w:val="hy-AM"/>
              </w:rPr>
              <w:t xml:space="preserve">ՃԱՌԱԳԱՅԹԱՅԻՆ ԱՆՎՏԱՆԳՈՒԹՅԱՆ  </w:t>
            </w:r>
            <w:r w:rsidRPr="00C86A4B">
              <w:rPr>
                <w:rFonts w:ascii="GHEA Grapalat" w:eastAsia="Times New Roman" w:hAnsi="GHEA Grapalat" w:cs="Times New Roman"/>
                <w:sz w:val="24"/>
                <w:szCs w:val="24"/>
                <w:lang w:val="hy-AM"/>
              </w:rPr>
              <w:t xml:space="preserve">ԵՎ ՏԵԽՆԻԿԱԿԱՆ </w:t>
            </w:r>
            <w:bookmarkEnd w:id="1"/>
            <w:r w:rsidR="007526D8">
              <w:rPr>
                <w:rFonts w:ascii="GHEA Grapalat" w:eastAsia="Times New Roman" w:hAnsi="GHEA Grapalat" w:cs="Times New Roman"/>
                <w:sz w:val="24"/>
                <w:szCs w:val="24"/>
                <w:lang w:val="hy-AM"/>
              </w:rPr>
              <w:t>ՍՏՈՐԱԲԱԺԱՆՈՒՄՆԵՐԻ</w:t>
            </w:r>
            <w:r w:rsidRPr="00C86A4B">
              <w:rPr>
                <w:rFonts w:ascii="GHEA Grapalat" w:eastAsia="Times New Roman" w:hAnsi="GHEA Grapalat" w:cs="Times New Roman"/>
                <w:sz w:val="24"/>
                <w:szCs w:val="24"/>
                <w:lang w:val="hy-AM"/>
              </w:rPr>
              <w:t xml:space="preserve"> ՄԱՍՆԱԳԵՏՆԵՐ</w:t>
            </w:r>
          </w:p>
        </w:tc>
      </w:tr>
      <w:tr w:rsidR="002F1732" w:rsidRPr="00C86A4B" w14:paraId="55CA5F8F" w14:textId="77777777" w:rsidTr="00B93DA7">
        <w:trPr>
          <w:trHeight w:val="1790"/>
        </w:trPr>
        <w:tc>
          <w:tcPr>
            <w:tcW w:w="810" w:type="dxa"/>
            <w:vAlign w:val="center"/>
          </w:tcPr>
          <w:p w14:paraId="5127F2CE" w14:textId="77777777" w:rsidR="002F1732" w:rsidRPr="00C86A4B" w:rsidRDefault="002F1732" w:rsidP="00B93DA7">
            <w:pPr>
              <w:tabs>
                <w:tab w:val="left" w:pos="1375"/>
              </w:tabs>
              <w:spacing w:line="360" w:lineRule="auto"/>
              <w:jc w:val="center"/>
              <w:rPr>
                <w:rFonts w:ascii="GHEA Grapalat" w:eastAsia="Times New Roman" w:hAnsi="GHEA Grapalat" w:cs="Times New Roman"/>
                <w:b/>
                <w:sz w:val="24"/>
                <w:szCs w:val="24"/>
              </w:rPr>
            </w:pPr>
            <w:r w:rsidRPr="00C86A4B">
              <w:rPr>
                <w:rFonts w:ascii="GHEA Grapalat" w:eastAsia="Times New Roman" w:hAnsi="GHEA Grapalat" w:cs="Times New Roman"/>
                <w:b/>
                <w:sz w:val="24"/>
                <w:szCs w:val="24"/>
              </w:rPr>
              <w:t>№№</w:t>
            </w:r>
          </w:p>
          <w:p w14:paraId="049AA228" w14:textId="77777777" w:rsidR="002F1732" w:rsidRPr="00C86A4B" w:rsidRDefault="002F1732" w:rsidP="00B93DA7">
            <w:pPr>
              <w:tabs>
                <w:tab w:val="left" w:pos="1375"/>
              </w:tabs>
              <w:spacing w:line="360" w:lineRule="auto"/>
              <w:jc w:val="center"/>
              <w:rPr>
                <w:rFonts w:ascii="GHEA Grapalat" w:hAnsi="GHEA Grapalat"/>
                <w:sz w:val="24"/>
                <w:szCs w:val="24"/>
                <w:lang w:val="hy-AM"/>
              </w:rPr>
            </w:pPr>
            <w:r w:rsidRPr="00C86A4B">
              <w:rPr>
                <w:rFonts w:ascii="GHEA Grapalat" w:eastAsia="Times New Roman" w:hAnsi="GHEA Grapalat" w:cs="Times New Roman"/>
                <w:b/>
                <w:sz w:val="24"/>
                <w:szCs w:val="24"/>
              </w:rPr>
              <w:t>ը/կ</w:t>
            </w:r>
          </w:p>
        </w:tc>
        <w:tc>
          <w:tcPr>
            <w:tcW w:w="6987" w:type="dxa"/>
            <w:vAlign w:val="center"/>
          </w:tcPr>
          <w:p w14:paraId="3B4B796D" w14:textId="77777777" w:rsidR="002F1732" w:rsidRPr="00C86A4B" w:rsidRDefault="002F1732" w:rsidP="00B93DA7">
            <w:pPr>
              <w:tabs>
                <w:tab w:val="left" w:pos="1375"/>
              </w:tabs>
              <w:spacing w:line="360" w:lineRule="auto"/>
              <w:jc w:val="center"/>
              <w:rPr>
                <w:rFonts w:ascii="GHEA Grapalat" w:hAnsi="GHEA Grapalat"/>
                <w:b/>
                <w:sz w:val="24"/>
                <w:szCs w:val="24"/>
                <w:lang w:val="hy-AM"/>
              </w:rPr>
            </w:pPr>
            <w:proofErr w:type="spellStart"/>
            <w:r w:rsidRPr="00C86A4B">
              <w:rPr>
                <w:rFonts w:ascii="GHEA Grapalat" w:eastAsia="Times New Roman" w:hAnsi="GHEA Grapalat" w:cs="Times New Roman"/>
                <w:b/>
                <w:sz w:val="24"/>
                <w:szCs w:val="24"/>
              </w:rPr>
              <w:t>Պաշտոնի</w:t>
            </w:r>
            <w:proofErr w:type="spellEnd"/>
            <w:r w:rsidRPr="00C86A4B">
              <w:rPr>
                <w:rFonts w:ascii="GHEA Grapalat" w:eastAsia="Times New Roman" w:hAnsi="GHEA Grapalat" w:cs="Times New Roman"/>
                <w:b/>
                <w:sz w:val="24"/>
                <w:szCs w:val="24"/>
              </w:rPr>
              <w:t xml:space="preserve"> </w:t>
            </w:r>
            <w:proofErr w:type="spellStart"/>
            <w:r w:rsidRPr="00C86A4B">
              <w:rPr>
                <w:rFonts w:ascii="GHEA Grapalat" w:eastAsia="Times New Roman" w:hAnsi="GHEA Grapalat" w:cs="Times New Roman"/>
                <w:b/>
                <w:sz w:val="24"/>
                <w:szCs w:val="24"/>
              </w:rPr>
              <w:t>անվանումը</w:t>
            </w:r>
            <w:proofErr w:type="spellEnd"/>
          </w:p>
        </w:tc>
        <w:tc>
          <w:tcPr>
            <w:tcW w:w="1797" w:type="dxa"/>
          </w:tcPr>
          <w:p w14:paraId="597E1A78" w14:textId="77777777" w:rsidR="002F1732" w:rsidRPr="00C86A4B" w:rsidRDefault="002F1732" w:rsidP="00B93DA7">
            <w:pPr>
              <w:tabs>
                <w:tab w:val="left" w:pos="1375"/>
              </w:tabs>
              <w:spacing w:line="360" w:lineRule="auto"/>
              <w:jc w:val="center"/>
              <w:rPr>
                <w:rFonts w:ascii="GHEA Grapalat" w:hAnsi="GHEA Grapalat"/>
                <w:sz w:val="24"/>
                <w:szCs w:val="24"/>
                <w:lang w:val="hy-AM"/>
              </w:rPr>
            </w:pPr>
            <w:proofErr w:type="spellStart"/>
            <w:r w:rsidRPr="00C86A4B">
              <w:rPr>
                <w:rFonts w:ascii="GHEA Grapalat" w:eastAsia="Times New Roman" w:hAnsi="GHEA Grapalat" w:cs="Times New Roman"/>
                <w:b/>
                <w:sz w:val="24"/>
                <w:szCs w:val="24"/>
              </w:rPr>
              <w:t>Պաշտոնային</w:t>
            </w:r>
            <w:proofErr w:type="spellEnd"/>
            <w:r w:rsidRPr="00C86A4B">
              <w:rPr>
                <w:rFonts w:ascii="GHEA Grapalat" w:eastAsia="Times New Roman" w:hAnsi="GHEA Grapalat" w:cs="Times New Roman"/>
                <w:b/>
                <w:sz w:val="24"/>
                <w:szCs w:val="24"/>
              </w:rPr>
              <w:t xml:space="preserve"> </w:t>
            </w:r>
            <w:proofErr w:type="spellStart"/>
            <w:r w:rsidRPr="00C86A4B">
              <w:rPr>
                <w:rFonts w:ascii="GHEA Grapalat" w:eastAsia="Times New Roman" w:hAnsi="GHEA Grapalat" w:cs="Times New Roman"/>
                <w:b/>
                <w:sz w:val="24"/>
                <w:szCs w:val="24"/>
              </w:rPr>
              <w:t>դրույքաչափի</w:t>
            </w:r>
            <w:proofErr w:type="spellEnd"/>
            <w:r w:rsidRPr="00C86A4B">
              <w:rPr>
                <w:rFonts w:ascii="GHEA Grapalat" w:eastAsia="Times New Roman" w:hAnsi="GHEA Grapalat" w:cs="Times New Roman"/>
                <w:b/>
                <w:sz w:val="24"/>
                <w:szCs w:val="24"/>
              </w:rPr>
              <w:t xml:space="preserve"> </w:t>
            </w:r>
            <w:proofErr w:type="spellStart"/>
            <w:r w:rsidRPr="00C86A4B">
              <w:rPr>
                <w:rFonts w:ascii="GHEA Grapalat" w:eastAsia="Times New Roman" w:hAnsi="GHEA Grapalat" w:cs="Times New Roman"/>
                <w:b/>
                <w:sz w:val="24"/>
                <w:szCs w:val="24"/>
              </w:rPr>
              <w:t>հաշվարկման</w:t>
            </w:r>
            <w:proofErr w:type="spellEnd"/>
            <w:r w:rsidRPr="00C86A4B">
              <w:rPr>
                <w:rFonts w:ascii="GHEA Grapalat" w:eastAsia="Times New Roman" w:hAnsi="GHEA Grapalat" w:cs="Times New Roman"/>
                <w:b/>
                <w:sz w:val="24"/>
                <w:szCs w:val="24"/>
              </w:rPr>
              <w:t xml:space="preserve"> </w:t>
            </w:r>
            <w:proofErr w:type="spellStart"/>
            <w:r w:rsidRPr="00C86A4B">
              <w:rPr>
                <w:rFonts w:ascii="GHEA Grapalat" w:eastAsia="Times New Roman" w:hAnsi="GHEA Grapalat" w:cs="Times New Roman"/>
                <w:b/>
                <w:sz w:val="24"/>
                <w:szCs w:val="24"/>
              </w:rPr>
              <w:t>գործակիցը</w:t>
            </w:r>
            <w:proofErr w:type="spellEnd"/>
          </w:p>
        </w:tc>
      </w:tr>
      <w:tr w:rsidR="002F1732" w:rsidRPr="00C86A4B" w14:paraId="70E52E22" w14:textId="77777777" w:rsidTr="00B93DA7">
        <w:tc>
          <w:tcPr>
            <w:tcW w:w="810" w:type="dxa"/>
          </w:tcPr>
          <w:p w14:paraId="4FC0D55A" w14:textId="77777777" w:rsidR="002F1732" w:rsidRPr="00C86A4B" w:rsidRDefault="002F1732" w:rsidP="00B93DA7">
            <w:pPr>
              <w:spacing w:before="100" w:beforeAutospacing="1" w:after="100" w:afterAutospacing="1" w:line="360" w:lineRule="auto"/>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111.</w:t>
            </w:r>
          </w:p>
        </w:tc>
        <w:tc>
          <w:tcPr>
            <w:tcW w:w="6987" w:type="dxa"/>
          </w:tcPr>
          <w:p w14:paraId="33C5C6D2" w14:textId="77777777" w:rsidR="002F1732" w:rsidRPr="00C86A4B" w:rsidRDefault="002F1732" w:rsidP="00B93DA7">
            <w:pPr>
              <w:spacing w:before="100" w:beforeAutospacing="1" w:after="100" w:afterAutospacing="1" w:line="360" w:lineRule="auto"/>
              <w:rPr>
                <w:rFonts w:ascii="GHEA Grapalat" w:eastAsia="Times New Roman" w:hAnsi="GHEA Grapalat" w:cs="Times New Roman"/>
                <w:sz w:val="24"/>
                <w:szCs w:val="24"/>
              </w:rPr>
            </w:pPr>
            <w:proofErr w:type="spellStart"/>
            <w:r w:rsidRPr="00C86A4B">
              <w:rPr>
                <w:rFonts w:ascii="GHEA Grapalat" w:eastAsia="Times New Roman" w:hAnsi="GHEA Grapalat" w:cs="Times New Roman"/>
                <w:sz w:val="24"/>
                <w:szCs w:val="24"/>
              </w:rPr>
              <w:t>պետ</w:t>
            </w:r>
            <w:proofErr w:type="spellEnd"/>
            <w:r w:rsidRPr="00C86A4B">
              <w:rPr>
                <w:rFonts w:ascii="GHEA Grapalat" w:eastAsia="Times New Roman" w:hAnsi="GHEA Grapalat" w:cs="Times New Roman"/>
                <w:sz w:val="24"/>
                <w:szCs w:val="24"/>
              </w:rPr>
              <w:t xml:space="preserve">` </w:t>
            </w:r>
            <w:r w:rsidRPr="00C86A4B">
              <w:rPr>
                <w:rFonts w:ascii="GHEA Grapalat" w:hAnsi="GHEA Grapalat"/>
                <w:b/>
                <w:sz w:val="24"/>
                <w:szCs w:val="24"/>
                <w:lang w:val="hy-AM"/>
              </w:rPr>
              <w:t>վարչության-պետական տեսուչ</w:t>
            </w:r>
          </w:p>
        </w:tc>
        <w:tc>
          <w:tcPr>
            <w:tcW w:w="1797" w:type="dxa"/>
            <w:tcBorders>
              <w:top w:val="nil"/>
              <w:left w:val="nil"/>
              <w:bottom w:val="single" w:sz="8" w:space="0" w:color="auto"/>
              <w:right w:val="single" w:sz="8" w:space="0" w:color="auto"/>
            </w:tcBorders>
            <w:shd w:val="clear" w:color="auto" w:fill="auto"/>
          </w:tcPr>
          <w:p w14:paraId="45693A0F" w14:textId="77777777" w:rsidR="002F1732" w:rsidRPr="00C86A4B" w:rsidRDefault="002F1732" w:rsidP="00B93DA7">
            <w:pPr>
              <w:spacing w:line="360" w:lineRule="auto"/>
              <w:jc w:val="center"/>
              <w:rPr>
                <w:rFonts w:ascii="GHEA Grapalat" w:hAnsi="GHEA Grapalat" w:cs="Calibri"/>
                <w:sz w:val="24"/>
                <w:szCs w:val="24"/>
              </w:rPr>
            </w:pPr>
            <w:r w:rsidRPr="00C86A4B">
              <w:rPr>
                <w:rFonts w:ascii="GHEA Grapalat" w:eastAsia="Times New Roman" w:hAnsi="GHEA Grapalat" w:cs="Times New Roman"/>
                <w:sz w:val="24"/>
                <w:szCs w:val="24"/>
              </w:rPr>
              <w:t>6.45</w:t>
            </w:r>
          </w:p>
        </w:tc>
      </w:tr>
      <w:tr w:rsidR="002F1732" w:rsidRPr="00C86A4B" w14:paraId="79F76421" w14:textId="77777777" w:rsidTr="00B93DA7">
        <w:tc>
          <w:tcPr>
            <w:tcW w:w="810" w:type="dxa"/>
          </w:tcPr>
          <w:p w14:paraId="2327C2A4" w14:textId="77777777" w:rsidR="002F1732" w:rsidRPr="00C86A4B" w:rsidRDefault="002F1732" w:rsidP="00B93DA7">
            <w:pPr>
              <w:spacing w:before="100" w:beforeAutospacing="1" w:after="100" w:afterAutospacing="1" w:line="36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ru-RU"/>
              </w:rPr>
              <w:t>112</w:t>
            </w:r>
            <w:r w:rsidRPr="00C86A4B">
              <w:rPr>
                <w:rFonts w:ascii="GHEA Grapalat" w:eastAsia="Times New Roman" w:hAnsi="GHEA Grapalat" w:cs="Times New Roman"/>
                <w:sz w:val="24"/>
                <w:szCs w:val="24"/>
              </w:rPr>
              <w:t>.</w:t>
            </w:r>
          </w:p>
        </w:tc>
        <w:tc>
          <w:tcPr>
            <w:tcW w:w="6987" w:type="dxa"/>
          </w:tcPr>
          <w:p w14:paraId="4762E3D2" w14:textId="77777777" w:rsidR="002F1732" w:rsidRPr="00C86A4B" w:rsidRDefault="002F1732" w:rsidP="00B93DA7">
            <w:pPr>
              <w:spacing w:before="100" w:beforeAutospacing="1" w:after="100" w:afterAutospacing="1" w:line="360" w:lineRule="auto"/>
              <w:rPr>
                <w:rFonts w:ascii="GHEA Grapalat" w:eastAsia="Times New Roman" w:hAnsi="GHEA Grapalat" w:cs="Times New Roman"/>
                <w:sz w:val="24"/>
                <w:szCs w:val="24"/>
                <w:lang w:val="hy-AM"/>
              </w:rPr>
            </w:pPr>
            <w:r w:rsidRPr="00C86A4B">
              <w:rPr>
                <w:rFonts w:ascii="GHEA Grapalat" w:eastAsia="Times New Roman" w:hAnsi="GHEA Grapalat" w:cs="Times New Roman"/>
                <w:sz w:val="24"/>
                <w:szCs w:val="24"/>
                <w:lang w:val="hy-AM"/>
              </w:rPr>
              <w:t>պետ՝ բաժնի (վարչությունում գործող)-պետական տեսուչ</w:t>
            </w:r>
          </w:p>
        </w:tc>
        <w:tc>
          <w:tcPr>
            <w:tcW w:w="1797" w:type="dxa"/>
            <w:tcBorders>
              <w:top w:val="nil"/>
              <w:left w:val="nil"/>
              <w:bottom w:val="single" w:sz="8" w:space="0" w:color="auto"/>
              <w:right w:val="single" w:sz="8" w:space="0" w:color="auto"/>
            </w:tcBorders>
            <w:shd w:val="clear" w:color="auto" w:fill="auto"/>
          </w:tcPr>
          <w:p w14:paraId="37CACBC0" w14:textId="77777777" w:rsidR="002F1732" w:rsidRPr="00C86A4B" w:rsidRDefault="002F1732" w:rsidP="00B93DA7">
            <w:pPr>
              <w:spacing w:line="360" w:lineRule="auto"/>
              <w:jc w:val="center"/>
              <w:rPr>
                <w:rFonts w:ascii="GHEA Grapalat" w:hAnsi="GHEA Grapalat" w:cs="Calibri"/>
                <w:sz w:val="24"/>
                <w:szCs w:val="24"/>
              </w:rPr>
            </w:pPr>
            <w:r w:rsidRPr="00C86A4B">
              <w:rPr>
                <w:rFonts w:ascii="GHEA Grapalat" w:eastAsia="Times New Roman" w:hAnsi="GHEA Grapalat" w:cs="Times New Roman"/>
                <w:sz w:val="24"/>
                <w:szCs w:val="24"/>
              </w:rPr>
              <w:t>6.05</w:t>
            </w:r>
          </w:p>
        </w:tc>
      </w:tr>
      <w:tr w:rsidR="002F1732" w:rsidRPr="00C86A4B" w14:paraId="6B358A47" w14:textId="77777777" w:rsidTr="00B93DA7">
        <w:tc>
          <w:tcPr>
            <w:tcW w:w="810" w:type="dxa"/>
          </w:tcPr>
          <w:p w14:paraId="22C94EF6" w14:textId="77777777" w:rsidR="002F1732" w:rsidRPr="00C86A4B" w:rsidRDefault="002F1732" w:rsidP="00B93DA7">
            <w:pPr>
              <w:spacing w:before="100" w:beforeAutospacing="1" w:after="100" w:afterAutospacing="1" w:line="36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ru-RU"/>
              </w:rPr>
              <w:t>113</w:t>
            </w:r>
            <w:r w:rsidRPr="00C86A4B">
              <w:rPr>
                <w:rFonts w:ascii="GHEA Grapalat" w:eastAsia="Times New Roman" w:hAnsi="GHEA Grapalat" w:cs="Times New Roman"/>
                <w:sz w:val="24"/>
                <w:szCs w:val="24"/>
                <w:lang w:val="hy-AM"/>
              </w:rPr>
              <w:t>.</w:t>
            </w:r>
          </w:p>
        </w:tc>
        <w:tc>
          <w:tcPr>
            <w:tcW w:w="6987" w:type="dxa"/>
          </w:tcPr>
          <w:p w14:paraId="1FE6E858" w14:textId="77777777" w:rsidR="002F1732" w:rsidRPr="00C86A4B" w:rsidRDefault="002F1732" w:rsidP="00B93DA7">
            <w:pPr>
              <w:spacing w:before="100" w:beforeAutospacing="1" w:after="100" w:afterAutospacing="1" w:line="360" w:lineRule="auto"/>
              <w:rPr>
                <w:rFonts w:ascii="GHEA Grapalat" w:eastAsia="Times New Roman" w:hAnsi="GHEA Grapalat" w:cs="Times New Roman"/>
                <w:sz w:val="24"/>
                <w:szCs w:val="24"/>
              </w:rPr>
            </w:pPr>
            <w:r w:rsidRPr="00C86A4B">
              <w:rPr>
                <w:rFonts w:ascii="GHEA Grapalat" w:eastAsia="Times New Roman" w:hAnsi="GHEA Grapalat" w:cs="Times New Roman"/>
                <w:sz w:val="24"/>
                <w:szCs w:val="24"/>
                <w:lang w:val="hy-AM"/>
              </w:rPr>
              <w:t>պետ՝ բաժնի- պետական տեսուչ</w:t>
            </w:r>
          </w:p>
        </w:tc>
        <w:tc>
          <w:tcPr>
            <w:tcW w:w="1797" w:type="dxa"/>
            <w:tcBorders>
              <w:top w:val="nil"/>
              <w:left w:val="nil"/>
              <w:bottom w:val="single" w:sz="8" w:space="0" w:color="auto"/>
              <w:right w:val="single" w:sz="8" w:space="0" w:color="auto"/>
            </w:tcBorders>
            <w:shd w:val="clear" w:color="auto" w:fill="auto"/>
          </w:tcPr>
          <w:p w14:paraId="786C3B8D" w14:textId="77777777" w:rsidR="002F1732" w:rsidRPr="00C86A4B" w:rsidRDefault="002F1732" w:rsidP="00B93DA7">
            <w:pPr>
              <w:spacing w:line="360" w:lineRule="auto"/>
              <w:jc w:val="center"/>
              <w:rPr>
                <w:rFonts w:ascii="GHEA Grapalat" w:hAnsi="GHEA Grapalat" w:cs="Calibri"/>
                <w:sz w:val="24"/>
                <w:szCs w:val="24"/>
              </w:rPr>
            </w:pPr>
            <w:r w:rsidRPr="00C86A4B">
              <w:rPr>
                <w:rFonts w:ascii="GHEA Grapalat" w:eastAsia="Times New Roman" w:hAnsi="GHEA Grapalat" w:cs="Times New Roman"/>
                <w:sz w:val="24"/>
                <w:szCs w:val="24"/>
              </w:rPr>
              <w:t>5.1</w:t>
            </w:r>
          </w:p>
        </w:tc>
      </w:tr>
      <w:tr w:rsidR="002F1732" w:rsidRPr="00C86A4B" w14:paraId="0258DE2A" w14:textId="77777777" w:rsidTr="00B93DA7">
        <w:tc>
          <w:tcPr>
            <w:tcW w:w="810" w:type="dxa"/>
          </w:tcPr>
          <w:p w14:paraId="0006C1F4" w14:textId="77777777" w:rsidR="002F1732" w:rsidRPr="00C86A4B" w:rsidRDefault="002F1732" w:rsidP="00B93DA7">
            <w:pPr>
              <w:spacing w:before="100" w:beforeAutospacing="1" w:after="100" w:afterAutospacing="1" w:line="36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lang w:val="hy-AM"/>
              </w:rPr>
              <w:t>1</w:t>
            </w:r>
            <w:r>
              <w:rPr>
                <w:rFonts w:ascii="GHEA Grapalat" w:eastAsia="Times New Roman" w:hAnsi="GHEA Grapalat" w:cs="Times New Roman"/>
                <w:sz w:val="24"/>
                <w:szCs w:val="24"/>
                <w:lang w:val="ru-RU"/>
              </w:rPr>
              <w:t>14</w:t>
            </w:r>
            <w:r w:rsidRPr="00C86A4B">
              <w:rPr>
                <w:rFonts w:ascii="GHEA Grapalat" w:eastAsia="Times New Roman" w:hAnsi="GHEA Grapalat" w:cs="Times New Roman"/>
                <w:sz w:val="24"/>
                <w:szCs w:val="24"/>
              </w:rPr>
              <w:t>.</w:t>
            </w:r>
          </w:p>
        </w:tc>
        <w:tc>
          <w:tcPr>
            <w:tcW w:w="6987" w:type="dxa"/>
          </w:tcPr>
          <w:p w14:paraId="1E4B605F" w14:textId="77777777" w:rsidR="002F1732" w:rsidRPr="00C86A4B" w:rsidRDefault="002F1732" w:rsidP="00B93DA7">
            <w:pPr>
              <w:spacing w:before="100" w:beforeAutospacing="1" w:after="100" w:afterAutospacing="1" w:line="360" w:lineRule="auto"/>
              <w:rPr>
                <w:rFonts w:ascii="GHEA Grapalat" w:eastAsia="Times New Roman" w:hAnsi="GHEA Grapalat" w:cs="Times New Roman"/>
                <w:sz w:val="24"/>
                <w:szCs w:val="24"/>
                <w:lang w:val="hy-AM"/>
              </w:rPr>
            </w:pPr>
            <w:proofErr w:type="spellStart"/>
            <w:r w:rsidRPr="00C86A4B">
              <w:rPr>
                <w:rFonts w:ascii="GHEA Grapalat" w:eastAsia="Times New Roman" w:hAnsi="GHEA Grapalat" w:cs="Times New Roman"/>
                <w:sz w:val="24"/>
                <w:szCs w:val="24"/>
              </w:rPr>
              <w:t>գլխավոր</w:t>
            </w:r>
            <w:proofErr w:type="spellEnd"/>
            <w:r w:rsidRPr="00C86A4B">
              <w:rPr>
                <w:rFonts w:ascii="GHEA Grapalat" w:eastAsia="Times New Roman" w:hAnsi="GHEA Grapalat" w:cs="Times New Roman"/>
                <w:sz w:val="24"/>
                <w:szCs w:val="24"/>
              </w:rPr>
              <w:t xml:space="preserve"> </w:t>
            </w:r>
            <w:r w:rsidRPr="00C86A4B">
              <w:rPr>
                <w:rFonts w:ascii="GHEA Grapalat" w:eastAsia="Times New Roman" w:hAnsi="GHEA Grapalat" w:cs="Times New Roman"/>
                <w:sz w:val="24"/>
                <w:szCs w:val="24"/>
                <w:lang w:val="hy-AM"/>
              </w:rPr>
              <w:t xml:space="preserve">պետական </w:t>
            </w:r>
            <w:proofErr w:type="spellStart"/>
            <w:r w:rsidRPr="00C86A4B">
              <w:rPr>
                <w:rFonts w:ascii="GHEA Grapalat" w:eastAsia="Times New Roman" w:hAnsi="GHEA Grapalat" w:cs="Times New Roman"/>
                <w:sz w:val="24"/>
                <w:szCs w:val="24"/>
              </w:rPr>
              <w:t>տեսուչ</w:t>
            </w:r>
            <w:proofErr w:type="spellEnd"/>
            <w:r w:rsidRPr="00C86A4B">
              <w:rPr>
                <w:rFonts w:ascii="GHEA Grapalat" w:eastAsia="Times New Roman" w:hAnsi="GHEA Grapalat" w:cs="Times New Roman"/>
                <w:sz w:val="24"/>
                <w:szCs w:val="24"/>
                <w:lang w:val="hy-AM"/>
              </w:rPr>
              <w:t>՝ վարչությունում գործող բաժնի</w:t>
            </w:r>
          </w:p>
        </w:tc>
        <w:tc>
          <w:tcPr>
            <w:tcW w:w="1797" w:type="dxa"/>
            <w:tcBorders>
              <w:top w:val="nil"/>
              <w:left w:val="nil"/>
              <w:bottom w:val="single" w:sz="8" w:space="0" w:color="auto"/>
              <w:right w:val="single" w:sz="8" w:space="0" w:color="auto"/>
            </w:tcBorders>
            <w:shd w:val="clear" w:color="auto" w:fill="auto"/>
          </w:tcPr>
          <w:p w14:paraId="4CBCCEDD" w14:textId="77777777" w:rsidR="002F1732" w:rsidRPr="00C86A4B" w:rsidRDefault="002F1732" w:rsidP="00B93DA7">
            <w:pPr>
              <w:spacing w:line="360" w:lineRule="auto"/>
              <w:jc w:val="center"/>
              <w:rPr>
                <w:rFonts w:ascii="GHEA Grapalat" w:hAnsi="GHEA Grapalat" w:cs="Calibri"/>
                <w:sz w:val="24"/>
                <w:szCs w:val="24"/>
              </w:rPr>
            </w:pPr>
            <w:r w:rsidRPr="00C86A4B">
              <w:rPr>
                <w:rFonts w:ascii="GHEA Grapalat" w:eastAsia="Times New Roman" w:hAnsi="GHEA Grapalat" w:cs="Times New Roman"/>
                <w:sz w:val="24"/>
                <w:szCs w:val="24"/>
              </w:rPr>
              <w:t>5.1</w:t>
            </w:r>
          </w:p>
        </w:tc>
      </w:tr>
      <w:tr w:rsidR="002F1732" w:rsidRPr="00C86A4B" w14:paraId="27A9F816" w14:textId="77777777" w:rsidTr="00B93DA7">
        <w:tc>
          <w:tcPr>
            <w:tcW w:w="810" w:type="dxa"/>
          </w:tcPr>
          <w:p w14:paraId="264F979F" w14:textId="77777777" w:rsidR="002F1732" w:rsidRPr="00C86A4B" w:rsidRDefault="002F1732" w:rsidP="00B93DA7">
            <w:pPr>
              <w:spacing w:before="100" w:beforeAutospacing="1" w:after="100" w:afterAutospacing="1" w:line="36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1</w:t>
            </w:r>
            <w:r>
              <w:rPr>
                <w:rFonts w:ascii="GHEA Grapalat" w:eastAsia="Times New Roman" w:hAnsi="GHEA Grapalat" w:cs="Times New Roman"/>
                <w:sz w:val="24"/>
                <w:szCs w:val="24"/>
                <w:lang w:val="ru-RU"/>
              </w:rPr>
              <w:t>15</w:t>
            </w:r>
            <w:r w:rsidRPr="00C86A4B">
              <w:rPr>
                <w:rFonts w:ascii="GHEA Grapalat" w:eastAsia="Times New Roman" w:hAnsi="GHEA Grapalat" w:cs="Times New Roman"/>
                <w:sz w:val="24"/>
                <w:szCs w:val="24"/>
                <w:lang w:val="hy-AM"/>
              </w:rPr>
              <w:t>.</w:t>
            </w:r>
          </w:p>
        </w:tc>
        <w:tc>
          <w:tcPr>
            <w:tcW w:w="6987" w:type="dxa"/>
          </w:tcPr>
          <w:p w14:paraId="5678889A" w14:textId="77777777" w:rsidR="002F1732" w:rsidRPr="00C86A4B" w:rsidRDefault="002F1732" w:rsidP="00B93DA7">
            <w:pPr>
              <w:spacing w:before="100" w:beforeAutospacing="1" w:after="100" w:afterAutospacing="1" w:line="360" w:lineRule="auto"/>
              <w:rPr>
                <w:rFonts w:ascii="GHEA Grapalat" w:eastAsia="Times New Roman" w:hAnsi="GHEA Grapalat" w:cs="Times New Roman"/>
                <w:sz w:val="24"/>
                <w:szCs w:val="24"/>
                <w:lang w:val="hy-AM"/>
              </w:rPr>
            </w:pPr>
            <w:proofErr w:type="spellStart"/>
            <w:r w:rsidRPr="00C86A4B">
              <w:rPr>
                <w:rFonts w:ascii="GHEA Grapalat" w:eastAsia="Times New Roman" w:hAnsi="GHEA Grapalat" w:cs="Times New Roman"/>
                <w:sz w:val="24"/>
                <w:szCs w:val="24"/>
              </w:rPr>
              <w:t>գլխավոր</w:t>
            </w:r>
            <w:proofErr w:type="spellEnd"/>
            <w:r w:rsidRPr="00C86A4B">
              <w:rPr>
                <w:rFonts w:ascii="GHEA Grapalat" w:eastAsia="Times New Roman" w:hAnsi="GHEA Grapalat" w:cs="Times New Roman"/>
                <w:sz w:val="24"/>
                <w:szCs w:val="24"/>
              </w:rPr>
              <w:t xml:space="preserve"> </w:t>
            </w:r>
            <w:r w:rsidRPr="00C86A4B">
              <w:rPr>
                <w:rFonts w:ascii="GHEA Grapalat" w:eastAsia="Times New Roman" w:hAnsi="GHEA Grapalat" w:cs="Times New Roman"/>
                <w:sz w:val="24"/>
                <w:szCs w:val="24"/>
                <w:lang w:val="hy-AM"/>
              </w:rPr>
              <w:t xml:space="preserve">պետական </w:t>
            </w:r>
            <w:proofErr w:type="spellStart"/>
            <w:r w:rsidRPr="00C86A4B">
              <w:rPr>
                <w:rFonts w:ascii="GHEA Grapalat" w:eastAsia="Times New Roman" w:hAnsi="GHEA Grapalat" w:cs="Times New Roman"/>
                <w:sz w:val="24"/>
                <w:szCs w:val="24"/>
              </w:rPr>
              <w:t>տեսուչ</w:t>
            </w:r>
            <w:proofErr w:type="spellEnd"/>
            <w:r w:rsidRPr="00C86A4B">
              <w:rPr>
                <w:rFonts w:ascii="GHEA Grapalat" w:eastAsia="Times New Roman" w:hAnsi="GHEA Grapalat" w:cs="Times New Roman"/>
                <w:sz w:val="24"/>
                <w:szCs w:val="24"/>
                <w:lang w:val="hy-AM"/>
              </w:rPr>
              <w:t>՝ բաժնի</w:t>
            </w:r>
          </w:p>
        </w:tc>
        <w:tc>
          <w:tcPr>
            <w:tcW w:w="1797" w:type="dxa"/>
            <w:tcBorders>
              <w:top w:val="nil"/>
              <w:left w:val="nil"/>
              <w:bottom w:val="single" w:sz="8" w:space="0" w:color="auto"/>
              <w:right w:val="single" w:sz="8" w:space="0" w:color="auto"/>
            </w:tcBorders>
            <w:shd w:val="clear" w:color="auto" w:fill="auto"/>
          </w:tcPr>
          <w:p w14:paraId="691D649E" w14:textId="77777777" w:rsidR="002F1732" w:rsidRPr="00C86A4B" w:rsidRDefault="002F1732" w:rsidP="00B93DA7">
            <w:pPr>
              <w:spacing w:line="360" w:lineRule="auto"/>
              <w:jc w:val="center"/>
              <w:rPr>
                <w:rFonts w:ascii="GHEA Grapalat" w:hAnsi="GHEA Grapalat" w:cs="Calibri"/>
                <w:sz w:val="24"/>
                <w:szCs w:val="24"/>
              </w:rPr>
            </w:pPr>
            <w:r w:rsidRPr="00C86A4B">
              <w:rPr>
                <w:rFonts w:ascii="GHEA Grapalat" w:eastAsia="Times New Roman" w:hAnsi="GHEA Grapalat" w:cs="Times New Roman"/>
                <w:sz w:val="24"/>
                <w:szCs w:val="24"/>
                <w:lang w:val="hy-AM"/>
              </w:rPr>
              <w:t>4</w:t>
            </w:r>
            <w:r w:rsidRPr="00C86A4B">
              <w:rPr>
                <w:rFonts w:ascii="GHEA Grapalat" w:eastAsia="Times New Roman" w:hAnsi="GHEA Grapalat" w:cs="Times New Roman"/>
                <w:sz w:val="24"/>
                <w:szCs w:val="24"/>
              </w:rPr>
              <w:t>.</w:t>
            </w:r>
            <w:r w:rsidRPr="00C86A4B">
              <w:rPr>
                <w:rFonts w:ascii="GHEA Grapalat" w:eastAsia="Times New Roman" w:hAnsi="GHEA Grapalat" w:cs="Times New Roman"/>
                <w:sz w:val="24"/>
                <w:szCs w:val="24"/>
                <w:lang w:val="hy-AM"/>
              </w:rPr>
              <w:t>1</w:t>
            </w:r>
          </w:p>
        </w:tc>
      </w:tr>
    </w:tbl>
    <w:p w14:paraId="3E9F330B" w14:textId="77777777" w:rsidR="002F1732" w:rsidRPr="00C86A4B" w:rsidRDefault="002F1732" w:rsidP="002F1732">
      <w:pPr>
        <w:spacing w:after="0" w:line="360" w:lineRule="auto"/>
        <w:jc w:val="both"/>
        <w:rPr>
          <w:rFonts w:ascii="GHEA Grapalat" w:hAnsi="GHEA Grapalat"/>
          <w:sz w:val="24"/>
          <w:szCs w:val="24"/>
          <w:lang w:val="hy-AM"/>
        </w:rPr>
      </w:pPr>
    </w:p>
    <w:p w14:paraId="7C75F8AC" w14:textId="77777777" w:rsidR="002F1732" w:rsidRPr="00C86A4B" w:rsidRDefault="002F1732" w:rsidP="002F1732">
      <w:pPr>
        <w:spacing w:after="0" w:line="360" w:lineRule="auto"/>
        <w:ind w:firstLine="720"/>
        <w:jc w:val="both"/>
        <w:rPr>
          <w:rFonts w:ascii="GHEA Grapalat" w:hAnsi="GHEA Grapalat"/>
          <w:sz w:val="24"/>
          <w:szCs w:val="24"/>
          <w:lang w:val="hy-AM"/>
        </w:rPr>
      </w:pPr>
      <w:r w:rsidRPr="00C86A4B">
        <w:rPr>
          <w:rFonts w:ascii="GHEA Grapalat" w:hAnsi="GHEA Grapalat"/>
          <w:sz w:val="24"/>
          <w:szCs w:val="24"/>
          <w:lang w:val="hy-AM"/>
        </w:rPr>
        <w:t xml:space="preserve">                                                                                                                   »:</w:t>
      </w:r>
    </w:p>
    <w:p w14:paraId="54D1C9DB" w14:textId="2340DC43" w:rsidR="002F1732" w:rsidRPr="00C86A4B" w:rsidRDefault="003B1C9C" w:rsidP="002F173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3B1C9C">
        <w:rPr>
          <w:rFonts w:ascii="GHEA Grapalat" w:hAnsi="GHEA Grapalat"/>
          <w:sz w:val="24"/>
          <w:szCs w:val="24"/>
          <w:lang w:val="hy-AM"/>
        </w:rPr>
        <w:t>)</w:t>
      </w:r>
      <w:r w:rsidR="002F1732" w:rsidRPr="00C86A4B">
        <w:rPr>
          <w:rFonts w:ascii="GHEA Grapalat" w:hAnsi="GHEA Grapalat"/>
          <w:sz w:val="24"/>
          <w:szCs w:val="24"/>
          <w:lang w:val="hy-AM"/>
        </w:rPr>
        <w:t xml:space="preserve"> Որոշումը լրացնել նոր՝ № 7 հավելվածով՝ համաձայն հավելվածի:</w:t>
      </w:r>
    </w:p>
    <w:p w14:paraId="0F39BBA4" w14:textId="09B287A0" w:rsidR="002F1732" w:rsidRPr="00C86A4B" w:rsidRDefault="003B1C9C" w:rsidP="002F1732">
      <w:pPr>
        <w:spacing w:after="0" w:line="360" w:lineRule="auto"/>
        <w:ind w:firstLine="720"/>
        <w:jc w:val="both"/>
        <w:rPr>
          <w:rFonts w:ascii="GHEA Grapalat" w:hAnsi="GHEA Grapalat"/>
          <w:sz w:val="24"/>
          <w:szCs w:val="24"/>
          <w:lang w:val="hy-AM"/>
        </w:rPr>
      </w:pPr>
      <w:r w:rsidRPr="003B1C9C">
        <w:rPr>
          <w:rFonts w:ascii="GHEA Grapalat" w:hAnsi="GHEA Grapalat"/>
          <w:sz w:val="24"/>
          <w:szCs w:val="24"/>
          <w:lang w:val="hy-AM"/>
        </w:rPr>
        <w:t>2</w:t>
      </w:r>
      <w:r w:rsidR="002F1732" w:rsidRPr="00C86A4B">
        <w:rPr>
          <w:rFonts w:ascii="GHEA Grapalat" w:hAnsi="GHEA Grapalat"/>
          <w:sz w:val="24"/>
          <w:szCs w:val="24"/>
          <w:lang w:val="hy-AM"/>
        </w:rPr>
        <w:t>. Սահմանել, որ Միջուկային անվտանգության կարգավորման կոմիտեի</w:t>
      </w:r>
      <w:r w:rsidR="002F1732" w:rsidRPr="00C86A4B">
        <w:rPr>
          <w:rFonts w:ascii="GHEA Grapalat" w:hAnsi="GHEA Grapalat"/>
          <w:b/>
          <w:bCs/>
          <w:sz w:val="24"/>
          <w:szCs w:val="24"/>
          <w:lang w:val="hy-AM"/>
        </w:rPr>
        <w:t xml:space="preserve"> </w:t>
      </w:r>
      <w:bookmarkStart w:id="2" w:name="_Hlk147412385"/>
      <w:r w:rsidR="002F1732" w:rsidRPr="00C86A4B">
        <w:rPr>
          <w:rFonts w:ascii="GHEA Grapalat" w:hAnsi="GHEA Grapalat"/>
          <w:sz w:val="24"/>
          <w:szCs w:val="24"/>
          <w:lang w:val="hy-AM"/>
        </w:rPr>
        <w:t xml:space="preserve">կառուցվածքային ստորաբաժանումների՝ </w:t>
      </w:r>
      <w:bookmarkStart w:id="3" w:name="_Hlk148456452"/>
      <w:r w:rsidR="002F1732" w:rsidRPr="00C86A4B">
        <w:rPr>
          <w:rFonts w:ascii="GHEA Grapalat" w:hAnsi="GHEA Grapalat"/>
          <w:sz w:val="24"/>
          <w:szCs w:val="24"/>
          <w:lang w:val="hy-AM"/>
        </w:rPr>
        <w:t xml:space="preserve">միջուկային անվտանգության վարչության, </w:t>
      </w:r>
      <w:r w:rsidR="002F1732" w:rsidRPr="00C86A4B">
        <w:rPr>
          <w:rFonts w:ascii="GHEA Grapalat" w:hAnsi="GHEA Grapalat"/>
          <w:bCs/>
          <w:sz w:val="24"/>
          <w:szCs w:val="24"/>
          <w:lang w:val="hy-AM"/>
        </w:rPr>
        <w:t>ճառագայթային անվտանգության վարչության</w:t>
      </w:r>
      <w:r w:rsidR="002F1732" w:rsidRPr="00C86A4B">
        <w:rPr>
          <w:rFonts w:ascii="GHEA Grapalat" w:hAnsi="GHEA Grapalat"/>
          <w:sz w:val="24"/>
          <w:szCs w:val="24"/>
          <w:lang w:val="hy-AM"/>
        </w:rPr>
        <w:t xml:space="preserve"> և տեխնիկական բաժնի </w:t>
      </w:r>
      <w:bookmarkEnd w:id="2"/>
      <w:bookmarkEnd w:id="3"/>
      <w:r w:rsidR="002F1732" w:rsidRPr="00C86A4B">
        <w:rPr>
          <w:rFonts w:ascii="GHEA Grapalat" w:hAnsi="GHEA Grapalat"/>
          <w:sz w:val="24"/>
          <w:szCs w:val="24"/>
          <w:lang w:val="hy-AM"/>
        </w:rPr>
        <w:t xml:space="preserve">քաղաքացիական ծառայության պաշտոնները անվանացանկից հանելու և դրանք քաղաքացիական աշխատանք կատարողների պաշտոններ նախատեսելու, քաղաքացիական ծառայողներին համապատասխան քաղաքացիական աշխատանք կատարողի պաշտոնում նշանակելու դեպքում (օրինակ՝ վարչության պետի պաշտոնից ազատելու վարչության պետի պաշտոնում նշանակելու դեպքում) նրանց՝ քաղաքացիական ծառայողի վերջին պաշտոնի պաշտոնային դրույքաչափը պահպանվում է, եթե սույն որոշմամբ համապատասխան պաշտոնի համար սահմանված պաշտոնային դրույքաչափի որոշման գործակիցը ցածր է քաղաքացիական ծառայության այդ պաշտոնի համար սահմանված պաշտոնային դրույքաչափի որոշման գործակցից: Այս դեպքում տվյալ աշխատողի պաշտոնային դրույքաչափը պահպանվում </w:t>
      </w:r>
      <w:r w:rsidR="002F1732" w:rsidRPr="00C86A4B">
        <w:rPr>
          <w:rFonts w:ascii="GHEA Grapalat" w:hAnsi="GHEA Grapalat"/>
          <w:sz w:val="24"/>
          <w:szCs w:val="24"/>
          <w:lang w:val="hy-AM"/>
        </w:rPr>
        <w:lastRenderedPageBreak/>
        <w:t>է մինչև այն պահը, երբ սույն որոշմամբ սահմանված կարգով որոշված պաշտոնային դրույքաչափը ավելի բարձր կլինի սույն կետի համաձայն պահպանված պաշտոնային դրույքաչափից:</w:t>
      </w:r>
    </w:p>
    <w:p w14:paraId="47CF4CA3" w14:textId="500D1949" w:rsidR="003B1C9C" w:rsidRPr="00654B5D" w:rsidRDefault="003B1C9C" w:rsidP="00654B5D">
      <w:pPr>
        <w:spacing w:after="0" w:line="360" w:lineRule="auto"/>
        <w:ind w:firstLine="720"/>
        <w:jc w:val="both"/>
        <w:rPr>
          <w:rFonts w:ascii="GHEA Grapalat" w:hAnsi="GHEA Grapalat"/>
          <w:sz w:val="24"/>
          <w:szCs w:val="24"/>
          <w:lang w:val="hy-AM"/>
        </w:rPr>
      </w:pPr>
      <w:r w:rsidRPr="003B1C9C">
        <w:rPr>
          <w:rFonts w:ascii="GHEA Grapalat" w:hAnsi="GHEA Grapalat"/>
          <w:sz w:val="24"/>
          <w:szCs w:val="24"/>
          <w:lang w:val="hy-AM"/>
        </w:rPr>
        <w:t>3</w:t>
      </w:r>
      <w:r w:rsidR="002F1732" w:rsidRPr="00C86A4B">
        <w:rPr>
          <w:rFonts w:ascii="GHEA Grapalat" w:hAnsi="GHEA Grapalat"/>
          <w:sz w:val="24"/>
          <w:szCs w:val="24"/>
          <w:lang w:val="hy-AM"/>
        </w:rPr>
        <w:t>. Հայաստանի Հանրապետության միջուկային անվտանգության կարգավորման կոմիտեի նախագահին</w:t>
      </w:r>
      <w:r w:rsidR="00EF4A5F">
        <w:rPr>
          <w:rFonts w:ascii="GHEA Grapalat" w:hAnsi="GHEA Grapalat"/>
          <w:sz w:val="24"/>
          <w:szCs w:val="24"/>
          <w:lang w:val="hy-AM"/>
        </w:rPr>
        <w:t>՝</w:t>
      </w:r>
      <w:r w:rsidR="00654B5D" w:rsidRPr="00654B5D">
        <w:rPr>
          <w:rFonts w:ascii="GHEA Grapalat" w:hAnsi="GHEA Grapalat"/>
          <w:sz w:val="24"/>
          <w:szCs w:val="24"/>
          <w:lang w:val="hy-AM"/>
        </w:rPr>
        <w:t xml:space="preserve"> </w:t>
      </w:r>
      <w:r w:rsidR="00654B5D" w:rsidRPr="00C86A4B">
        <w:rPr>
          <w:rFonts w:ascii="GHEA Grapalat" w:hAnsi="GHEA Grapalat"/>
          <w:sz w:val="24"/>
          <w:szCs w:val="24"/>
          <w:lang w:val="hy-AM"/>
        </w:rPr>
        <w:t>սույն որոշումն ուժի մեջ մտնելուց հետո</w:t>
      </w:r>
      <w:r w:rsidR="00654B5D" w:rsidRPr="00654B5D">
        <w:rPr>
          <w:rFonts w:ascii="GHEA Grapalat" w:hAnsi="GHEA Grapalat"/>
          <w:sz w:val="24"/>
          <w:szCs w:val="24"/>
          <w:lang w:val="hy-AM"/>
        </w:rPr>
        <w:t>`</w:t>
      </w:r>
    </w:p>
    <w:p w14:paraId="34E03754" w14:textId="473EEAAE" w:rsidR="002F1732" w:rsidRPr="00EF4A5F" w:rsidRDefault="003B1C9C" w:rsidP="002F1732">
      <w:pPr>
        <w:spacing w:after="0" w:line="360" w:lineRule="auto"/>
        <w:ind w:firstLine="720"/>
        <w:jc w:val="both"/>
        <w:rPr>
          <w:rFonts w:ascii="Cambria Math" w:hAnsi="Cambria Math"/>
          <w:sz w:val="24"/>
          <w:szCs w:val="24"/>
          <w:lang w:val="hy-AM"/>
        </w:rPr>
      </w:pPr>
      <w:r w:rsidRPr="003B1C9C">
        <w:rPr>
          <w:rFonts w:ascii="GHEA Grapalat" w:hAnsi="GHEA Grapalat"/>
          <w:sz w:val="24"/>
          <w:szCs w:val="24"/>
          <w:lang w:val="hy-AM"/>
        </w:rPr>
        <w:t>1)</w:t>
      </w:r>
      <w:r w:rsidR="00654B5D" w:rsidRPr="00654B5D">
        <w:rPr>
          <w:rFonts w:ascii="GHEA Grapalat" w:hAnsi="GHEA Grapalat"/>
          <w:sz w:val="24"/>
          <w:szCs w:val="24"/>
          <w:lang w:val="hy-AM"/>
        </w:rPr>
        <w:t xml:space="preserve"> </w:t>
      </w:r>
      <w:r w:rsidR="00654B5D" w:rsidRPr="00C86A4B">
        <w:rPr>
          <w:rFonts w:ascii="GHEA Grapalat" w:hAnsi="GHEA Grapalat"/>
          <w:sz w:val="24"/>
          <w:szCs w:val="24"/>
          <w:lang w:val="hy-AM"/>
        </w:rPr>
        <w:t xml:space="preserve">երեքամսյա ժամկետում </w:t>
      </w:r>
      <w:r w:rsidR="002F1732" w:rsidRPr="00C86A4B">
        <w:rPr>
          <w:rFonts w:ascii="GHEA Grapalat" w:hAnsi="GHEA Grapalat"/>
          <w:sz w:val="24"/>
          <w:szCs w:val="24"/>
          <w:lang w:val="hy-AM"/>
        </w:rPr>
        <w:t>ընդունել սույն որոշումից բխող իրավական ակտերը</w:t>
      </w:r>
      <w:r w:rsidR="00EF4A5F">
        <w:rPr>
          <w:rFonts w:ascii="Cambria Math" w:hAnsi="Cambria Math"/>
          <w:sz w:val="24"/>
          <w:szCs w:val="24"/>
          <w:lang w:val="hy-AM"/>
        </w:rPr>
        <w:t>․</w:t>
      </w:r>
    </w:p>
    <w:p w14:paraId="55005147" w14:textId="2113145A" w:rsidR="00A90234" w:rsidRPr="002451D7" w:rsidRDefault="00654B5D" w:rsidP="00A90234">
      <w:pPr>
        <w:spacing w:after="0" w:line="360" w:lineRule="auto"/>
        <w:ind w:firstLine="720"/>
        <w:jc w:val="both"/>
        <w:rPr>
          <w:rFonts w:ascii="GHEA Grapalat" w:hAnsi="GHEA Grapalat"/>
          <w:sz w:val="24"/>
          <w:szCs w:val="24"/>
          <w:lang w:val="hy-AM"/>
        </w:rPr>
      </w:pPr>
      <w:r w:rsidRPr="00654B5D">
        <w:rPr>
          <w:rFonts w:ascii="GHEA Grapalat" w:hAnsi="GHEA Grapalat"/>
          <w:sz w:val="24"/>
          <w:szCs w:val="24"/>
          <w:lang w:val="hy-AM"/>
        </w:rPr>
        <w:t>2</w:t>
      </w:r>
      <w:r w:rsidRPr="00A90234">
        <w:rPr>
          <w:rFonts w:ascii="GHEA Grapalat" w:hAnsi="GHEA Grapalat"/>
          <w:sz w:val="24"/>
          <w:szCs w:val="24"/>
          <w:lang w:val="hy-AM"/>
        </w:rPr>
        <w:t>)</w:t>
      </w:r>
      <w:r w:rsidR="002F1732" w:rsidRPr="00C86A4B">
        <w:rPr>
          <w:rFonts w:ascii="GHEA Grapalat" w:hAnsi="GHEA Grapalat"/>
          <w:sz w:val="24"/>
          <w:szCs w:val="24"/>
          <w:lang w:val="hy-AM"/>
        </w:rPr>
        <w:t xml:space="preserve"> երկամսյա ժամկետում հաստատել միջուկային անվտանգության կարգավորման կոմիտեի միջուկային անվտանգության վարչության, </w:t>
      </w:r>
      <w:r w:rsidR="002F1732" w:rsidRPr="00C86A4B">
        <w:rPr>
          <w:rFonts w:ascii="GHEA Grapalat" w:hAnsi="GHEA Grapalat"/>
          <w:bCs/>
          <w:sz w:val="24"/>
          <w:szCs w:val="24"/>
          <w:lang w:val="hy-AM"/>
        </w:rPr>
        <w:t>ճառագայթային անվտանգության վարչության և</w:t>
      </w:r>
      <w:r w:rsidR="002F1732" w:rsidRPr="00C86A4B">
        <w:rPr>
          <w:rFonts w:ascii="GHEA Grapalat" w:hAnsi="GHEA Grapalat"/>
          <w:sz w:val="24"/>
          <w:szCs w:val="24"/>
          <w:lang w:val="hy-AM"/>
        </w:rPr>
        <w:t xml:space="preserve"> տեխնիկական բաժնի քաղաքացիական աշխատանք կատարող անձանց պաշտոնների նկարագրերը:</w:t>
      </w:r>
    </w:p>
    <w:p w14:paraId="4EE65C02" w14:textId="5B27CDE8" w:rsidR="002F1732" w:rsidRPr="00C86A4B" w:rsidRDefault="00A90234" w:rsidP="002F1732">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002F1732" w:rsidRPr="00C86A4B">
        <w:rPr>
          <w:rFonts w:ascii="GHEA Grapalat" w:hAnsi="GHEA Grapalat"/>
          <w:sz w:val="24"/>
          <w:szCs w:val="24"/>
          <w:lang w:val="hy-AM"/>
        </w:rPr>
        <w:t>. Սույն որոշումն ուժի մեջ է մտնում պաշտոնական հրապարակմանը հաջորդող օրվանից:</w:t>
      </w:r>
    </w:p>
    <w:p w14:paraId="76648D51" w14:textId="77777777" w:rsidR="002F1732" w:rsidRPr="00C86A4B" w:rsidRDefault="002F1732" w:rsidP="002F1732">
      <w:pPr>
        <w:spacing w:after="0" w:line="360" w:lineRule="auto"/>
        <w:ind w:firstLine="720"/>
        <w:jc w:val="both"/>
        <w:rPr>
          <w:rFonts w:ascii="GHEA Grapalat" w:hAnsi="GHEA Grapalat"/>
          <w:sz w:val="24"/>
          <w:szCs w:val="24"/>
          <w:lang w:val="hy-AM"/>
        </w:rPr>
      </w:pPr>
    </w:p>
    <w:p w14:paraId="0A8E5F67" w14:textId="77777777" w:rsidR="002F1732" w:rsidRPr="00C86A4B" w:rsidRDefault="002F1732" w:rsidP="002F1732">
      <w:pPr>
        <w:spacing w:after="0" w:line="360" w:lineRule="auto"/>
        <w:ind w:firstLine="720"/>
        <w:jc w:val="both"/>
        <w:rPr>
          <w:rFonts w:ascii="GHEA Grapalat" w:hAnsi="GHEA Grapalat"/>
          <w:b/>
          <w:sz w:val="24"/>
          <w:szCs w:val="24"/>
          <w:lang w:val="hy-AM"/>
        </w:rPr>
      </w:pPr>
      <w:r w:rsidRPr="00C86A4B">
        <w:rPr>
          <w:rFonts w:ascii="GHEA Grapalat" w:hAnsi="GHEA Grapalat"/>
          <w:b/>
          <w:sz w:val="24"/>
          <w:szCs w:val="24"/>
          <w:lang w:val="hy-AM"/>
        </w:rPr>
        <w:t xml:space="preserve">Հայաստանի Հանրապետության </w:t>
      </w:r>
    </w:p>
    <w:p w14:paraId="12EEB961" w14:textId="77777777" w:rsidR="002F1732" w:rsidRPr="00C86A4B" w:rsidRDefault="002F1732" w:rsidP="002F1732">
      <w:pPr>
        <w:spacing w:after="0" w:line="360" w:lineRule="auto"/>
        <w:ind w:firstLine="720"/>
        <w:jc w:val="both"/>
        <w:rPr>
          <w:rFonts w:ascii="GHEA Grapalat" w:hAnsi="GHEA Grapalat"/>
          <w:b/>
          <w:sz w:val="24"/>
          <w:szCs w:val="24"/>
          <w:lang w:val="hy-AM"/>
        </w:rPr>
      </w:pPr>
      <w:r w:rsidRPr="00C86A4B">
        <w:rPr>
          <w:rFonts w:ascii="GHEA Grapalat" w:hAnsi="GHEA Grapalat"/>
          <w:b/>
          <w:sz w:val="24"/>
          <w:szCs w:val="24"/>
          <w:lang w:val="hy-AM"/>
        </w:rPr>
        <w:t xml:space="preserve">            վարչապետ                                                           </w:t>
      </w:r>
    </w:p>
    <w:p w14:paraId="6B4A723C" w14:textId="77777777" w:rsidR="002F1732" w:rsidRPr="00C86A4B" w:rsidRDefault="002F1732" w:rsidP="002F1732">
      <w:pPr>
        <w:spacing w:after="0" w:line="360" w:lineRule="auto"/>
        <w:ind w:firstLine="720"/>
        <w:jc w:val="both"/>
        <w:rPr>
          <w:rFonts w:ascii="GHEA Grapalat" w:hAnsi="GHEA Grapalat"/>
          <w:b/>
          <w:sz w:val="24"/>
          <w:szCs w:val="24"/>
          <w:lang w:val="hy-AM"/>
        </w:rPr>
      </w:pPr>
    </w:p>
    <w:p w14:paraId="220D6A40" w14:textId="77777777" w:rsidR="002F1732" w:rsidRPr="00C86A4B" w:rsidRDefault="002F1732" w:rsidP="002F1732">
      <w:pPr>
        <w:spacing w:after="0" w:line="360" w:lineRule="auto"/>
        <w:ind w:firstLine="720"/>
        <w:jc w:val="both"/>
        <w:rPr>
          <w:rFonts w:ascii="GHEA Grapalat" w:hAnsi="GHEA Grapalat"/>
          <w:b/>
          <w:sz w:val="24"/>
          <w:szCs w:val="24"/>
          <w:lang w:val="hy-AM"/>
        </w:rPr>
      </w:pPr>
    </w:p>
    <w:p w14:paraId="77B1D5DD" w14:textId="77777777" w:rsidR="002F1732" w:rsidRPr="00C86A4B" w:rsidRDefault="002F1732" w:rsidP="002F1732">
      <w:pPr>
        <w:spacing w:after="0" w:line="360" w:lineRule="auto"/>
        <w:ind w:firstLine="720"/>
        <w:jc w:val="both"/>
        <w:rPr>
          <w:rFonts w:ascii="GHEA Grapalat" w:hAnsi="GHEA Grapalat"/>
          <w:b/>
          <w:sz w:val="24"/>
          <w:szCs w:val="24"/>
          <w:lang w:val="hy-AM"/>
        </w:rPr>
      </w:pPr>
      <w:r w:rsidRPr="00C86A4B">
        <w:rPr>
          <w:rFonts w:ascii="GHEA Grapalat" w:hAnsi="GHEA Grapalat"/>
          <w:b/>
          <w:sz w:val="24"/>
          <w:szCs w:val="24"/>
          <w:lang w:val="hy-AM"/>
        </w:rPr>
        <w:t xml:space="preserve">         Նիկոլ Փաշինյան</w:t>
      </w:r>
    </w:p>
    <w:p w14:paraId="7C667D76" w14:textId="77777777" w:rsidR="002F1732" w:rsidRPr="00C86A4B" w:rsidRDefault="002F1732" w:rsidP="002F1732">
      <w:pPr>
        <w:spacing w:after="0" w:line="360" w:lineRule="auto"/>
        <w:jc w:val="right"/>
        <w:rPr>
          <w:rFonts w:ascii="GHEA Grapalat" w:hAnsi="GHEA Grapalat"/>
          <w:sz w:val="24"/>
          <w:szCs w:val="24"/>
          <w:lang w:val="hy-AM"/>
        </w:rPr>
      </w:pPr>
    </w:p>
    <w:p w14:paraId="02E81394" w14:textId="77777777" w:rsidR="002F1732" w:rsidRPr="00C86A4B" w:rsidRDefault="002F1732" w:rsidP="002F1732">
      <w:pPr>
        <w:spacing w:after="0" w:line="360" w:lineRule="auto"/>
        <w:jc w:val="right"/>
        <w:rPr>
          <w:rFonts w:ascii="GHEA Grapalat" w:hAnsi="GHEA Grapalat"/>
          <w:sz w:val="24"/>
          <w:szCs w:val="24"/>
          <w:lang w:val="hy-AM"/>
        </w:rPr>
      </w:pPr>
    </w:p>
    <w:p w14:paraId="1C43C40C" w14:textId="77777777" w:rsidR="002F1732" w:rsidRPr="00C86A4B" w:rsidRDefault="002F1732" w:rsidP="002F1732">
      <w:pPr>
        <w:spacing w:after="0" w:line="360" w:lineRule="auto"/>
        <w:jc w:val="right"/>
        <w:rPr>
          <w:rFonts w:ascii="GHEA Grapalat" w:hAnsi="GHEA Grapalat"/>
          <w:sz w:val="24"/>
          <w:szCs w:val="24"/>
          <w:lang w:val="hy-AM"/>
        </w:rPr>
      </w:pPr>
    </w:p>
    <w:p w14:paraId="6EC4CB70" w14:textId="77777777" w:rsidR="002F1732" w:rsidRPr="00C86A4B" w:rsidRDefault="002F1732" w:rsidP="002F1732">
      <w:pPr>
        <w:spacing w:after="0" w:line="360" w:lineRule="auto"/>
        <w:jc w:val="right"/>
        <w:rPr>
          <w:rFonts w:ascii="GHEA Grapalat" w:hAnsi="GHEA Grapalat"/>
          <w:sz w:val="24"/>
          <w:szCs w:val="24"/>
          <w:lang w:val="hy-AM"/>
        </w:rPr>
      </w:pPr>
    </w:p>
    <w:p w14:paraId="0EBD78AF" w14:textId="77777777" w:rsidR="002F1732" w:rsidRPr="00C86A4B" w:rsidRDefault="002F1732" w:rsidP="002F1732">
      <w:pPr>
        <w:spacing w:after="0" w:line="360" w:lineRule="auto"/>
        <w:jc w:val="right"/>
        <w:rPr>
          <w:rFonts w:ascii="GHEA Grapalat" w:hAnsi="GHEA Grapalat"/>
          <w:sz w:val="24"/>
          <w:szCs w:val="24"/>
          <w:lang w:val="hy-AM"/>
        </w:rPr>
      </w:pPr>
    </w:p>
    <w:p w14:paraId="15CB81C2" w14:textId="204D7551" w:rsidR="002F1732" w:rsidRDefault="002F1732" w:rsidP="002F1732">
      <w:pPr>
        <w:spacing w:after="0" w:line="360" w:lineRule="auto"/>
        <w:jc w:val="right"/>
        <w:rPr>
          <w:rFonts w:ascii="GHEA Grapalat" w:hAnsi="GHEA Grapalat"/>
          <w:sz w:val="24"/>
          <w:szCs w:val="24"/>
          <w:lang w:val="hy-AM"/>
        </w:rPr>
      </w:pPr>
    </w:p>
    <w:p w14:paraId="569A744C" w14:textId="7E6C7992" w:rsidR="00213558" w:rsidRDefault="00213558" w:rsidP="002F1732">
      <w:pPr>
        <w:spacing w:after="0" w:line="360" w:lineRule="auto"/>
        <w:jc w:val="right"/>
        <w:rPr>
          <w:rFonts w:ascii="GHEA Grapalat" w:hAnsi="GHEA Grapalat"/>
          <w:sz w:val="24"/>
          <w:szCs w:val="24"/>
          <w:lang w:val="hy-AM"/>
        </w:rPr>
      </w:pPr>
    </w:p>
    <w:p w14:paraId="2280E0CF" w14:textId="453D27F6" w:rsidR="00213558" w:rsidRDefault="00213558" w:rsidP="002F1732">
      <w:pPr>
        <w:spacing w:after="0" w:line="360" w:lineRule="auto"/>
        <w:jc w:val="right"/>
        <w:rPr>
          <w:rFonts w:ascii="GHEA Grapalat" w:hAnsi="GHEA Grapalat"/>
          <w:sz w:val="24"/>
          <w:szCs w:val="24"/>
          <w:lang w:val="hy-AM"/>
        </w:rPr>
      </w:pPr>
    </w:p>
    <w:p w14:paraId="5632DC23" w14:textId="77777777" w:rsidR="00213558" w:rsidRPr="00C86A4B" w:rsidRDefault="00213558" w:rsidP="002F1732">
      <w:pPr>
        <w:spacing w:after="0" w:line="360" w:lineRule="auto"/>
        <w:jc w:val="right"/>
        <w:rPr>
          <w:rFonts w:ascii="GHEA Grapalat" w:hAnsi="GHEA Grapalat"/>
          <w:sz w:val="24"/>
          <w:szCs w:val="24"/>
          <w:lang w:val="hy-AM"/>
        </w:rPr>
      </w:pPr>
    </w:p>
    <w:p w14:paraId="3B3D9B16" w14:textId="77777777" w:rsidR="002F1732" w:rsidRPr="00C86A4B" w:rsidRDefault="002F1732" w:rsidP="002F1732">
      <w:pPr>
        <w:spacing w:after="0" w:line="360" w:lineRule="auto"/>
        <w:jc w:val="right"/>
        <w:rPr>
          <w:rFonts w:ascii="GHEA Grapalat" w:hAnsi="GHEA Grapalat"/>
          <w:sz w:val="24"/>
          <w:szCs w:val="24"/>
          <w:lang w:val="hy-AM"/>
        </w:rPr>
      </w:pPr>
    </w:p>
    <w:p w14:paraId="457369E4" w14:textId="77777777" w:rsidR="002F1732" w:rsidRPr="00C86A4B" w:rsidRDefault="002F1732" w:rsidP="002F1732">
      <w:pPr>
        <w:spacing w:after="0" w:line="360" w:lineRule="auto"/>
        <w:jc w:val="right"/>
        <w:rPr>
          <w:rFonts w:ascii="GHEA Grapalat" w:hAnsi="GHEA Grapalat"/>
          <w:sz w:val="24"/>
          <w:szCs w:val="24"/>
          <w:lang w:val="hy-AM"/>
        </w:rPr>
      </w:pPr>
      <w:r w:rsidRPr="00C86A4B">
        <w:rPr>
          <w:rFonts w:ascii="GHEA Grapalat" w:hAnsi="GHEA Grapalat"/>
          <w:sz w:val="24"/>
          <w:szCs w:val="24"/>
          <w:lang w:val="hy-AM"/>
        </w:rPr>
        <w:lastRenderedPageBreak/>
        <w:t>Հավելված</w:t>
      </w:r>
    </w:p>
    <w:p w14:paraId="77B233EE" w14:textId="77777777" w:rsidR="002F1732" w:rsidRPr="00C86A4B" w:rsidRDefault="002F1732" w:rsidP="002F1732">
      <w:pPr>
        <w:spacing w:after="0" w:line="360" w:lineRule="auto"/>
        <w:jc w:val="right"/>
        <w:rPr>
          <w:rFonts w:ascii="GHEA Grapalat" w:hAnsi="GHEA Grapalat"/>
          <w:sz w:val="24"/>
          <w:szCs w:val="24"/>
          <w:lang w:val="hy-AM"/>
        </w:rPr>
      </w:pPr>
      <w:r w:rsidRPr="00C86A4B">
        <w:rPr>
          <w:rFonts w:ascii="GHEA Grapalat" w:hAnsi="GHEA Grapalat"/>
          <w:sz w:val="24"/>
          <w:szCs w:val="24"/>
          <w:lang w:val="hy-AM"/>
        </w:rPr>
        <w:t xml:space="preserve">ՀՀ կառավարության 2023 թվականի </w:t>
      </w:r>
    </w:p>
    <w:p w14:paraId="0A7F2514" w14:textId="77777777" w:rsidR="002F1732" w:rsidRPr="00C86A4B" w:rsidRDefault="002F1732" w:rsidP="002F1732">
      <w:pPr>
        <w:spacing w:after="0" w:line="360" w:lineRule="auto"/>
        <w:jc w:val="right"/>
        <w:rPr>
          <w:rFonts w:ascii="GHEA Grapalat" w:hAnsi="GHEA Grapalat"/>
          <w:sz w:val="24"/>
          <w:szCs w:val="24"/>
          <w:lang w:val="hy-AM"/>
        </w:rPr>
      </w:pPr>
      <w:r w:rsidRPr="00C86A4B">
        <w:rPr>
          <w:rFonts w:ascii="GHEA Grapalat" w:hAnsi="GHEA Grapalat"/>
          <w:sz w:val="24"/>
          <w:szCs w:val="24"/>
          <w:lang w:val="hy-AM"/>
        </w:rPr>
        <w:t>__________ ____-ի №____-Ն որոշման</w:t>
      </w:r>
    </w:p>
    <w:p w14:paraId="4ABE2E3B" w14:textId="77777777" w:rsidR="002F1732" w:rsidRPr="00C86A4B" w:rsidRDefault="002F1732" w:rsidP="002F1732">
      <w:pPr>
        <w:spacing w:after="0" w:line="360" w:lineRule="auto"/>
        <w:jc w:val="right"/>
        <w:rPr>
          <w:rFonts w:ascii="GHEA Grapalat" w:hAnsi="GHEA Grapalat"/>
          <w:sz w:val="24"/>
          <w:szCs w:val="24"/>
          <w:lang w:val="hy-AM"/>
        </w:rPr>
      </w:pPr>
      <w:r w:rsidRPr="00C86A4B">
        <w:rPr>
          <w:rFonts w:ascii="GHEA Grapalat" w:hAnsi="GHEA Grapalat"/>
          <w:sz w:val="24"/>
          <w:szCs w:val="24"/>
          <w:lang w:val="hy-AM"/>
        </w:rPr>
        <w:t>«Հավելված № 7</w:t>
      </w:r>
    </w:p>
    <w:p w14:paraId="7D006F96" w14:textId="77777777" w:rsidR="002F1732" w:rsidRPr="00C86A4B" w:rsidRDefault="002F1732" w:rsidP="002F1732">
      <w:pPr>
        <w:spacing w:after="0" w:line="360" w:lineRule="auto"/>
        <w:jc w:val="right"/>
        <w:rPr>
          <w:rFonts w:ascii="GHEA Grapalat" w:hAnsi="GHEA Grapalat"/>
          <w:sz w:val="24"/>
          <w:szCs w:val="24"/>
          <w:lang w:val="hy-AM"/>
        </w:rPr>
      </w:pPr>
      <w:r w:rsidRPr="00C86A4B">
        <w:rPr>
          <w:rFonts w:ascii="GHEA Grapalat" w:hAnsi="GHEA Grapalat"/>
          <w:sz w:val="24"/>
          <w:szCs w:val="24"/>
          <w:lang w:val="hy-AM"/>
        </w:rPr>
        <w:t>ՀՀ կառավարության 2014 թվականի</w:t>
      </w:r>
    </w:p>
    <w:p w14:paraId="14C5CBC0" w14:textId="77777777" w:rsidR="002F1732" w:rsidRPr="00C86A4B" w:rsidRDefault="002F1732" w:rsidP="002F1732">
      <w:pPr>
        <w:spacing w:after="0" w:line="360" w:lineRule="auto"/>
        <w:jc w:val="right"/>
        <w:rPr>
          <w:rFonts w:ascii="GHEA Grapalat" w:hAnsi="GHEA Grapalat"/>
          <w:sz w:val="24"/>
          <w:szCs w:val="24"/>
          <w:lang w:val="hy-AM"/>
        </w:rPr>
      </w:pPr>
      <w:r w:rsidRPr="00C86A4B">
        <w:rPr>
          <w:rFonts w:ascii="GHEA Grapalat" w:hAnsi="GHEA Grapalat"/>
          <w:sz w:val="24"/>
          <w:szCs w:val="24"/>
          <w:lang w:val="hy-AM"/>
        </w:rPr>
        <w:t>հուլիսի 3-ի № 737-Ն որոշման</w:t>
      </w:r>
    </w:p>
    <w:p w14:paraId="03263AC7" w14:textId="77777777" w:rsidR="002F1732" w:rsidRPr="00C86A4B" w:rsidRDefault="002F1732" w:rsidP="002F1732">
      <w:pPr>
        <w:spacing w:after="0" w:line="360" w:lineRule="auto"/>
        <w:jc w:val="center"/>
        <w:rPr>
          <w:rFonts w:ascii="GHEA Grapalat" w:hAnsi="GHEA Grapalat"/>
          <w:sz w:val="24"/>
          <w:szCs w:val="24"/>
          <w:lang w:val="hy-AM"/>
        </w:rPr>
      </w:pPr>
    </w:p>
    <w:p w14:paraId="6CA99658" w14:textId="77777777" w:rsidR="002F1732" w:rsidRPr="00C86A4B" w:rsidRDefault="002F1732" w:rsidP="002F1732">
      <w:pPr>
        <w:spacing w:after="0" w:line="360" w:lineRule="auto"/>
        <w:jc w:val="center"/>
        <w:rPr>
          <w:rFonts w:ascii="GHEA Grapalat" w:hAnsi="GHEA Grapalat"/>
          <w:sz w:val="24"/>
          <w:szCs w:val="24"/>
          <w:lang w:val="hy-AM"/>
        </w:rPr>
      </w:pPr>
    </w:p>
    <w:p w14:paraId="40F994B3" w14:textId="77777777" w:rsidR="002F1732" w:rsidRPr="00C86A4B" w:rsidRDefault="002F1732" w:rsidP="002F1732">
      <w:pPr>
        <w:spacing w:after="0" w:line="360" w:lineRule="auto"/>
        <w:jc w:val="center"/>
        <w:rPr>
          <w:rFonts w:ascii="GHEA Grapalat" w:hAnsi="GHEA Grapalat"/>
          <w:sz w:val="24"/>
          <w:szCs w:val="24"/>
          <w:lang w:val="hy-AM"/>
        </w:rPr>
      </w:pPr>
    </w:p>
    <w:p w14:paraId="41CA62A1" w14:textId="598D26E6" w:rsidR="002F1732" w:rsidRPr="00C86A4B" w:rsidRDefault="002F1732" w:rsidP="002F1732">
      <w:pPr>
        <w:spacing w:after="0" w:line="360" w:lineRule="auto"/>
        <w:jc w:val="center"/>
        <w:rPr>
          <w:rFonts w:ascii="GHEA Grapalat" w:hAnsi="GHEA Grapalat"/>
          <w:sz w:val="24"/>
          <w:szCs w:val="24"/>
          <w:lang w:val="hy-AM"/>
        </w:rPr>
      </w:pPr>
      <w:r w:rsidRPr="00C86A4B">
        <w:rPr>
          <w:rFonts w:ascii="GHEA Grapalat" w:hAnsi="GHEA Grapalat"/>
          <w:sz w:val="24"/>
          <w:szCs w:val="24"/>
          <w:lang w:val="hy-AM"/>
        </w:rPr>
        <w:t xml:space="preserve">ՄԻՋՈՒԿԱՅԻՆ ԱՆՎՏԱՆԳՈՒԹՅԱՆ ԿԱՐԳԱՎՈՐՄԱՆ ԿՈՄԻՏԵԻ ՄԻՋՈՒԿԱՅԻՆ ԱՆՎՏԱՆԳՈՒԹՅԱՆ , ՃԱՌԱԳԱՅԹԱՅԻՆ ԱՆՎՏԱՆԳՈՒԹՅԱՆ  ԵՎ ՏԵԽՆԻԿԱԿԱՆ </w:t>
      </w:r>
      <w:r w:rsidR="00EF4A5F">
        <w:rPr>
          <w:rFonts w:ascii="GHEA Grapalat" w:hAnsi="GHEA Grapalat"/>
          <w:sz w:val="24"/>
          <w:szCs w:val="24"/>
          <w:lang w:val="hy-AM"/>
        </w:rPr>
        <w:t xml:space="preserve">ՍՏՈՐԱԲԱԺԱՆՈՒՄՆԵՐԻ </w:t>
      </w:r>
      <w:r w:rsidRPr="00C86A4B">
        <w:rPr>
          <w:rFonts w:ascii="GHEA Grapalat" w:hAnsi="GHEA Grapalat"/>
          <w:sz w:val="24"/>
          <w:szCs w:val="24"/>
          <w:lang w:val="hy-AM"/>
        </w:rPr>
        <w:t>ՔԱՂԱՔԱՑԻԱԿԱՆ ԱՇԽԱՏԱՆՔ ԿԱՏԱՐՈՂ ԱՆՁԱՆՑ ՀԱՎԵԼԱՎՃԱՐՆԵՐԻ ՎՃԱՐՄԱՆ ՊԱՅՄԱՆՆԵՐԸ, ԴԵՊՔԵՐԸ, ԿԱՐԳԸ ԵՎ ՉԱՓԵՐԸ</w:t>
      </w:r>
    </w:p>
    <w:p w14:paraId="0C369EE5" w14:textId="77777777" w:rsidR="002F1732" w:rsidRPr="00C86A4B" w:rsidRDefault="002F1732" w:rsidP="002F1732">
      <w:pPr>
        <w:spacing w:after="0" w:line="360" w:lineRule="auto"/>
        <w:jc w:val="center"/>
        <w:rPr>
          <w:rFonts w:ascii="GHEA Grapalat" w:hAnsi="GHEA Grapalat"/>
          <w:sz w:val="24"/>
          <w:szCs w:val="24"/>
          <w:lang w:val="hy-AM"/>
        </w:rPr>
      </w:pPr>
    </w:p>
    <w:p w14:paraId="267A79F4" w14:textId="77777777" w:rsidR="002F1732" w:rsidRPr="00C86A4B" w:rsidRDefault="002F1732" w:rsidP="002F1732">
      <w:pPr>
        <w:spacing w:after="0" w:line="360" w:lineRule="auto"/>
        <w:jc w:val="center"/>
        <w:rPr>
          <w:rFonts w:ascii="GHEA Grapalat" w:hAnsi="GHEA Grapalat"/>
          <w:sz w:val="24"/>
          <w:szCs w:val="24"/>
          <w:lang w:val="hy-AM"/>
        </w:rPr>
      </w:pPr>
      <w:r w:rsidRPr="00C86A4B">
        <w:rPr>
          <w:rFonts w:ascii="GHEA Grapalat" w:hAnsi="GHEA Grapalat"/>
          <w:sz w:val="24"/>
          <w:szCs w:val="24"/>
          <w:lang w:val="hy-AM"/>
        </w:rPr>
        <w:t>1. ՀԱՎԵԼԱՎՃԱՐՆԵՐԻ ՎՃԱՐՄԱՆ ՊԱՅՄԱՆՆԵՐԸ ԵՎ ԴԵՊՔԵՐԸ</w:t>
      </w:r>
    </w:p>
    <w:p w14:paraId="43A55969" w14:textId="77777777" w:rsidR="002F1732" w:rsidRPr="00C86A4B" w:rsidRDefault="002F1732" w:rsidP="002F1732">
      <w:pPr>
        <w:spacing w:after="0" w:line="360" w:lineRule="auto"/>
        <w:jc w:val="both"/>
        <w:rPr>
          <w:rFonts w:ascii="GHEA Grapalat" w:hAnsi="GHEA Grapalat"/>
          <w:sz w:val="24"/>
          <w:szCs w:val="24"/>
          <w:lang w:val="hy-AM"/>
        </w:rPr>
      </w:pPr>
    </w:p>
    <w:p w14:paraId="3963EDD5" w14:textId="38045243" w:rsidR="002F1732" w:rsidRPr="00C86A4B" w:rsidRDefault="002F1732" w:rsidP="002F1732">
      <w:pPr>
        <w:spacing w:after="0" w:line="360" w:lineRule="auto"/>
        <w:ind w:firstLine="720"/>
        <w:jc w:val="both"/>
        <w:rPr>
          <w:rFonts w:ascii="GHEA Grapalat" w:hAnsi="GHEA Grapalat" w:cs="Times New Roman"/>
          <w:b/>
          <w:bCs/>
          <w:sz w:val="24"/>
          <w:szCs w:val="24"/>
          <w:shd w:val="clear" w:color="auto" w:fill="FFFFFF"/>
          <w:lang w:val="hy-AM"/>
        </w:rPr>
      </w:pPr>
      <w:r w:rsidRPr="00C86A4B">
        <w:rPr>
          <w:rFonts w:ascii="GHEA Grapalat" w:hAnsi="GHEA Grapalat"/>
          <w:sz w:val="24"/>
          <w:szCs w:val="24"/>
          <w:lang w:val="hy-AM"/>
        </w:rPr>
        <w:t xml:space="preserve">1. «Խաղաղ նպատակներով ատոմային էներգիայի անվտանգ օգտագործման մասին» օրենքով միջուկային անվտանգության կարգավորման կոմիտեին (այսուհետ՝ Կոմիտե) վերապահված լիազորությունների իրականացման համար Կոմիտեի միջուկային անվտանգության վարչության, </w:t>
      </w:r>
      <w:r w:rsidRPr="00C86A4B">
        <w:rPr>
          <w:rFonts w:ascii="GHEA Grapalat" w:hAnsi="GHEA Grapalat"/>
          <w:bCs/>
          <w:sz w:val="24"/>
          <w:szCs w:val="24"/>
          <w:lang w:val="hy-AM"/>
        </w:rPr>
        <w:t>ճառագայթային անվտանգության վարչության և</w:t>
      </w:r>
      <w:r w:rsidRPr="00C86A4B">
        <w:rPr>
          <w:rFonts w:ascii="GHEA Grapalat" w:hAnsi="GHEA Grapalat"/>
          <w:sz w:val="24"/>
          <w:szCs w:val="24"/>
          <w:lang w:val="hy-AM"/>
        </w:rPr>
        <w:t xml:space="preserve"> տեխնիկական բաժնի մասնագետներին (այսուհետ՝ Մասնագետ) Հայաստանի Հանրապետության կողմից ատոմային էներգիայի օգտագործման բնագավառի վավերացված միջազգային պայմանագրերով </w:t>
      </w:r>
      <w:bookmarkStart w:id="4" w:name="_Hlk148699828"/>
      <w:r w:rsidRPr="00C86A4B">
        <w:rPr>
          <w:rFonts w:ascii="GHEA Grapalat" w:hAnsi="GHEA Grapalat"/>
          <w:sz w:val="24"/>
          <w:szCs w:val="24"/>
          <w:lang w:val="hy-AM"/>
        </w:rPr>
        <w:t>(</w:t>
      </w:r>
      <w:r w:rsidRPr="00C86A4B">
        <w:rPr>
          <w:rFonts w:ascii="GHEA Grapalat" w:eastAsia="Times New Roman" w:hAnsi="GHEA Grapalat" w:cs="Times New Roman"/>
          <w:b/>
          <w:bCs/>
          <w:sz w:val="24"/>
          <w:szCs w:val="24"/>
          <w:lang w:val="hy-AM" w:eastAsia="ru-RU"/>
        </w:rPr>
        <w:t>«</w:t>
      </w:r>
      <w:r w:rsidRPr="00C86A4B">
        <w:rPr>
          <w:rFonts w:ascii="GHEA Grapalat" w:eastAsia="Times New Roman" w:hAnsi="GHEA Grapalat" w:cs="Times New Roman"/>
          <w:sz w:val="24"/>
          <w:szCs w:val="24"/>
          <w:lang w:val="hy-AM" w:eastAsia="ru-RU"/>
        </w:rPr>
        <w:t xml:space="preserve">Միջուկային զենքը չտարածելու մասին» ՄԱԿ-ի 1968 թ. հունիսի 12-ի պայմանագիր, «Միջուկային զենքի չտարածման պայմանագրի հետ կապված երաշխիքների կիրառման մասին» Հայաստանի Հանրապետության և Ատոմային էներգիայի միջազգային գործակալության միջև համաձայնագիր, «Միջուկային զենքի չտարածման հետ կապված երաշխիքների կիրառման մասին Հայաստանի Հանրապետության և Ատոմային էներգիայի </w:t>
      </w:r>
      <w:r w:rsidRPr="00C86A4B">
        <w:rPr>
          <w:rFonts w:ascii="GHEA Grapalat" w:eastAsia="Times New Roman" w:hAnsi="GHEA Grapalat" w:cs="Times New Roman"/>
          <w:sz w:val="24"/>
          <w:szCs w:val="24"/>
          <w:lang w:val="hy-AM" w:eastAsia="ru-RU"/>
        </w:rPr>
        <w:lastRenderedPageBreak/>
        <w:t xml:space="preserve">միջազգային գործակալության միջև համաձայնագրին կից լրացուցիչ արձանագրություն, «Միջուկային անվտանգության մասին» կոնվենցիա, </w:t>
      </w:r>
      <w:r w:rsidRPr="00C86A4B">
        <w:rPr>
          <w:rFonts w:ascii="GHEA Grapalat" w:hAnsi="GHEA Grapalat" w:cs="Times New Roman"/>
          <w:sz w:val="24"/>
          <w:szCs w:val="24"/>
          <w:shd w:val="clear" w:color="auto" w:fill="FFFFFF"/>
          <w:lang w:val="hy-AM"/>
        </w:rPr>
        <w:t>«Միջուկային</w:t>
      </w:r>
      <w:r w:rsidRPr="00C86A4B">
        <w:rPr>
          <w:rFonts w:ascii="GHEA Grapalat" w:hAnsi="GHEA Grapalat"/>
          <w:sz w:val="24"/>
          <w:szCs w:val="24"/>
          <w:shd w:val="clear" w:color="auto" w:fill="FFFFFF"/>
          <w:lang w:val="hy-AM"/>
        </w:rPr>
        <w:t xml:space="preserve"> </w:t>
      </w:r>
      <w:r w:rsidRPr="00C86A4B">
        <w:rPr>
          <w:rFonts w:ascii="GHEA Grapalat" w:hAnsi="GHEA Grapalat" w:cs="Times New Roman"/>
          <w:sz w:val="24"/>
          <w:szCs w:val="24"/>
          <w:shd w:val="clear" w:color="auto" w:fill="FFFFFF"/>
          <w:lang w:val="hy-AM"/>
        </w:rPr>
        <w:t>վթարի</w:t>
      </w:r>
      <w:r w:rsidRPr="00C86A4B">
        <w:rPr>
          <w:rFonts w:ascii="GHEA Grapalat" w:hAnsi="GHEA Grapalat"/>
          <w:sz w:val="24"/>
          <w:szCs w:val="24"/>
          <w:shd w:val="clear" w:color="auto" w:fill="FFFFFF"/>
          <w:lang w:val="hy-AM"/>
        </w:rPr>
        <w:t xml:space="preserve"> </w:t>
      </w:r>
      <w:r w:rsidRPr="00C86A4B">
        <w:rPr>
          <w:rFonts w:ascii="GHEA Grapalat" w:hAnsi="GHEA Grapalat" w:cs="Times New Roman"/>
          <w:sz w:val="24"/>
          <w:szCs w:val="24"/>
          <w:shd w:val="clear" w:color="auto" w:fill="FFFFFF"/>
          <w:lang w:val="hy-AM"/>
        </w:rPr>
        <w:t>մասին</w:t>
      </w:r>
      <w:r w:rsidRPr="00C86A4B">
        <w:rPr>
          <w:rFonts w:ascii="GHEA Grapalat" w:hAnsi="GHEA Grapalat"/>
          <w:sz w:val="24"/>
          <w:szCs w:val="24"/>
          <w:shd w:val="clear" w:color="auto" w:fill="FFFFFF"/>
          <w:lang w:val="hy-AM"/>
        </w:rPr>
        <w:t xml:space="preserve"> </w:t>
      </w:r>
      <w:r w:rsidRPr="00C86A4B">
        <w:rPr>
          <w:rFonts w:ascii="GHEA Grapalat" w:hAnsi="GHEA Grapalat" w:cs="Times New Roman"/>
          <w:sz w:val="24"/>
          <w:szCs w:val="24"/>
          <w:shd w:val="clear" w:color="auto" w:fill="FFFFFF"/>
          <w:lang w:val="hy-AM"/>
        </w:rPr>
        <w:t>օպերատիվ</w:t>
      </w:r>
      <w:r w:rsidRPr="00C86A4B">
        <w:rPr>
          <w:rFonts w:ascii="GHEA Grapalat" w:hAnsi="GHEA Grapalat"/>
          <w:sz w:val="24"/>
          <w:szCs w:val="24"/>
          <w:shd w:val="clear" w:color="auto" w:fill="FFFFFF"/>
          <w:lang w:val="hy-AM"/>
        </w:rPr>
        <w:t xml:space="preserve"> </w:t>
      </w:r>
      <w:r w:rsidRPr="00C86A4B">
        <w:rPr>
          <w:rFonts w:ascii="GHEA Grapalat" w:hAnsi="GHEA Grapalat" w:cs="Times New Roman"/>
          <w:sz w:val="24"/>
          <w:szCs w:val="24"/>
          <w:shd w:val="clear" w:color="auto" w:fill="FFFFFF"/>
          <w:lang w:val="hy-AM"/>
        </w:rPr>
        <w:t>տեղեկացման</w:t>
      </w:r>
      <w:r w:rsidRPr="00C86A4B">
        <w:rPr>
          <w:rFonts w:ascii="GHEA Grapalat" w:hAnsi="GHEA Grapalat"/>
          <w:sz w:val="24"/>
          <w:szCs w:val="24"/>
          <w:shd w:val="clear" w:color="auto" w:fill="FFFFFF"/>
          <w:lang w:val="hy-AM"/>
        </w:rPr>
        <w:t xml:space="preserve"> </w:t>
      </w:r>
      <w:r w:rsidRPr="00C86A4B">
        <w:rPr>
          <w:rFonts w:ascii="GHEA Grapalat" w:hAnsi="GHEA Grapalat" w:cs="Times New Roman"/>
          <w:sz w:val="24"/>
          <w:szCs w:val="24"/>
          <w:shd w:val="clear" w:color="auto" w:fill="FFFFFF"/>
          <w:lang w:val="hy-AM"/>
        </w:rPr>
        <w:t>մասին»</w:t>
      </w:r>
      <w:r w:rsidRPr="00C86A4B">
        <w:rPr>
          <w:rFonts w:ascii="GHEA Grapalat" w:hAnsi="GHEA Grapalat"/>
          <w:sz w:val="24"/>
          <w:szCs w:val="24"/>
          <w:shd w:val="clear" w:color="auto" w:fill="FFFFFF"/>
          <w:lang w:val="hy-AM"/>
        </w:rPr>
        <w:t>, «</w:t>
      </w:r>
      <w:r w:rsidRPr="00C86A4B">
        <w:rPr>
          <w:rFonts w:ascii="GHEA Grapalat" w:eastAsia="Times New Roman" w:hAnsi="GHEA Grapalat" w:cs="Times New Roman"/>
          <w:sz w:val="24"/>
          <w:szCs w:val="24"/>
          <w:lang w:val="hy-AM" w:eastAsia="ru-RU"/>
        </w:rPr>
        <w:t xml:space="preserve">Միջուկային վթարի կամ ռադիացիոն վթարային իրադրության դեպքում օգնության մասին», «Միջուկային վնասի համար քաղաքացիական պատասխանատվության մասին» Վիեննայի կոնվենցիա, «Միջուկային նյութի ֆիզիկական պաշտպանության մասին» կոնվենցիա, 2005 թվականի հուլիսի 8-ին ստորագրված </w:t>
      </w:r>
      <w:r w:rsidRPr="00C86A4B">
        <w:rPr>
          <w:rFonts w:ascii="GHEA Grapalat" w:eastAsia="Times New Roman" w:hAnsi="GHEA Grapalat" w:cs="Roboto"/>
          <w:sz w:val="24"/>
          <w:szCs w:val="24"/>
          <w:lang w:val="hy-AM" w:eastAsia="ru-RU"/>
        </w:rPr>
        <w:t>«</w:t>
      </w:r>
      <w:r w:rsidRPr="00C86A4B">
        <w:rPr>
          <w:rFonts w:ascii="GHEA Grapalat" w:eastAsia="Times New Roman" w:hAnsi="GHEA Grapalat" w:cs="Times New Roman"/>
          <w:sz w:val="24"/>
          <w:szCs w:val="24"/>
          <w:lang w:val="hy-AM" w:eastAsia="ru-RU"/>
        </w:rPr>
        <w:t>Միջուկային նյութի ֆիզիկական պաշտպանության մասին</w:t>
      </w:r>
      <w:r w:rsidRPr="00C86A4B">
        <w:rPr>
          <w:rFonts w:ascii="GHEA Grapalat" w:eastAsia="Times New Roman" w:hAnsi="GHEA Grapalat" w:cs="Roboto"/>
          <w:sz w:val="24"/>
          <w:szCs w:val="24"/>
          <w:lang w:val="hy-AM" w:eastAsia="ru-RU"/>
        </w:rPr>
        <w:t>»</w:t>
      </w:r>
      <w:r w:rsidRPr="00C86A4B">
        <w:rPr>
          <w:rFonts w:ascii="GHEA Grapalat" w:eastAsia="Times New Roman" w:hAnsi="GHEA Grapalat" w:cs="Times New Roman"/>
          <w:sz w:val="24"/>
          <w:szCs w:val="24"/>
          <w:lang w:val="hy-AM" w:eastAsia="ru-RU"/>
        </w:rPr>
        <w:t xml:space="preserve"> կոնվենցիայի փոփոխություն, </w:t>
      </w:r>
      <w:r w:rsidRPr="00C86A4B">
        <w:rPr>
          <w:rFonts w:ascii="GHEA Grapalat" w:eastAsia="Times New Roman" w:hAnsi="GHEA Grapalat" w:cs="Roboto"/>
          <w:sz w:val="24"/>
          <w:szCs w:val="24"/>
          <w:lang w:val="hy-AM" w:eastAsia="ru-RU"/>
        </w:rPr>
        <w:t>«</w:t>
      </w:r>
      <w:r w:rsidRPr="00C86A4B">
        <w:rPr>
          <w:rFonts w:ascii="GHEA Grapalat" w:eastAsia="Times New Roman" w:hAnsi="GHEA Grapalat" w:cs="Times New Roman"/>
          <w:sz w:val="24"/>
          <w:szCs w:val="24"/>
          <w:lang w:val="hy-AM" w:eastAsia="ru-RU"/>
        </w:rPr>
        <w:t>Աշխատած վառելիքի անվտանգ կառավարման և ռադիոակտիվ թափոնների անվտանգ կառավարման» համատեղ կոնվենցիա</w:t>
      </w:r>
      <w:r w:rsidRPr="00C86A4B">
        <w:rPr>
          <w:rFonts w:ascii="GHEA Grapalat" w:hAnsi="GHEA Grapalat"/>
          <w:sz w:val="24"/>
          <w:szCs w:val="24"/>
          <w:lang w:val="hy-AM"/>
        </w:rPr>
        <w:t>), ինչպես նաև միջազգային այլ պարտավորություններով (մասնավորապես՝ Ատոմային Էներգիայի Միջազգային Գործակալության անվտանգության ստանդարտներ)</w:t>
      </w:r>
      <w:bookmarkEnd w:id="4"/>
      <w:r w:rsidRPr="00C86A4B">
        <w:rPr>
          <w:rFonts w:ascii="GHEA Grapalat" w:hAnsi="GHEA Grapalat"/>
          <w:sz w:val="24"/>
          <w:szCs w:val="24"/>
          <w:lang w:val="hy-AM"/>
        </w:rPr>
        <w:t xml:space="preserve"> և սույն հավելվածով սահմանված կոմպետենցիաների տիրապետման համար, ինչպես նաև Կոմիտեում աշխատանքային ստաժի համար տրվում է հավելավճար:</w:t>
      </w:r>
      <w:r w:rsidRPr="00C86A4B">
        <w:rPr>
          <w:rFonts w:ascii="GHEA Grapalat" w:hAnsi="GHEA Grapalat" w:cs="Times New Roman"/>
          <w:b/>
          <w:bCs/>
          <w:sz w:val="24"/>
          <w:szCs w:val="24"/>
          <w:shd w:val="clear" w:color="auto" w:fill="FFFFFF"/>
          <w:lang w:val="hy-AM"/>
        </w:rPr>
        <w:t xml:space="preserve"> </w:t>
      </w:r>
      <w:bookmarkStart w:id="5" w:name="_Hlk148510196"/>
    </w:p>
    <w:bookmarkEnd w:id="5"/>
    <w:p w14:paraId="49A7D24E" w14:textId="77777777" w:rsidR="002F1732" w:rsidRPr="00C86A4B" w:rsidRDefault="002F1732" w:rsidP="002F1732">
      <w:pPr>
        <w:spacing w:after="0" w:line="360" w:lineRule="auto"/>
        <w:ind w:firstLine="720"/>
        <w:jc w:val="both"/>
        <w:rPr>
          <w:rFonts w:ascii="GHEA Grapalat" w:hAnsi="GHEA Grapalat"/>
          <w:sz w:val="24"/>
          <w:szCs w:val="24"/>
          <w:lang w:val="hy-AM"/>
        </w:rPr>
      </w:pPr>
      <w:r w:rsidRPr="00C86A4B">
        <w:rPr>
          <w:rFonts w:ascii="GHEA Grapalat" w:hAnsi="GHEA Grapalat"/>
          <w:sz w:val="24"/>
          <w:szCs w:val="24"/>
          <w:lang w:val="hy-AM"/>
        </w:rPr>
        <w:t>2. Կոմպետենցիան գիտելիքների, ունակությունների, հմտությունների և վարքագծի ամբողջություն է, որն անհրաժեշտ է «Խաղաղ նպատակներով ատոմային էներգիայի անվտանգ օգտագործման մասին» օրենքից, ինչպես նաև Հայաստանի Հանրապետության միջազգային պայմանագրերից բխող գործառույթների պատշաճ, լիարժեք և արդյունավետ իրականացման համար:</w:t>
      </w:r>
    </w:p>
    <w:p w14:paraId="463BD094" w14:textId="1BC16C49" w:rsidR="002F1732" w:rsidRDefault="002F1732" w:rsidP="002F1732">
      <w:pPr>
        <w:spacing w:after="0" w:line="360" w:lineRule="auto"/>
        <w:ind w:firstLine="720"/>
        <w:jc w:val="both"/>
        <w:rPr>
          <w:rFonts w:ascii="GHEA Grapalat" w:hAnsi="GHEA Grapalat"/>
          <w:sz w:val="24"/>
          <w:szCs w:val="24"/>
          <w:lang w:val="hy-AM"/>
        </w:rPr>
      </w:pPr>
      <w:r w:rsidRPr="00C86A4B">
        <w:rPr>
          <w:rFonts w:ascii="GHEA Grapalat" w:hAnsi="GHEA Grapalat"/>
          <w:sz w:val="24"/>
          <w:szCs w:val="24"/>
          <w:lang w:val="hy-AM"/>
        </w:rPr>
        <w:t>3. Կոմպետենցիաների տիրապետման տեսանկյունից ներկայացվող պահանջներին համապատասխան հավելավճարը վճարվում է Մասնագետի կողմից Կոմպետենցիայի հիման վրա Կոմիտեի լիազորություններից բխող, Մասնագետի աշխատանքային պայմանագրերով և պաշտոնի նկարագրերով նախատեսված գործառույթների իրականացման համար</w:t>
      </w:r>
      <w:r w:rsidR="00213558" w:rsidRPr="00213558">
        <w:rPr>
          <w:rFonts w:ascii="GHEA Grapalat" w:hAnsi="GHEA Grapalat"/>
          <w:sz w:val="24"/>
          <w:szCs w:val="24"/>
          <w:lang w:val="hy-AM"/>
        </w:rPr>
        <w:t>:</w:t>
      </w:r>
      <w:r w:rsidRPr="00C86A4B">
        <w:rPr>
          <w:rFonts w:ascii="GHEA Grapalat" w:hAnsi="GHEA Grapalat"/>
          <w:sz w:val="24"/>
          <w:szCs w:val="24"/>
          <w:lang w:val="hy-AM"/>
        </w:rPr>
        <w:t xml:space="preserve"> </w:t>
      </w:r>
    </w:p>
    <w:p w14:paraId="7390E180" w14:textId="503D597F" w:rsidR="00213558" w:rsidRDefault="00213558" w:rsidP="00213558">
      <w:pPr>
        <w:spacing w:after="0" w:line="360" w:lineRule="auto"/>
        <w:ind w:firstLine="720"/>
        <w:jc w:val="both"/>
        <w:rPr>
          <w:rFonts w:ascii="GHEA Grapalat" w:hAnsi="GHEA Grapalat"/>
          <w:sz w:val="24"/>
          <w:szCs w:val="24"/>
          <w:lang w:val="hy-AM"/>
        </w:rPr>
      </w:pPr>
      <w:r w:rsidRPr="00213558">
        <w:rPr>
          <w:rFonts w:ascii="GHEA Grapalat" w:hAnsi="GHEA Grapalat"/>
          <w:sz w:val="24"/>
          <w:szCs w:val="24"/>
          <w:lang w:val="hy-AM"/>
        </w:rPr>
        <w:t xml:space="preserve">4. </w:t>
      </w:r>
      <w:r w:rsidRPr="00C86A4B">
        <w:rPr>
          <w:rFonts w:ascii="GHEA Grapalat" w:eastAsia="Times New Roman" w:hAnsi="GHEA Grapalat" w:cs="Times New Roman"/>
          <w:sz w:val="24"/>
          <w:szCs w:val="24"/>
          <w:lang w:val="hy-AM"/>
        </w:rPr>
        <w:t>Կոմպետենցիան հավաստվում է համապատասխան վկայականով (սերտիֆիկատով), որի հիման վրա կոմպետենցիան ենթակա է հաստատման Միջուկային անվտանգության կարգավորման կոմիտեի նախագահի կողմից սահմանված կարգով</w:t>
      </w:r>
      <w:r w:rsidRPr="00C86A4B">
        <w:rPr>
          <w:rFonts w:ascii="GHEA Grapalat" w:hAnsi="GHEA Grapalat"/>
          <w:sz w:val="24"/>
          <w:szCs w:val="24"/>
          <w:lang w:val="hy-AM"/>
        </w:rPr>
        <w:t>:</w:t>
      </w:r>
    </w:p>
    <w:p w14:paraId="6663EAB5" w14:textId="1FD9D240" w:rsidR="00213558" w:rsidRDefault="00213558" w:rsidP="00213558">
      <w:pPr>
        <w:spacing w:after="0" w:line="360" w:lineRule="auto"/>
        <w:ind w:firstLine="720"/>
        <w:jc w:val="both"/>
        <w:rPr>
          <w:rFonts w:ascii="GHEA Grapalat" w:hAnsi="GHEA Grapalat"/>
          <w:sz w:val="24"/>
          <w:szCs w:val="24"/>
          <w:lang w:val="hy-AM"/>
        </w:rPr>
      </w:pPr>
      <w:r w:rsidRPr="00213558">
        <w:rPr>
          <w:rFonts w:ascii="GHEA Grapalat" w:hAnsi="GHEA Grapalat"/>
          <w:sz w:val="24"/>
          <w:szCs w:val="24"/>
          <w:lang w:val="hy-AM"/>
        </w:rPr>
        <w:lastRenderedPageBreak/>
        <w:t xml:space="preserve">5. </w:t>
      </w:r>
      <w:r w:rsidRPr="00023695">
        <w:rPr>
          <w:rFonts w:ascii="GHEA Grapalat" w:hAnsi="GHEA Grapalat"/>
          <w:sz w:val="24"/>
          <w:szCs w:val="24"/>
          <w:lang w:val="hy-AM"/>
        </w:rPr>
        <w:t>Մասնագետին  աշխատանքային ստաժի համար  հավելավճար</w:t>
      </w:r>
      <w:r w:rsidR="009B7B6B" w:rsidRPr="00023695">
        <w:rPr>
          <w:rFonts w:ascii="GHEA Grapalat" w:hAnsi="GHEA Grapalat"/>
          <w:sz w:val="24"/>
          <w:szCs w:val="24"/>
          <w:lang w:val="hy-AM"/>
        </w:rPr>
        <w:t>ը</w:t>
      </w:r>
      <w:r w:rsidRPr="00023695">
        <w:rPr>
          <w:rFonts w:ascii="GHEA Grapalat" w:hAnsi="GHEA Grapalat"/>
          <w:sz w:val="24"/>
          <w:szCs w:val="24"/>
          <w:lang w:val="hy-AM"/>
        </w:rPr>
        <w:t xml:space="preserve"> </w:t>
      </w:r>
      <w:r w:rsidR="009B7B6B" w:rsidRPr="00023695">
        <w:rPr>
          <w:rFonts w:ascii="GHEA Grapalat" w:hAnsi="GHEA Grapalat"/>
          <w:sz w:val="24"/>
          <w:szCs w:val="24"/>
          <w:lang w:val="hy-AM"/>
        </w:rPr>
        <w:t xml:space="preserve">տրվում է </w:t>
      </w:r>
      <w:r w:rsidRPr="00023695">
        <w:rPr>
          <w:rFonts w:ascii="GHEA Grapalat" w:hAnsi="GHEA Grapalat"/>
          <w:sz w:val="24"/>
          <w:szCs w:val="24"/>
          <w:lang w:val="hy-AM"/>
        </w:rPr>
        <w:t>Կոմիտեում աշխատած տար</w:t>
      </w:r>
      <w:r w:rsidR="009B7B6B" w:rsidRPr="00023695">
        <w:rPr>
          <w:rFonts w:ascii="GHEA Grapalat" w:hAnsi="GHEA Grapalat"/>
          <w:sz w:val="24"/>
          <w:szCs w:val="24"/>
          <w:lang w:val="hy-AM"/>
        </w:rPr>
        <w:t>իների</w:t>
      </w:r>
      <w:r w:rsidRPr="00023695">
        <w:rPr>
          <w:rFonts w:ascii="GHEA Grapalat" w:hAnsi="GHEA Grapalat"/>
          <w:sz w:val="24"/>
          <w:szCs w:val="24"/>
          <w:lang w:val="hy-AM"/>
        </w:rPr>
        <w:t xml:space="preserve"> համար:</w:t>
      </w:r>
      <w:r w:rsidRPr="00C86A4B">
        <w:rPr>
          <w:rFonts w:ascii="GHEA Grapalat" w:hAnsi="GHEA Grapalat"/>
          <w:sz w:val="24"/>
          <w:szCs w:val="24"/>
          <w:lang w:val="hy-AM"/>
        </w:rPr>
        <w:t xml:space="preserve"> </w:t>
      </w:r>
    </w:p>
    <w:p w14:paraId="7B4A58BD" w14:textId="223018D1" w:rsidR="00213558" w:rsidRPr="00213558" w:rsidRDefault="00213558" w:rsidP="00213558">
      <w:pPr>
        <w:spacing w:after="0" w:line="360" w:lineRule="auto"/>
        <w:ind w:firstLine="720"/>
        <w:jc w:val="both"/>
        <w:rPr>
          <w:rFonts w:ascii="GHEA Grapalat" w:hAnsi="GHEA Grapalat"/>
          <w:sz w:val="24"/>
          <w:szCs w:val="24"/>
          <w:lang w:val="hy-AM"/>
        </w:rPr>
      </w:pPr>
    </w:p>
    <w:p w14:paraId="55440085" w14:textId="4A8AD82D" w:rsidR="00213558" w:rsidRPr="00213558" w:rsidRDefault="00213558" w:rsidP="00213558">
      <w:pPr>
        <w:spacing w:after="0" w:line="360" w:lineRule="auto"/>
        <w:jc w:val="both"/>
        <w:rPr>
          <w:rFonts w:ascii="GHEA Grapalat" w:hAnsi="GHEA Grapalat"/>
          <w:strike/>
          <w:sz w:val="24"/>
          <w:szCs w:val="24"/>
          <w:lang w:val="hy-AM"/>
        </w:rPr>
      </w:pPr>
    </w:p>
    <w:p w14:paraId="7FBD9A39" w14:textId="77777777" w:rsidR="002F1732" w:rsidRPr="00C86A4B" w:rsidRDefault="002F1732" w:rsidP="002F1732">
      <w:pPr>
        <w:spacing w:after="0" w:line="360" w:lineRule="auto"/>
        <w:jc w:val="both"/>
        <w:rPr>
          <w:rFonts w:ascii="GHEA Grapalat" w:hAnsi="GHEA Grapalat"/>
          <w:sz w:val="24"/>
          <w:szCs w:val="24"/>
          <w:lang w:val="hy-AM"/>
        </w:rPr>
      </w:pPr>
    </w:p>
    <w:p w14:paraId="27D28275" w14:textId="77777777" w:rsidR="002F1732" w:rsidRPr="00C86A4B" w:rsidRDefault="002F1732" w:rsidP="002F1732">
      <w:pPr>
        <w:spacing w:after="0" w:line="360" w:lineRule="auto"/>
        <w:jc w:val="center"/>
        <w:rPr>
          <w:rFonts w:ascii="GHEA Grapalat" w:hAnsi="GHEA Grapalat"/>
          <w:sz w:val="24"/>
          <w:szCs w:val="24"/>
          <w:lang w:val="hy-AM"/>
        </w:rPr>
      </w:pPr>
      <w:r w:rsidRPr="00C86A4B">
        <w:rPr>
          <w:rFonts w:ascii="GHEA Grapalat" w:hAnsi="GHEA Grapalat"/>
          <w:sz w:val="24"/>
          <w:szCs w:val="24"/>
          <w:lang w:val="hy-AM"/>
        </w:rPr>
        <w:t>2. ՀԱՎԵԼԱՎՃԱՐՆԵՐԻ ՎՃԱՐՄԱՆ ԿԱՐԳԸ ԵՎ ՉԱՓԵՐԸ</w:t>
      </w:r>
    </w:p>
    <w:p w14:paraId="51E37ED2" w14:textId="77777777" w:rsidR="002F1732" w:rsidRPr="00C86A4B" w:rsidRDefault="002F1732" w:rsidP="002F1732">
      <w:pPr>
        <w:spacing w:after="0" w:line="360" w:lineRule="auto"/>
        <w:jc w:val="center"/>
        <w:rPr>
          <w:rFonts w:ascii="GHEA Grapalat" w:hAnsi="GHEA Grapalat"/>
          <w:sz w:val="24"/>
          <w:szCs w:val="24"/>
          <w:lang w:val="hy-AM"/>
        </w:rPr>
      </w:pPr>
    </w:p>
    <w:p w14:paraId="5B6F504D" w14:textId="45347C49" w:rsidR="00213558" w:rsidRPr="00C86A4B" w:rsidRDefault="002F1732" w:rsidP="00213558">
      <w:pPr>
        <w:spacing w:after="0" w:line="360" w:lineRule="auto"/>
        <w:ind w:firstLine="720"/>
        <w:jc w:val="both"/>
        <w:rPr>
          <w:rFonts w:ascii="GHEA Grapalat" w:hAnsi="GHEA Grapalat"/>
          <w:b/>
          <w:sz w:val="24"/>
          <w:szCs w:val="24"/>
          <w:lang w:val="hy-AM"/>
        </w:rPr>
      </w:pPr>
      <w:r w:rsidRPr="00C86A4B">
        <w:rPr>
          <w:rFonts w:ascii="GHEA Grapalat" w:hAnsi="GHEA Grapalat"/>
          <w:sz w:val="24"/>
          <w:szCs w:val="24"/>
          <w:lang w:val="hy-AM"/>
        </w:rPr>
        <w:t xml:space="preserve"> </w:t>
      </w:r>
      <w:r w:rsidR="00213558">
        <w:rPr>
          <w:rFonts w:ascii="GHEA Grapalat" w:hAnsi="GHEA Grapalat"/>
          <w:sz w:val="24"/>
          <w:szCs w:val="24"/>
          <w:lang w:val="hy-AM"/>
        </w:rPr>
        <w:t>6</w:t>
      </w:r>
      <w:r w:rsidR="00213558" w:rsidRPr="00C86A4B">
        <w:rPr>
          <w:rFonts w:ascii="GHEA Grapalat" w:hAnsi="GHEA Grapalat"/>
          <w:sz w:val="24"/>
          <w:szCs w:val="24"/>
          <w:lang w:val="hy-AM"/>
        </w:rPr>
        <w:t>. Կոմիտեում աշխատած յուրաքանչյուր տարվա համար Մասնագետին տրվում է հավելավճար</w:t>
      </w:r>
      <w:r w:rsidR="00213558" w:rsidRPr="001D6D5C">
        <w:rPr>
          <w:rFonts w:ascii="GHEA Grapalat" w:hAnsi="GHEA Grapalat"/>
          <w:sz w:val="24"/>
          <w:szCs w:val="24"/>
          <w:lang w:val="hy-AM"/>
        </w:rPr>
        <w:t xml:space="preserve">` 2 </w:t>
      </w:r>
      <w:r w:rsidR="00213558">
        <w:rPr>
          <w:rFonts w:ascii="GHEA Grapalat" w:hAnsi="GHEA Grapalat"/>
          <w:sz w:val="24"/>
          <w:szCs w:val="24"/>
          <w:lang w:val="hy-AM"/>
        </w:rPr>
        <w:t>տոկոսի չափով, սակայն ոչ ավելի քան</w:t>
      </w:r>
      <w:r w:rsidR="00213558" w:rsidRPr="005A33E1">
        <w:rPr>
          <w:rFonts w:ascii="GHEA Grapalat" w:hAnsi="GHEA Grapalat"/>
          <w:sz w:val="24"/>
          <w:szCs w:val="24"/>
          <w:lang w:val="hy-AM"/>
        </w:rPr>
        <w:t xml:space="preserve"> </w:t>
      </w:r>
      <w:r w:rsidR="00213558">
        <w:rPr>
          <w:rFonts w:ascii="GHEA Grapalat" w:hAnsi="GHEA Grapalat"/>
          <w:sz w:val="24"/>
          <w:szCs w:val="24"/>
          <w:lang w:val="hy-AM"/>
        </w:rPr>
        <w:t xml:space="preserve">պաշտոնային դրույքաչափի 50 </w:t>
      </w:r>
      <w:r w:rsidR="00213558" w:rsidRPr="00FB76D1">
        <w:rPr>
          <w:rFonts w:ascii="GHEA Grapalat" w:hAnsi="GHEA Grapalat"/>
          <w:sz w:val="24"/>
          <w:szCs w:val="24"/>
          <w:lang w:val="hy-AM"/>
        </w:rPr>
        <w:t>տոկոսի չափով:</w:t>
      </w:r>
      <w:r w:rsidR="00213558" w:rsidRPr="00C86A4B">
        <w:rPr>
          <w:rFonts w:ascii="GHEA Grapalat" w:hAnsi="GHEA Grapalat"/>
          <w:b/>
          <w:sz w:val="24"/>
          <w:szCs w:val="24"/>
          <w:lang w:val="hy-AM"/>
        </w:rPr>
        <w:t xml:space="preserve">  </w:t>
      </w:r>
    </w:p>
    <w:p w14:paraId="586884AB" w14:textId="77777777" w:rsidR="00213558" w:rsidRDefault="00213558" w:rsidP="00213558">
      <w:pPr>
        <w:spacing w:after="0" w:line="360" w:lineRule="auto"/>
        <w:ind w:firstLine="720"/>
        <w:jc w:val="both"/>
        <w:rPr>
          <w:rFonts w:ascii="GHEA Grapalat" w:eastAsia="Times New Roman" w:hAnsi="GHEA Grapalat" w:cs="Times New Roman"/>
          <w:sz w:val="24"/>
          <w:szCs w:val="24"/>
          <w:lang w:val="hy-AM"/>
        </w:rPr>
      </w:pPr>
      <w:r>
        <w:rPr>
          <w:rFonts w:ascii="GHEA Grapalat" w:hAnsi="GHEA Grapalat"/>
          <w:sz w:val="24"/>
          <w:szCs w:val="24"/>
          <w:lang w:val="hy-AM"/>
        </w:rPr>
        <w:t>7</w:t>
      </w:r>
      <w:r w:rsidRPr="00C86A4B">
        <w:rPr>
          <w:rFonts w:ascii="GHEA Grapalat" w:hAnsi="GHEA Grapalat"/>
          <w:sz w:val="24"/>
          <w:szCs w:val="24"/>
          <w:lang w:val="hy-AM"/>
        </w:rPr>
        <w:t xml:space="preserve">. Աղյուսակ 1-ով նախատեսված և սահմանված կարգով հաստատված կոմպետենցիաներից </w:t>
      </w:r>
      <w:r w:rsidRPr="00C86A4B">
        <w:rPr>
          <w:rFonts w:ascii="GHEA Grapalat" w:eastAsia="Times New Roman" w:hAnsi="GHEA Grapalat" w:cs="Times New Roman"/>
          <w:sz w:val="24"/>
          <w:szCs w:val="24"/>
          <w:lang w:val="hy-AM"/>
        </w:rPr>
        <w:t>յուրաքանչյուրի տիրապետման համար մասնագետին հաշվարկվում է հավելավճար, որ</w:t>
      </w:r>
      <w:r>
        <w:rPr>
          <w:rFonts w:ascii="GHEA Grapalat" w:eastAsia="Times New Roman" w:hAnsi="GHEA Grapalat" w:cs="Times New Roman"/>
          <w:sz w:val="24"/>
          <w:szCs w:val="24"/>
          <w:lang w:val="hy-AM"/>
        </w:rPr>
        <w:t>ի</w:t>
      </w:r>
      <w:r w:rsidRPr="00C86A4B">
        <w:rPr>
          <w:rFonts w:ascii="GHEA Grapalat" w:eastAsia="Times New Roman" w:hAnsi="GHEA Grapalat" w:cs="Times New Roman"/>
          <w:sz w:val="24"/>
          <w:szCs w:val="24"/>
          <w:lang w:val="hy-AM"/>
        </w:rPr>
        <w:t xml:space="preserve"> հանրագումարի առավելագույն չափը չի կարող գերազանցել </w:t>
      </w:r>
      <w:r>
        <w:rPr>
          <w:rFonts w:ascii="GHEA Grapalat" w:eastAsia="Times New Roman" w:hAnsi="GHEA Grapalat" w:cs="Times New Roman"/>
          <w:sz w:val="24"/>
          <w:szCs w:val="24"/>
          <w:lang w:val="hy-AM"/>
        </w:rPr>
        <w:t>50</w:t>
      </w:r>
      <w:r w:rsidRPr="00C86A4B">
        <w:rPr>
          <w:rFonts w:ascii="GHEA Grapalat" w:eastAsia="Times New Roman" w:hAnsi="GHEA Grapalat" w:cs="Times New Roman"/>
          <w:sz w:val="24"/>
          <w:szCs w:val="24"/>
          <w:lang w:val="hy-AM"/>
        </w:rPr>
        <w:t xml:space="preserve"> տոկոսը</w:t>
      </w:r>
      <w:r>
        <w:rPr>
          <w:rFonts w:ascii="GHEA Grapalat" w:eastAsia="Times New Roman" w:hAnsi="GHEA Grapalat" w:cs="Times New Roman"/>
          <w:sz w:val="24"/>
          <w:szCs w:val="24"/>
          <w:lang w:val="hy-AM"/>
        </w:rPr>
        <w:t>:</w:t>
      </w:r>
    </w:p>
    <w:p w14:paraId="1F852099" w14:textId="3CB68723" w:rsidR="00213558" w:rsidRPr="00213558" w:rsidRDefault="00213558" w:rsidP="00213558">
      <w:pPr>
        <w:spacing w:after="0" w:line="360" w:lineRule="auto"/>
        <w:ind w:firstLine="720"/>
        <w:jc w:val="both"/>
        <w:rPr>
          <w:rFonts w:ascii="GHEA Grapalat" w:eastAsia="Times New Roman" w:hAnsi="GHEA Grapalat" w:cs="Times New Roman"/>
          <w:sz w:val="24"/>
          <w:szCs w:val="24"/>
          <w:lang w:val="hy-AM"/>
        </w:rPr>
      </w:pPr>
    </w:p>
    <w:p w14:paraId="7C7ECD45" w14:textId="0990D58A" w:rsidR="002F1732" w:rsidRPr="00C86A4B" w:rsidRDefault="002F1732" w:rsidP="00213558">
      <w:pPr>
        <w:spacing w:after="0" w:line="360" w:lineRule="auto"/>
        <w:jc w:val="right"/>
        <w:rPr>
          <w:rFonts w:ascii="GHEA Grapalat" w:hAnsi="GHEA Grapalat"/>
          <w:sz w:val="24"/>
          <w:szCs w:val="24"/>
          <w:lang w:val="hy-AM"/>
        </w:rPr>
      </w:pPr>
      <w:r w:rsidRPr="00C86A4B">
        <w:rPr>
          <w:rFonts w:ascii="GHEA Grapalat" w:hAnsi="GHEA Grapalat"/>
          <w:sz w:val="24"/>
          <w:szCs w:val="24"/>
          <w:lang w:val="hy-AM"/>
        </w:rPr>
        <w:t>Աղյուսակ 1</w:t>
      </w:r>
    </w:p>
    <w:p w14:paraId="2795D092" w14:textId="77777777" w:rsidR="002F1732" w:rsidRPr="00C86A4B" w:rsidRDefault="002F1732" w:rsidP="002F1732">
      <w:pPr>
        <w:spacing w:after="0" w:line="360" w:lineRule="auto"/>
        <w:rPr>
          <w:rFonts w:ascii="GHEA Grapalat" w:hAnsi="GHEA Grapalat"/>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3"/>
        <w:gridCol w:w="6028"/>
        <w:gridCol w:w="2879"/>
      </w:tblGrid>
      <w:tr w:rsidR="002F1732" w:rsidRPr="00C86A4B" w14:paraId="15851C67" w14:textId="77777777" w:rsidTr="00B93DA7">
        <w:trPr>
          <w:trHeight w:val="2417"/>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6F384C"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b/>
                <w:bCs/>
                <w:sz w:val="24"/>
                <w:szCs w:val="24"/>
              </w:rPr>
              <w:t>№№</w:t>
            </w:r>
          </w:p>
          <w:p w14:paraId="7ACF8B7B"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b/>
                <w:bCs/>
                <w:sz w:val="24"/>
                <w:szCs w:val="24"/>
              </w:rPr>
              <w:t>ը/կ</w:t>
            </w:r>
          </w:p>
        </w:tc>
        <w:tc>
          <w:tcPr>
            <w:tcW w:w="60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26DFA7"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proofErr w:type="spellStart"/>
            <w:r w:rsidRPr="00C86A4B">
              <w:rPr>
                <w:rFonts w:ascii="GHEA Grapalat" w:eastAsia="Times New Roman" w:hAnsi="GHEA Grapalat" w:cs="Times New Roman"/>
                <w:b/>
                <w:bCs/>
                <w:sz w:val="24"/>
                <w:szCs w:val="24"/>
              </w:rPr>
              <w:t>Կոմպետենցիաներ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5EC7C8"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proofErr w:type="spellStart"/>
            <w:r w:rsidRPr="00C86A4B">
              <w:rPr>
                <w:rFonts w:ascii="GHEA Grapalat" w:eastAsia="Times New Roman" w:hAnsi="GHEA Grapalat" w:cs="Times New Roman"/>
                <w:b/>
                <w:bCs/>
                <w:sz w:val="24"/>
                <w:szCs w:val="24"/>
              </w:rPr>
              <w:t>Պաշտոնային</w:t>
            </w:r>
            <w:proofErr w:type="spellEnd"/>
            <w:r w:rsidRPr="00C86A4B">
              <w:rPr>
                <w:rFonts w:ascii="GHEA Grapalat" w:eastAsia="Times New Roman" w:hAnsi="GHEA Grapalat" w:cs="Times New Roman"/>
                <w:b/>
                <w:bCs/>
                <w:sz w:val="24"/>
                <w:szCs w:val="24"/>
              </w:rPr>
              <w:t xml:space="preserve"> </w:t>
            </w:r>
            <w:proofErr w:type="spellStart"/>
            <w:r w:rsidRPr="00C86A4B">
              <w:rPr>
                <w:rFonts w:ascii="GHEA Grapalat" w:eastAsia="Times New Roman" w:hAnsi="GHEA Grapalat" w:cs="Times New Roman"/>
                <w:b/>
                <w:bCs/>
                <w:sz w:val="24"/>
                <w:szCs w:val="24"/>
              </w:rPr>
              <w:t>դրույքաչափի</w:t>
            </w:r>
            <w:proofErr w:type="spellEnd"/>
            <w:r w:rsidRPr="00C86A4B">
              <w:rPr>
                <w:rFonts w:ascii="GHEA Grapalat" w:eastAsia="Times New Roman" w:hAnsi="GHEA Grapalat" w:cs="Times New Roman"/>
                <w:b/>
                <w:bCs/>
                <w:sz w:val="24"/>
                <w:szCs w:val="24"/>
              </w:rPr>
              <w:t xml:space="preserve"> </w:t>
            </w:r>
            <w:proofErr w:type="spellStart"/>
            <w:r w:rsidRPr="00C86A4B">
              <w:rPr>
                <w:rFonts w:ascii="GHEA Grapalat" w:eastAsia="Times New Roman" w:hAnsi="GHEA Grapalat" w:cs="Times New Roman"/>
                <w:b/>
                <w:bCs/>
                <w:sz w:val="24"/>
                <w:szCs w:val="24"/>
              </w:rPr>
              <w:t>նկատմամբ</w:t>
            </w:r>
            <w:proofErr w:type="spellEnd"/>
            <w:r w:rsidRPr="00C86A4B">
              <w:rPr>
                <w:rFonts w:ascii="GHEA Grapalat" w:eastAsia="Times New Roman" w:hAnsi="GHEA Grapalat" w:cs="Times New Roman"/>
                <w:b/>
                <w:bCs/>
                <w:sz w:val="24"/>
                <w:szCs w:val="24"/>
              </w:rPr>
              <w:t xml:space="preserve"> </w:t>
            </w:r>
            <w:proofErr w:type="spellStart"/>
            <w:r w:rsidRPr="00C86A4B">
              <w:rPr>
                <w:rFonts w:ascii="GHEA Grapalat" w:eastAsia="Times New Roman" w:hAnsi="GHEA Grapalat" w:cs="Times New Roman"/>
                <w:b/>
                <w:bCs/>
                <w:sz w:val="24"/>
                <w:szCs w:val="24"/>
              </w:rPr>
              <w:t>հաշվարկվող</w:t>
            </w:r>
            <w:proofErr w:type="spellEnd"/>
          </w:p>
          <w:p w14:paraId="442333C0"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b/>
                <w:bCs/>
                <w:sz w:val="24"/>
                <w:szCs w:val="24"/>
                <w:lang w:val="hy-AM"/>
              </w:rPr>
              <w:t xml:space="preserve">առավելագույն </w:t>
            </w:r>
            <w:proofErr w:type="spellStart"/>
            <w:r w:rsidRPr="00C86A4B">
              <w:rPr>
                <w:rFonts w:ascii="GHEA Grapalat" w:eastAsia="Times New Roman" w:hAnsi="GHEA Grapalat" w:cs="Times New Roman"/>
                <w:b/>
                <w:bCs/>
                <w:sz w:val="24"/>
                <w:szCs w:val="24"/>
              </w:rPr>
              <w:t>տոկոս</w:t>
            </w:r>
            <w:proofErr w:type="spellEnd"/>
            <w:r w:rsidRPr="00C86A4B">
              <w:rPr>
                <w:rFonts w:ascii="GHEA Grapalat" w:eastAsia="Times New Roman" w:hAnsi="GHEA Grapalat" w:cs="Times New Roman"/>
                <w:b/>
                <w:bCs/>
                <w:sz w:val="24"/>
                <w:szCs w:val="24"/>
                <w:lang w:val="hy-AM"/>
              </w:rPr>
              <w:t>ը</w:t>
            </w:r>
            <w:r w:rsidRPr="00C86A4B">
              <w:rPr>
                <w:rFonts w:ascii="GHEA Grapalat" w:eastAsia="Times New Roman" w:hAnsi="GHEA Grapalat" w:cs="Times New Roman"/>
                <w:b/>
                <w:bCs/>
                <w:sz w:val="24"/>
                <w:szCs w:val="24"/>
              </w:rPr>
              <w:t xml:space="preserve"> (%)</w:t>
            </w:r>
          </w:p>
        </w:tc>
      </w:tr>
      <w:tr w:rsidR="002F1732" w:rsidRPr="00C86A4B" w14:paraId="057D26CC" w14:textId="77777777" w:rsidTr="00B93DA7">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hideMark/>
          </w:tcPr>
          <w:p w14:paraId="2E9F521E"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1.</w:t>
            </w:r>
          </w:p>
        </w:tc>
        <w:tc>
          <w:tcPr>
            <w:tcW w:w="6028" w:type="dxa"/>
            <w:tcBorders>
              <w:top w:val="outset" w:sz="6" w:space="0" w:color="auto"/>
              <w:left w:val="outset" w:sz="6" w:space="0" w:color="auto"/>
              <w:bottom w:val="outset" w:sz="6" w:space="0" w:color="auto"/>
              <w:right w:val="outset" w:sz="6" w:space="0" w:color="auto"/>
            </w:tcBorders>
            <w:shd w:val="clear" w:color="auto" w:fill="FFFFFF"/>
            <w:hideMark/>
          </w:tcPr>
          <w:p w14:paraId="311E134E" w14:textId="77777777" w:rsidR="002F1732" w:rsidRPr="00C86A4B" w:rsidRDefault="002F1732" w:rsidP="00B93DA7">
            <w:pPr>
              <w:spacing w:after="0" w:line="240" w:lineRule="auto"/>
              <w:ind w:firstLine="92"/>
              <w:jc w:val="both"/>
              <w:rPr>
                <w:rFonts w:ascii="GHEA Grapalat" w:eastAsia="Times New Roman" w:hAnsi="GHEA Grapalat" w:cs="Times New Roman"/>
                <w:sz w:val="24"/>
                <w:szCs w:val="24"/>
              </w:rPr>
            </w:pPr>
            <w:r w:rsidRPr="00C86A4B">
              <w:rPr>
                <w:rFonts w:ascii="GHEA Grapalat" w:hAnsi="GHEA Grapalat"/>
                <w:b/>
                <w:bCs/>
                <w:sz w:val="24"/>
                <w:szCs w:val="24"/>
                <w:lang w:val="hy-AM"/>
              </w:rPr>
              <w:t>ԱԷՄԳ</w:t>
            </w:r>
            <w:r w:rsidRPr="00C86A4B">
              <w:rPr>
                <w:rFonts w:ascii="GHEA Grapalat" w:hAnsi="GHEA Grapalat"/>
                <w:b/>
                <w:bCs/>
                <w:sz w:val="24"/>
                <w:szCs w:val="24"/>
              </w:rPr>
              <w:t xml:space="preserve">-ի </w:t>
            </w:r>
            <w:r w:rsidRPr="00C86A4B">
              <w:rPr>
                <w:rFonts w:ascii="GHEA Grapalat" w:hAnsi="GHEA Grapalat"/>
                <w:b/>
                <w:bCs/>
                <w:sz w:val="24"/>
                <w:szCs w:val="24"/>
                <w:lang w:val="hy-AM"/>
              </w:rPr>
              <w:t>երաշխիքների կիրառում</w:t>
            </w:r>
            <w:r w:rsidRPr="00C86A4B">
              <w:rPr>
                <w:rFonts w:ascii="GHEA Grapalat" w:hAnsi="GHEA Grapalat"/>
                <w:b/>
                <w:bCs/>
                <w:sz w:val="24"/>
                <w:szCs w:val="24"/>
              </w:rPr>
              <w:t xml:space="preserve"> (IAEA </w:t>
            </w:r>
            <w:r w:rsidRPr="00C86A4B">
              <w:rPr>
                <w:rFonts w:ascii="GHEA Grapalat" w:hAnsi="GHEA Grapalat"/>
                <w:b/>
                <w:bCs/>
                <w:sz w:val="24"/>
                <w:szCs w:val="24"/>
                <w:lang w:val="hy-AM"/>
              </w:rPr>
              <w:t xml:space="preserve">Safeguard </w:t>
            </w:r>
            <w:r w:rsidRPr="00C86A4B">
              <w:rPr>
                <w:rFonts w:ascii="GHEA Grapalat" w:hAnsi="GHEA Grapalat"/>
                <w:b/>
                <w:bCs/>
                <w:sz w:val="24"/>
                <w:szCs w:val="24"/>
              </w:rPr>
              <w:t>impleme</w:t>
            </w:r>
            <w:r>
              <w:rPr>
                <w:rFonts w:ascii="GHEA Grapalat" w:hAnsi="GHEA Grapalat"/>
                <w:b/>
                <w:bCs/>
                <w:sz w:val="24"/>
                <w:szCs w:val="24"/>
              </w:rPr>
              <w:t>n</w:t>
            </w:r>
            <w:r w:rsidRPr="00C86A4B">
              <w:rPr>
                <w:rFonts w:ascii="GHEA Grapalat" w:hAnsi="GHEA Grapalat"/>
                <w:b/>
                <w:bCs/>
                <w:sz w:val="24"/>
                <w:szCs w:val="24"/>
              </w:rPr>
              <w:t>tatio</w:t>
            </w:r>
            <w:r>
              <w:rPr>
                <w:rFonts w:ascii="GHEA Grapalat" w:hAnsi="GHEA Grapalat"/>
                <w:b/>
                <w:bCs/>
                <w:sz w:val="24"/>
                <w:szCs w:val="24"/>
              </w:rPr>
              <w:t>n</w:t>
            </w:r>
            <w:r w:rsidRPr="00C86A4B">
              <w:rPr>
                <w:rFonts w:ascii="GHEA Grapalat" w:hAnsi="GHEA Grapalat"/>
                <w:b/>
                <w:bCs/>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758F9"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25</w:t>
            </w:r>
          </w:p>
        </w:tc>
      </w:tr>
      <w:tr w:rsidR="002F1732" w:rsidRPr="00C86A4B" w14:paraId="6B0433C0" w14:textId="77777777" w:rsidTr="00B93DA7">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hideMark/>
          </w:tcPr>
          <w:p w14:paraId="2D460786"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2.</w:t>
            </w:r>
          </w:p>
        </w:tc>
        <w:tc>
          <w:tcPr>
            <w:tcW w:w="6028" w:type="dxa"/>
            <w:tcBorders>
              <w:top w:val="outset" w:sz="6" w:space="0" w:color="auto"/>
              <w:left w:val="outset" w:sz="6" w:space="0" w:color="auto"/>
              <w:bottom w:val="outset" w:sz="6" w:space="0" w:color="auto"/>
              <w:right w:val="outset" w:sz="6" w:space="0" w:color="auto"/>
            </w:tcBorders>
            <w:shd w:val="clear" w:color="auto" w:fill="FFFFFF"/>
            <w:hideMark/>
          </w:tcPr>
          <w:p w14:paraId="729B67FC" w14:textId="77777777" w:rsidR="002F1732" w:rsidRPr="00C86A4B" w:rsidRDefault="002F1732" w:rsidP="00B93DA7">
            <w:pPr>
              <w:jc w:val="both"/>
              <w:rPr>
                <w:rFonts w:ascii="GHEA Grapalat" w:hAnsi="GHEA Grapalat"/>
                <w:b/>
                <w:bCs/>
                <w:sz w:val="24"/>
                <w:szCs w:val="24"/>
              </w:rPr>
            </w:pPr>
            <w:r w:rsidRPr="00C86A4B">
              <w:rPr>
                <w:rFonts w:ascii="GHEA Grapalat" w:hAnsi="GHEA Grapalat"/>
                <w:b/>
                <w:bCs/>
                <w:sz w:val="24"/>
                <w:szCs w:val="24"/>
                <w:lang w:val="hy-AM"/>
              </w:rPr>
              <w:t>Միջադեպերի</w:t>
            </w:r>
            <w:r w:rsidRPr="00C86A4B">
              <w:rPr>
                <w:rFonts w:ascii="GHEA Grapalat" w:hAnsi="GHEA Grapalat"/>
                <w:b/>
                <w:bCs/>
                <w:sz w:val="24"/>
                <w:szCs w:val="24"/>
              </w:rPr>
              <w:t xml:space="preserve"> </w:t>
            </w:r>
            <w:proofErr w:type="spellStart"/>
            <w:r w:rsidRPr="00C86A4B">
              <w:rPr>
                <w:rFonts w:ascii="GHEA Grapalat" w:hAnsi="GHEA Grapalat"/>
                <w:b/>
                <w:bCs/>
                <w:sz w:val="24"/>
                <w:szCs w:val="24"/>
              </w:rPr>
              <w:t>քննություն</w:t>
            </w:r>
            <w:proofErr w:type="spellEnd"/>
            <w:r w:rsidRPr="00C86A4B">
              <w:rPr>
                <w:rFonts w:ascii="GHEA Grapalat" w:hAnsi="GHEA Grapalat"/>
                <w:b/>
                <w:bCs/>
                <w:sz w:val="24"/>
                <w:szCs w:val="24"/>
                <w:lang w:val="hy-AM"/>
              </w:rPr>
              <w:t xml:space="preserve"> </w:t>
            </w:r>
            <w:r w:rsidRPr="00C86A4B">
              <w:rPr>
                <w:rFonts w:ascii="GHEA Grapalat" w:hAnsi="GHEA Grapalat"/>
                <w:b/>
                <w:bCs/>
                <w:sz w:val="24"/>
                <w:szCs w:val="24"/>
              </w:rPr>
              <w:t>(</w:t>
            </w:r>
            <w:r w:rsidRPr="00C86A4B">
              <w:rPr>
                <w:rFonts w:ascii="GHEA Grapalat" w:hAnsi="GHEA Grapalat"/>
                <w:b/>
                <w:bCs/>
                <w:sz w:val="24"/>
                <w:szCs w:val="24"/>
                <w:lang w:val="hy-AM"/>
              </w:rPr>
              <w:t>Eve</w:t>
            </w:r>
            <w:r>
              <w:rPr>
                <w:rFonts w:ascii="GHEA Grapalat" w:hAnsi="GHEA Grapalat"/>
                <w:b/>
                <w:bCs/>
                <w:sz w:val="24"/>
                <w:szCs w:val="24"/>
              </w:rPr>
              <w:t>n</w:t>
            </w:r>
            <w:r w:rsidRPr="00C86A4B">
              <w:rPr>
                <w:rFonts w:ascii="GHEA Grapalat" w:hAnsi="GHEA Grapalat"/>
                <w:b/>
                <w:bCs/>
                <w:sz w:val="24"/>
                <w:szCs w:val="24"/>
                <w:lang w:val="hy-AM"/>
              </w:rPr>
              <w:t>t I</w:t>
            </w:r>
            <w:r>
              <w:rPr>
                <w:rFonts w:ascii="GHEA Grapalat" w:hAnsi="GHEA Grapalat"/>
                <w:b/>
                <w:bCs/>
                <w:sz w:val="24"/>
                <w:szCs w:val="24"/>
              </w:rPr>
              <w:t>n</w:t>
            </w:r>
            <w:r w:rsidRPr="00C86A4B">
              <w:rPr>
                <w:rFonts w:ascii="GHEA Grapalat" w:hAnsi="GHEA Grapalat"/>
                <w:b/>
                <w:bCs/>
                <w:sz w:val="24"/>
                <w:szCs w:val="24"/>
                <w:lang w:val="hy-AM"/>
              </w:rPr>
              <w:t>vestigatio</w:t>
            </w:r>
            <w:r>
              <w:rPr>
                <w:rFonts w:ascii="GHEA Grapalat" w:hAnsi="GHEA Grapalat"/>
                <w:b/>
                <w:bCs/>
                <w:sz w:val="24"/>
                <w:szCs w:val="24"/>
              </w:rPr>
              <w:t>n</w:t>
            </w:r>
            <w:r w:rsidRPr="00C86A4B">
              <w:rPr>
                <w:rFonts w:ascii="GHEA Grapalat" w:hAnsi="GHEA Grapalat"/>
                <w:b/>
                <w:bCs/>
                <w:sz w:val="24"/>
                <w:szCs w:val="24"/>
              </w:rPr>
              <w:t>)</w:t>
            </w:r>
          </w:p>
          <w:p w14:paraId="4EF11340" w14:textId="77777777" w:rsidR="002F1732" w:rsidRPr="00C86A4B" w:rsidRDefault="002F1732" w:rsidP="00B93DA7">
            <w:pPr>
              <w:spacing w:after="0" w:line="240" w:lineRule="auto"/>
              <w:jc w:val="both"/>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7C5CE3"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25</w:t>
            </w:r>
          </w:p>
        </w:tc>
      </w:tr>
      <w:tr w:rsidR="002F1732" w:rsidRPr="00C86A4B" w14:paraId="1CA38A34" w14:textId="77777777" w:rsidTr="00B93DA7">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hideMark/>
          </w:tcPr>
          <w:p w14:paraId="1B422AF0"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3.</w:t>
            </w:r>
          </w:p>
        </w:tc>
        <w:tc>
          <w:tcPr>
            <w:tcW w:w="6028" w:type="dxa"/>
            <w:tcBorders>
              <w:top w:val="outset" w:sz="6" w:space="0" w:color="auto"/>
              <w:left w:val="outset" w:sz="6" w:space="0" w:color="auto"/>
              <w:bottom w:val="outset" w:sz="6" w:space="0" w:color="auto"/>
              <w:right w:val="outset" w:sz="6" w:space="0" w:color="auto"/>
            </w:tcBorders>
            <w:shd w:val="clear" w:color="auto" w:fill="FFFFFF"/>
            <w:hideMark/>
          </w:tcPr>
          <w:p w14:paraId="5475F91A" w14:textId="77777777" w:rsidR="002F1732" w:rsidRPr="00C86A4B" w:rsidRDefault="002F1732" w:rsidP="00B93DA7">
            <w:pPr>
              <w:spacing w:after="0" w:line="240" w:lineRule="auto"/>
              <w:jc w:val="both"/>
              <w:rPr>
                <w:rFonts w:ascii="GHEA Grapalat" w:eastAsia="Times New Roman" w:hAnsi="GHEA Grapalat" w:cs="Times New Roman"/>
                <w:sz w:val="24"/>
                <w:szCs w:val="24"/>
              </w:rPr>
            </w:pPr>
            <w:r w:rsidRPr="00C86A4B">
              <w:rPr>
                <w:rFonts w:ascii="GHEA Grapalat" w:hAnsi="GHEA Grapalat"/>
                <w:b/>
                <w:bCs/>
                <w:sz w:val="24"/>
                <w:szCs w:val="24"/>
              </w:rPr>
              <w:t xml:space="preserve"> </w:t>
            </w:r>
            <w:proofErr w:type="spellStart"/>
            <w:r w:rsidRPr="00C86A4B">
              <w:rPr>
                <w:rFonts w:ascii="GHEA Grapalat" w:hAnsi="GHEA Grapalat"/>
                <w:b/>
                <w:bCs/>
                <w:sz w:val="24"/>
                <w:szCs w:val="24"/>
              </w:rPr>
              <w:t>Անվտանգության</w:t>
            </w:r>
            <w:proofErr w:type="spellEnd"/>
            <w:r w:rsidRPr="00C86A4B">
              <w:rPr>
                <w:rFonts w:ascii="GHEA Grapalat" w:hAnsi="GHEA Grapalat"/>
                <w:b/>
                <w:bCs/>
                <w:sz w:val="24"/>
                <w:szCs w:val="24"/>
              </w:rPr>
              <w:t xml:space="preserve"> </w:t>
            </w:r>
            <w:proofErr w:type="spellStart"/>
            <w:r w:rsidRPr="00C86A4B">
              <w:rPr>
                <w:rFonts w:ascii="GHEA Grapalat" w:hAnsi="GHEA Grapalat"/>
                <w:b/>
                <w:bCs/>
                <w:sz w:val="24"/>
                <w:szCs w:val="24"/>
              </w:rPr>
              <w:t>գնահատում</w:t>
            </w:r>
            <w:proofErr w:type="spellEnd"/>
            <w:r w:rsidRPr="00C86A4B">
              <w:rPr>
                <w:rFonts w:ascii="GHEA Grapalat" w:hAnsi="GHEA Grapalat"/>
                <w:b/>
                <w:bCs/>
                <w:sz w:val="24"/>
                <w:szCs w:val="24"/>
              </w:rPr>
              <w:t xml:space="preserve">, </w:t>
            </w:r>
            <w:r w:rsidRPr="00C86A4B">
              <w:rPr>
                <w:rFonts w:ascii="GHEA Grapalat" w:hAnsi="GHEA Grapalat"/>
                <w:b/>
                <w:bCs/>
                <w:sz w:val="24"/>
                <w:szCs w:val="24"/>
                <w:lang w:val="hy-AM"/>
              </w:rPr>
              <w:t>դիտարկ</w:t>
            </w:r>
            <w:proofErr w:type="spellStart"/>
            <w:r w:rsidRPr="00C86A4B">
              <w:rPr>
                <w:rFonts w:ascii="GHEA Grapalat" w:hAnsi="GHEA Grapalat"/>
                <w:b/>
                <w:bCs/>
                <w:sz w:val="24"/>
                <w:szCs w:val="24"/>
              </w:rPr>
              <w:t>ում</w:t>
            </w:r>
            <w:proofErr w:type="spellEnd"/>
            <w:r w:rsidRPr="00C86A4B">
              <w:rPr>
                <w:rFonts w:ascii="GHEA Grapalat" w:hAnsi="GHEA Grapalat"/>
                <w:b/>
                <w:bCs/>
                <w:sz w:val="24"/>
                <w:szCs w:val="24"/>
              </w:rPr>
              <w:t xml:space="preserve"> և </w:t>
            </w:r>
            <w:proofErr w:type="spellStart"/>
            <w:r w:rsidRPr="00C86A4B">
              <w:rPr>
                <w:rFonts w:ascii="GHEA Grapalat" w:hAnsi="GHEA Grapalat"/>
                <w:b/>
                <w:bCs/>
                <w:sz w:val="24"/>
                <w:szCs w:val="24"/>
              </w:rPr>
              <w:t>վերլուծություն</w:t>
            </w:r>
            <w:proofErr w:type="spellEnd"/>
            <w:r w:rsidRPr="00C86A4B">
              <w:rPr>
                <w:rFonts w:ascii="GHEA Grapalat" w:hAnsi="GHEA Grapalat"/>
                <w:b/>
                <w:bCs/>
                <w:sz w:val="24"/>
                <w:szCs w:val="24"/>
              </w:rPr>
              <w:t xml:space="preserve"> (</w:t>
            </w:r>
            <w:r w:rsidRPr="00C86A4B">
              <w:rPr>
                <w:rFonts w:ascii="GHEA Grapalat" w:hAnsi="GHEA Grapalat"/>
                <w:b/>
                <w:bCs/>
                <w:sz w:val="24"/>
                <w:szCs w:val="24"/>
                <w:lang w:val="hy-AM"/>
              </w:rPr>
              <w:t>Safety assessme</w:t>
            </w:r>
            <w:r>
              <w:rPr>
                <w:rFonts w:ascii="GHEA Grapalat" w:hAnsi="GHEA Grapalat"/>
                <w:b/>
                <w:bCs/>
                <w:sz w:val="24"/>
                <w:szCs w:val="24"/>
              </w:rPr>
              <w:t>n</w:t>
            </w:r>
            <w:r w:rsidRPr="00C86A4B">
              <w:rPr>
                <w:rFonts w:ascii="GHEA Grapalat" w:hAnsi="GHEA Grapalat"/>
                <w:b/>
                <w:bCs/>
                <w:sz w:val="24"/>
                <w:szCs w:val="24"/>
                <w:lang w:val="hy-AM"/>
              </w:rPr>
              <w:t>t, review a</w:t>
            </w:r>
            <w:r>
              <w:rPr>
                <w:rFonts w:ascii="GHEA Grapalat" w:hAnsi="GHEA Grapalat"/>
                <w:b/>
                <w:bCs/>
                <w:sz w:val="24"/>
                <w:szCs w:val="24"/>
              </w:rPr>
              <w:t>n</w:t>
            </w:r>
            <w:r w:rsidRPr="00C86A4B">
              <w:rPr>
                <w:rFonts w:ascii="GHEA Grapalat" w:hAnsi="GHEA Grapalat"/>
                <w:b/>
                <w:bCs/>
                <w:sz w:val="24"/>
                <w:szCs w:val="24"/>
                <w:lang w:val="hy-AM"/>
              </w:rPr>
              <w:t>d a</w:t>
            </w:r>
            <w:r>
              <w:rPr>
                <w:rFonts w:ascii="GHEA Grapalat" w:hAnsi="GHEA Grapalat"/>
                <w:b/>
                <w:bCs/>
                <w:sz w:val="24"/>
                <w:szCs w:val="24"/>
              </w:rPr>
              <w:t>n</w:t>
            </w:r>
            <w:r w:rsidRPr="00C86A4B">
              <w:rPr>
                <w:rFonts w:ascii="GHEA Grapalat" w:hAnsi="GHEA Grapalat"/>
                <w:b/>
                <w:bCs/>
                <w:sz w:val="24"/>
                <w:szCs w:val="24"/>
                <w:lang w:val="hy-AM"/>
              </w:rPr>
              <w:t>alysys</w:t>
            </w:r>
            <w:r w:rsidRPr="00C86A4B">
              <w:rPr>
                <w:rFonts w:ascii="GHEA Grapalat" w:hAnsi="GHEA Grapalat"/>
                <w:b/>
                <w:bCs/>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231F6"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25</w:t>
            </w:r>
          </w:p>
        </w:tc>
      </w:tr>
      <w:tr w:rsidR="002F1732" w:rsidRPr="00C86A4B" w14:paraId="7767DE7C" w14:textId="77777777" w:rsidTr="00B93DA7">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hideMark/>
          </w:tcPr>
          <w:p w14:paraId="48F9AC94"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lastRenderedPageBreak/>
              <w:t>4.</w:t>
            </w:r>
          </w:p>
        </w:tc>
        <w:tc>
          <w:tcPr>
            <w:tcW w:w="6028" w:type="dxa"/>
            <w:tcBorders>
              <w:top w:val="outset" w:sz="6" w:space="0" w:color="auto"/>
              <w:left w:val="outset" w:sz="6" w:space="0" w:color="auto"/>
              <w:bottom w:val="outset" w:sz="6" w:space="0" w:color="auto"/>
              <w:right w:val="outset" w:sz="6" w:space="0" w:color="auto"/>
            </w:tcBorders>
            <w:shd w:val="clear" w:color="auto" w:fill="FFFFFF"/>
            <w:hideMark/>
          </w:tcPr>
          <w:p w14:paraId="2D5E92BE" w14:textId="77777777" w:rsidR="002F1732" w:rsidRPr="00C86A4B" w:rsidRDefault="002F1732" w:rsidP="00B93DA7">
            <w:pPr>
              <w:jc w:val="both"/>
              <w:rPr>
                <w:rFonts w:ascii="GHEA Grapalat" w:eastAsia="Times New Roman" w:hAnsi="GHEA Grapalat" w:cs="Times New Roman"/>
                <w:sz w:val="24"/>
                <w:szCs w:val="24"/>
              </w:rPr>
            </w:pPr>
            <w:proofErr w:type="spellStart"/>
            <w:r w:rsidRPr="00C86A4B">
              <w:rPr>
                <w:rFonts w:ascii="GHEA Grapalat" w:hAnsi="GHEA Grapalat"/>
                <w:b/>
                <w:bCs/>
                <w:sz w:val="24"/>
                <w:szCs w:val="24"/>
              </w:rPr>
              <w:t>Ջերմ</w:t>
            </w:r>
            <w:proofErr w:type="spellEnd"/>
            <w:r w:rsidRPr="00C86A4B">
              <w:rPr>
                <w:rFonts w:ascii="GHEA Grapalat" w:hAnsi="GHEA Grapalat"/>
                <w:b/>
                <w:bCs/>
                <w:sz w:val="24"/>
                <w:szCs w:val="24"/>
                <w:lang w:val="hy-AM"/>
              </w:rPr>
              <w:t>ա</w:t>
            </w:r>
            <w:proofErr w:type="spellStart"/>
            <w:r w:rsidRPr="00C86A4B">
              <w:rPr>
                <w:rFonts w:ascii="GHEA Grapalat" w:hAnsi="GHEA Grapalat"/>
                <w:b/>
                <w:bCs/>
                <w:sz w:val="24"/>
                <w:szCs w:val="24"/>
              </w:rPr>
              <w:t>հիդրավլիկ</w:t>
            </w:r>
            <w:proofErr w:type="spellEnd"/>
            <w:r w:rsidRPr="00C86A4B">
              <w:rPr>
                <w:rFonts w:ascii="GHEA Grapalat" w:hAnsi="GHEA Grapalat"/>
                <w:b/>
                <w:bCs/>
                <w:sz w:val="24"/>
                <w:szCs w:val="24"/>
              </w:rPr>
              <w:t xml:space="preserve">, </w:t>
            </w:r>
            <w:proofErr w:type="spellStart"/>
            <w:r w:rsidRPr="00C86A4B">
              <w:rPr>
                <w:rFonts w:ascii="GHEA Grapalat" w:hAnsi="GHEA Grapalat"/>
                <w:b/>
                <w:bCs/>
                <w:sz w:val="24"/>
                <w:szCs w:val="24"/>
              </w:rPr>
              <w:t>նեյտրոն</w:t>
            </w:r>
            <w:proofErr w:type="spellEnd"/>
            <w:r w:rsidRPr="00C86A4B">
              <w:rPr>
                <w:rFonts w:ascii="GHEA Grapalat" w:hAnsi="GHEA Grapalat"/>
                <w:b/>
                <w:bCs/>
                <w:sz w:val="24"/>
                <w:szCs w:val="24"/>
                <w:lang w:val="hy-AM"/>
              </w:rPr>
              <w:t>ա-</w:t>
            </w:r>
            <w:proofErr w:type="spellStart"/>
            <w:r w:rsidRPr="00C86A4B">
              <w:rPr>
                <w:rFonts w:ascii="GHEA Grapalat" w:hAnsi="GHEA Grapalat"/>
                <w:b/>
                <w:bCs/>
                <w:sz w:val="24"/>
                <w:szCs w:val="24"/>
              </w:rPr>
              <w:t>ֆիզիկա</w:t>
            </w:r>
            <w:proofErr w:type="spellEnd"/>
            <w:r w:rsidRPr="00C86A4B">
              <w:rPr>
                <w:rFonts w:ascii="GHEA Grapalat" w:hAnsi="GHEA Grapalat"/>
                <w:b/>
                <w:bCs/>
                <w:sz w:val="24"/>
                <w:szCs w:val="24"/>
                <w:lang w:val="hy-AM"/>
              </w:rPr>
              <w:t>կան և</w:t>
            </w:r>
            <w:r w:rsidRPr="00C86A4B">
              <w:rPr>
                <w:rFonts w:ascii="GHEA Grapalat" w:hAnsi="GHEA Grapalat"/>
                <w:b/>
                <w:bCs/>
                <w:sz w:val="24"/>
                <w:szCs w:val="24"/>
              </w:rPr>
              <w:t xml:space="preserve"> </w:t>
            </w:r>
            <w:r w:rsidRPr="00C86A4B">
              <w:rPr>
                <w:rFonts w:ascii="GHEA Grapalat" w:hAnsi="GHEA Grapalat"/>
                <w:b/>
                <w:bCs/>
                <w:sz w:val="24"/>
                <w:szCs w:val="24"/>
                <w:lang w:val="hy-AM"/>
              </w:rPr>
              <w:t>ամրության</w:t>
            </w:r>
            <w:r w:rsidRPr="00C86A4B">
              <w:rPr>
                <w:rFonts w:ascii="GHEA Grapalat" w:hAnsi="GHEA Grapalat"/>
                <w:b/>
                <w:bCs/>
                <w:sz w:val="24"/>
                <w:szCs w:val="24"/>
              </w:rPr>
              <w:t xml:space="preserve"> </w:t>
            </w:r>
            <w:proofErr w:type="spellStart"/>
            <w:r w:rsidRPr="00C86A4B">
              <w:rPr>
                <w:rFonts w:ascii="GHEA Grapalat" w:hAnsi="GHEA Grapalat"/>
                <w:b/>
                <w:bCs/>
                <w:sz w:val="24"/>
                <w:szCs w:val="24"/>
              </w:rPr>
              <w:t>հաշվարկներ</w:t>
            </w:r>
            <w:proofErr w:type="spellEnd"/>
            <w:r w:rsidRPr="00C86A4B">
              <w:rPr>
                <w:rFonts w:ascii="GHEA Grapalat" w:hAnsi="GHEA Grapalat"/>
                <w:b/>
                <w:bCs/>
                <w:sz w:val="24"/>
                <w:szCs w:val="24"/>
                <w:lang w:val="hy-AM"/>
              </w:rPr>
              <w:t>ի դիտարկ</w:t>
            </w:r>
            <w:proofErr w:type="spellStart"/>
            <w:r w:rsidRPr="00C86A4B">
              <w:rPr>
                <w:rFonts w:ascii="GHEA Grapalat" w:hAnsi="GHEA Grapalat"/>
                <w:b/>
                <w:bCs/>
                <w:sz w:val="24"/>
                <w:szCs w:val="24"/>
              </w:rPr>
              <w:t>ում</w:t>
            </w:r>
            <w:proofErr w:type="spellEnd"/>
            <w:r w:rsidRPr="00C86A4B">
              <w:rPr>
                <w:rFonts w:ascii="GHEA Grapalat" w:hAnsi="GHEA Grapalat"/>
                <w:sz w:val="24"/>
                <w:szCs w:val="24"/>
              </w:rPr>
              <w:t xml:space="preserve"> </w:t>
            </w:r>
            <w:r w:rsidRPr="00C86A4B">
              <w:rPr>
                <w:rFonts w:ascii="GHEA Grapalat" w:hAnsi="GHEA Grapalat"/>
                <w:b/>
                <w:bCs/>
                <w:sz w:val="24"/>
                <w:szCs w:val="24"/>
              </w:rPr>
              <w:t>(</w:t>
            </w:r>
            <w:r w:rsidRPr="00C86A4B">
              <w:rPr>
                <w:rFonts w:ascii="GHEA Grapalat" w:hAnsi="GHEA Grapalat"/>
                <w:sz w:val="24"/>
                <w:szCs w:val="24"/>
              </w:rPr>
              <w:t>T</w:t>
            </w:r>
            <w:r w:rsidRPr="00C86A4B">
              <w:rPr>
                <w:rFonts w:ascii="GHEA Grapalat" w:hAnsi="GHEA Grapalat"/>
                <w:b/>
                <w:bCs/>
                <w:sz w:val="24"/>
                <w:szCs w:val="24"/>
                <w:lang w:val="hy-AM"/>
              </w:rPr>
              <w:t xml:space="preserve">hermohydraulic, </w:t>
            </w:r>
            <w:r>
              <w:rPr>
                <w:rFonts w:ascii="GHEA Grapalat" w:hAnsi="GHEA Grapalat"/>
                <w:b/>
                <w:bCs/>
                <w:sz w:val="24"/>
                <w:szCs w:val="24"/>
              </w:rPr>
              <w:t>n</w:t>
            </w:r>
            <w:r w:rsidRPr="00C86A4B">
              <w:rPr>
                <w:rFonts w:ascii="GHEA Grapalat" w:hAnsi="GHEA Grapalat"/>
                <w:b/>
                <w:bCs/>
                <w:sz w:val="24"/>
                <w:szCs w:val="24"/>
                <w:lang w:val="hy-AM"/>
              </w:rPr>
              <w:t>eutro</w:t>
            </w:r>
            <w:r>
              <w:rPr>
                <w:rFonts w:ascii="GHEA Grapalat" w:hAnsi="GHEA Grapalat"/>
                <w:b/>
                <w:bCs/>
                <w:sz w:val="24"/>
                <w:szCs w:val="24"/>
              </w:rPr>
              <w:t>n</w:t>
            </w:r>
            <w:r w:rsidRPr="00C86A4B">
              <w:rPr>
                <w:rFonts w:ascii="GHEA Grapalat" w:hAnsi="GHEA Grapalat"/>
                <w:b/>
                <w:bCs/>
                <w:sz w:val="24"/>
                <w:szCs w:val="24"/>
                <w:lang w:val="hy-AM"/>
              </w:rPr>
              <w:t xml:space="preserve"> physics </w:t>
            </w:r>
            <w:r w:rsidRPr="00C86A4B">
              <w:rPr>
                <w:rFonts w:ascii="GHEA Grapalat" w:hAnsi="GHEA Grapalat"/>
                <w:b/>
                <w:bCs/>
                <w:sz w:val="24"/>
                <w:szCs w:val="24"/>
              </w:rPr>
              <w:t>a</w:t>
            </w:r>
            <w:r>
              <w:rPr>
                <w:rFonts w:ascii="GHEA Grapalat" w:hAnsi="GHEA Grapalat"/>
                <w:b/>
                <w:bCs/>
                <w:sz w:val="24"/>
                <w:szCs w:val="24"/>
              </w:rPr>
              <w:t>n</w:t>
            </w:r>
            <w:r w:rsidRPr="00C86A4B">
              <w:rPr>
                <w:rFonts w:ascii="GHEA Grapalat" w:hAnsi="GHEA Grapalat"/>
                <w:b/>
                <w:bCs/>
                <w:sz w:val="24"/>
                <w:szCs w:val="24"/>
              </w:rPr>
              <w:t>d</w:t>
            </w:r>
            <w:r w:rsidRPr="00C86A4B">
              <w:rPr>
                <w:rFonts w:ascii="GHEA Grapalat" w:hAnsi="GHEA Grapalat"/>
                <w:b/>
                <w:bCs/>
                <w:sz w:val="24"/>
                <w:szCs w:val="24"/>
                <w:lang w:val="hy-AM"/>
              </w:rPr>
              <w:t xml:space="preserve"> stre</w:t>
            </w:r>
            <w:r>
              <w:rPr>
                <w:rFonts w:ascii="GHEA Grapalat" w:hAnsi="GHEA Grapalat"/>
                <w:b/>
                <w:bCs/>
                <w:sz w:val="24"/>
                <w:szCs w:val="24"/>
              </w:rPr>
              <w:t>n</w:t>
            </w:r>
            <w:r w:rsidRPr="00C86A4B">
              <w:rPr>
                <w:rFonts w:ascii="GHEA Grapalat" w:hAnsi="GHEA Grapalat"/>
                <w:b/>
                <w:bCs/>
                <w:sz w:val="24"/>
                <w:szCs w:val="24"/>
                <w:lang w:val="hy-AM"/>
              </w:rPr>
              <w:t>gth calculatio</w:t>
            </w:r>
            <w:r>
              <w:rPr>
                <w:rFonts w:ascii="GHEA Grapalat" w:hAnsi="GHEA Grapalat"/>
                <w:b/>
                <w:bCs/>
                <w:sz w:val="24"/>
                <w:szCs w:val="24"/>
              </w:rPr>
              <w:t>n</w:t>
            </w:r>
            <w:r w:rsidRPr="00C86A4B">
              <w:rPr>
                <w:rFonts w:ascii="GHEA Grapalat" w:hAnsi="GHEA Grapalat"/>
                <w:b/>
                <w:bCs/>
                <w:sz w:val="24"/>
                <w:szCs w:val="24"/>
                <w:lang w:val="hy-AM"/>
              </w:rPr>
              <w:t>s</w:t>
            </w:r>
            <w:r w:rsidRPr="00C86A4B">
              <w:rPr>
                <w:rFonts w:ascii="GHEA Grapalat" w:hAnsi="GHEA Grapalat"/>
                <w:b/>
                <w:bCs/>
                <w:sz w:val="24"/>
                <w:szCs w:val="24"/>
              </w:rPr>
              <w:t xml:space="preserve"> review</w:t>
            </w:r>
            <w:r w:rsidRPr="00C86A4B">
              <w:rPr>
                <w:rFonts w:ascii="GHEA Grapalat" w:hAnsi="GHEA Grapalat"/>
                <w:b/>
                <w:bCs/>
                <w:sz w:val="24"/>
                <w:szCs w:val="24"/>
                <w:lang w:val="hy-AM"/>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3048DC"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25</w:t>
            </w:r>
          </w:p>
        </w:tc>
      </w:tr>
      <w:tr w:rsidR="002F1732" w:rsidRPr="00C86A4B" w14:paraId="436F455D" w14:textId="77777777" w:rsidTr="00B93DA7">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hideMark/>
          </w:tcPr>
          <w:p w14:paraId="66CF2E96"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5.</w:t>
            </w:r>
          </w:p>
        </w:tc>
        <w:tc>
          <w:tcPr>
            <w:tcW w:w="6028" w:type="dxa"/>
            <w:tcBorders>
              <w:top w:val="outset" w:sz="6" w:space="0" w:color="auto"/>
              <w:left w:val="outset" w:sz="6" w:space="0" w:color="auto"/>
              <w:bottom w:val="outset" w:sz="6" w:space="0" w:color="auto"/>
              <w:right w:val="outset" w:sz="6" w:space="0" w:color="auto"/>
            </w:tcBorders>
            <w:shd w:val="clear" w:color="auto" w:fill="FFFFFF"/>
            <w:hideMark/>
          </w:tcPr>
          <w:p w14:paraId="353B0DEE" w14:textId="77777777" w:rsidR="002F1732" w:rsidRPr="00C86A4B" w:rsidRDefault="002F1732" w:rsidP="00B93DA7">
            <w:pPr>
              <w:spacing w:after="0" w:line="240" w:lineRule="auto"/>
              <w:jc w:val="both"/>
              <w:rPr>
                <w:rFonts w:ascii="GHEA Grapalat" w:eastAsia="Times New Roman" w:hAnsi="GHEA Grapalat" w:cs="Times New Roman"/>
                <w:sz w:val="24"/>
                <w:szCs w:val="24"/>
              </w:rPr>
            </w:pPr>
            <w:r w:rsidRPr="00C86A4B">
              <w:rPr>
                <w:rFonts w:ascii="GHEA Grapalat" w:hAnsi="GHEA Grapalat"/>
                <w:b/>
                <w:bCs/>
                <w:sz w:val="24"/>
                <w:szCs w:val="24"/>
                <w:lang w:val="hy-AM"/>
              </w:rPr>
              <w:t>Միջազգային տեղեկատվական համակարգերի վարում (</w:t>
            </w:r>
            <w:r w:rsidRPr="00C86A4B">
              <w:rPr>
                <w:rFonts w:ascii="GHEA Grapalat" w:hAnsi="GHEA Grapalat"/>
                <w:b/>
                <w:bCs/>
                <w:sz w:val="24"/>
                <w:szCs w:val="24"/>
              </w:rPr>
              <w:t>I</w:t>
            </w:r>
            <w:r>
              <w:rPr>
                <w:rFonts w:ascii="GHEA Grapalat" w:hAnsi="GHEA Grapalat"/>
                <w:b/>
                <w:bCs/>
                <w:sz w:val="24"/>
                <w:szCs w:val="24"/>
              </w:rPr>
              <w:t>n</w:t>
            </w:r>
            <w:r w:rsidRPr="00C86A4B">
              <w:rPr>
                <w:rFonts w:ascii="GHEA Grapalat" w:hAnsi="GHEA Grapalat"/>
                <w:b/>
                <w:bCs/>
                <w:sz w:val="24"/>
                <w:szCs w:val="24"/>
                <w:lang w:val="hy-AM"/>
              </w:rPr>
              <w:t>ter</w:t>
            </w:r>
            <w:r>
              <w:rPr>
                <w:rFonts w:ascii="GHEA Grapalat" w:hAnsi="GHEA Grapalat"/>
                <w:b/>
                <w:bCs/>
                <w:sz w:val="24"/>
                <w:szCs w:val="24"/>
              </w:rPr>
              <w:t>n</w:t>
            </w:r>
            <w:r w:rsidRPr="00C86A4B">
              <w:rPr>
                <w:rFonts w:ascii="GHEA Grapalat" w:hAnsi="GHEA Grapalat"/>
                <w:b/>
                <w:bCs/>
                <w:sz w:val="24"/>
                <w:szCs w:val="24"/>
                <w:lang w:val="hy-AM"/>
              </w:rPr>
              <w:t>atio</w:t>
            </w:r>
            <w:r>
              <w:rPr>
                <w:rFonts w:ascii="GHEA Grapalat" w:hAnsi="GHEA Grapalat"/>
                <w:b/>
                <w:bCs/>
                <w:sz w:val="24"/>
                <w:szCs w:val="24"/>
              </w:rPr>
              <w:t>n</w:t>
            </w:r>
            <w:r w:rsidRPr="00C86A4B">
              <w:rPr>
                <w:rFonts w:ascii="GHEA Grapalat" w:hAnsi="GHEA Grapalat"/>
                <w:b/>
                <w:bCs/>
                <w:sz w:val="24"/>
                <w:szCs w:val="24"/>
                <w:lang w:val="hy-AM"/>
              </w:rPr>
              <w:t>al i</w:t>
            </w:r>
            <w:r>
              <w:rPr>
                <w:rFonts w:ascii="GHEA Grapalat" w:hAnsi="GHEA Grapalat"/>
                <w:b/>
                <w:bCs/>
                <w:sz w:val="24"/>
                <w:szCs w:val="24"/>
              </w:rPr>
              <w:t>n</w:t>
            </w:r>
            <w:r w:rsidRPr="00C86A4B">
              <w:rPr>
                <w:rFonts w:ascii="GHEA Grapalat" w:hAnsi="GHEA Grapalat"/>
                <w:b/>
                <w:bCs/>
                <w:sz w:val="24"/>
                <w:szCs w:val="24"/>
                <w:lang w:val="hy-AM"/>
              </w:rPr>
              <w:t>formatio</w:t>
            </w:r>
            <w:r>
              <w:rPr>
                <w:rFonts w:ascii="GHEA Grapalat" w:hAnsi="GHEA Grapalat"/>
                <w:b/>
                <w:bCs/>
                <w:sz w:val="24"/>
                <w:szCs w:val="24"/>
              </w:rPr>
              <w:t>n</w:t>
            </w:r>
            <w:r w:rsidRPr="00C86A4B">
              <w:rPr>
                <w:rFonts w:ascii="GHEA Grapalat" w:hAnsi="GHEA Grapalat"/>
                <w:b/>
                <w:bCs/>
                <w:sz w:val="24"/>
                <w:szCs w:val="24"/>
                <w:lang w:val="hy-AM"/>
              </w:rPr>
              <w:t xml:space="preserve"> systems ma</w:t>
            </w:r>
            <w:r>
              <w:rPr>
                <w:rFonts w:ascii="GHEA Grapalat" w:hAnsi="GHEA Grapalat"/>
                <w:b/>
                <w:bCs/>
                <w:sz w:val="24"/>
                <w:szCs w:val="24"/>
              </w:rPr>
              <w:t>n</w:t>
            </w:r>
            <w:r w:rsidRPr="00C86A4B">
              <w:rPr>
                <w:rFonts w:ascii="GHEA Grapalat" w:hAnsi="GHEA Grapalat"/>
                <w:b/>
                <w:bCs/>
                <w:sz w:val="24"/>
                <w:szCs w:val="24"/>
                <w:lang w:val="hy-AM"/>
              </w:rPr>
              <w:t>ageme</w:t>
            </w:r>
            <w:r>
              <w:rPr>
                <w:rFonts w:ascii="GHEA Grapalat" w:hAnsi="GHEA Grapalat"/>
                <w:b/>
                <w:bCs/>
                <w:sz w:val="24"/>
                <w:szCs w:val="24"/>
              </w:rPr>
              <w:t>n</w:t>
            </w:r>
            <w:r w:rsidRPr="00C86A4B">
              <w:rPr>
                <w:rFonts w:ascii="GHEA Grapalat" w:hAnsi="GHEA Grapalat"/>
                <w:b/>
                <w:bCs/>
                <w:sz w:val="24"/>
                <w:szCs w:val="24"/>
                <w:lang w:val="hy-AM"/>
              </w:rPr>
              <w:t>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22A58" w14:textId="77777777" w:rsidR="002F1732" w:rsidRPr="00C86A4B" w:rsidRDefault="002F1732" w:rsidP="00B93DA7">
            <w:pPr>
              <w:spacing w:after="0" w:line="240" w:lineRule="auto"/>
              <w:jc w:val="center"/>
              <w:rPr>
                <w:rFonts w:ascii="GHEA Grapalat" w:eastAsia="Times New Roman" w:hAnsi="GHEA Grapalat" w:cs="Times New Roman"/>
                <w:sz w:val="24"/>
                <w:szCs w:val="24"/>
              </w:rPr>
            </w:pPr>
            <w:r w:rsidRPr="00C86A4B">
              <w:rPr>
                <w:rFonts w:ascii="GHEA Grapalat" w:eastAsia="Times New Roman" w:hAnsi="GHEA Grapalat" w:cs="Times New Roman"/>
                <w:sz w:val="24"/>
                <w:szCs w:val="24"/>
              </w:rPr>
              <w:t>25</w:t>
            </w:r>
          </w:p>
        </w:tc>
      </w:tr>
    </w:tbl>
    <w:p w14:paraId="1EC4E0FF" w14:textId="77777777" w:rsidR="002F1732" w:rsidRPr="00C86A4B" w:rsidRDefault="002F1732" w:rsidP="002F1732">
      <w:pPr>
        <w:spacing w:after="0" w:line="360" w:lineRule="auto"/>
        <w:rPr>
          <w:rFonts w:ascii="GHEA Grapalat" w:hAnsi="GHEA Grapalat"/>
          <w:sz w:val="24"/>
          <w:szCs w:val="24"/>
          <w:lang w:val="hy-AM"/>
        </w:rPr>
      </w:pPr>
    </w:p>
    <w:p w14:paraId="01F852CF" w14:textId="054BB8CD" w:rsidR="002F1732" w:rsidRPr="00C86A4B" w:rsidRDefault="00213558" w:rsidP="00012D0A">
      <w:pPr>
        <w:spacing w:after="0" w:line="360" w:lineRule="auto"/>
        <w:jc w:val="both"/>
        <w:rPr>
          <w:rFonts w:ascii="GHEA Grapalat" w:hAnsi="GHEA Grapalat"/>
          <w:sz w:val="24"/>
          <w:szCs w:val="24"/>
          <w:lang w:val="hy-AM"/>
        </w:rPr>
      </w:pPr>
      <w:r>
        <w:rPr>
          <w:rFonts w:ascii="GHEA Grapalat" w:eastAsia="Times New Roman" w:hAnsi="GHEA Grapalat" w:cs="Times New Roman"/>
          <w:sz w:val="24"/>
          <w:szCs w:val="24"/>
          <w:lang w:val="hy-AM"/>
        </w:rPr>
        <w:t xml:space="preserve">8. Սույն հավելվածի 6-րդ և 7-րդ կետերով սահմանված հավելավճարները հաշվարկվում են </w:t>
      </w:r>
      <w:r w:rsidRPr="00C86A4B">
        <w:rPr>
          <w:rFonts w:ascii="GHEA Grapalat" w:hAnsi="GHEA Grapalat"/>
          <w:sz w:val="24"/>
          <w:szCs w:val="24"/>
          <w:lang w:val="hy-AM"/>
        </w:rPr>
        <w:t>տվյալ ամսվա պաշտոնային դրույքաչափի նկատմամբ</w:t>
      </w:r>
      <w:r w:rsidR="00012D0A">
        <w:rPr>
          <w:rFonts w:ascii="GHEA Grapalat" w:hAnsi="GHEA Grapalat"/>
          <w:sz w:val="24"/>
          <w:szCs w:val="24"/>
          <w:lang w:val="hy-AM"/>
        </w:rPr>
        <w:t>։</w:t>
      </w:r>
    </w:p>
    <w:p w14:paraId="2E8D7D35" w14:textId="77777777" w:rsidR="002F1732" w:rsidRPr="00C86A4B" w:rsidRDefault="002F1732" w:rsidP="00012D0A">
      <w:pPr>
        <w:spacing w:after="0" w:line="360" w:lineRule="auto"/>
        <w:jc w:val="both"/>
        <w:rPr>
          <w:rFonts w:ascii="GHEA Grapalat" w:hAnsi="GHEA Grapalat"/>
          <w:sz w:val="24"/>
          <w:szCs w:val="24"/>
          <w:lang w:val="hy-AM"/>
        </w:rPr>
      </w:pPr>
    </w:p>
    <w:p w14:paraId="050921F7" w14:textId="77777777" w:rsidR="002F1732" w:rsidRPr="00C86A4B" w:rsidRDefault="002F1732" w:rsidP="00012D0A">
      <w:pPr>
        <w:spacing w:after="0" w:line="360" w:lineRule="auto"/>
        <w:jc w:val="both"/>
        <w:rPr>
          <w:rFonts w:ascii="GHEA Grapalat" w:hAnsi="GHEA Grapalat"/>
          <w:sz w:val="24"/>
          <w:szCs w:val="24"/>
          <w:lang w:val="hy-AM"/>
        </w:rPr>
      </w:pPr>
    </w:p>
    <w:p w14:paraId="4A68C4B1" w14:textId="77777777" w:rsidR="002F1732" w:rsidRPr="00C86A4B" w:rsidRDefault="002F1732" w:rsidP="002F1732">
      <w:pPr>
        <w:spacing w:after="0" w:line="360" w:lineRule="auto"/>
        <w:rPr>
          <w:rFonts w:ascii="GHEA Grapalat" w:hAnsi="GHEA Grapalat"/>
          <w:sz w:val="24"/>
          <w:szCs w:val="24"/>
          <w:lang w:val="hy-AM"/>
        </w:rPr>
      </w:pPr>
    </w:p>
    <w:p w14:paraId="304E8A7A" w14:textId="77777777" w:rsidR="002F1732" w:rsidRPr="00C86A4B" w:rsidRDefault="002F1732" w:rsidP="002F1732">
      <w:pPr>
        <w:spacing w:after="0" w:line="360" w:lineRule="auto"/>
        <w:rPr>
          <w:rFonts w:ascii="GHEA Grapalat" w:hAnsi="GHEA Grapalat"/>
          <w:sz w:val="24"/>
          <w:szCs w:val="24"/>
          <w:lang w:val="hy-AM"/>
        </w:rPr>
      </w:pPr>
    </w:p>
    <w:p w14:paraId="0B111D71" w14:textId="2AA33784" w:rsidR="00E76E15" w:rsidRPr="00213558" w:rsidRDefault="00E76E15" w:rsidP="002F1732">
      <w:pPr>
        <w:rPr>
          <w:lang w:val="hy-AM"/>
        </w:rPr>
      </w:pPr>
    </w:p>
    <w:sectPr w:rsidR="00E76E15" w:rsidRPr="00213558" w:rsidSect="00C86A4B">
      <w:pgSz w:w="12240" w:h="15840"/>
      <w:pgMar w:top="90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265F"/>
    <w:multiLevelType w:val="hybridMultilevel"/>
    <w:tmpl w:val="5BF427FC"/>
    <w:lvl w:ilvl="0" w:tplc="27A8DB3E">
      <w:start w:val="2"/>
      <w:numFmt w:val="bullet"/>
      <w:lvlText w:val="-"/>
      <w:lvlJc w:val="left"/>
      <w:pPr>
        <w:ind w:left="720" w:hanging="360"/>
      </w:pPr>
      <w:rPr>
        <w:rFonts w:ascii="GHEA Grapalat" w:eastAsiaTheme="minorHAnsi" w:hAnsi="GHEA Grapalat" w:cstheme="minorBi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013B2F"/>
    <w:multiLevelType w:val="hybridMultilevel"/>
    <w:tmpl w:val="959CF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4F7D57"/>
    <w:multiLevelType w:val="hybridMultilevel"/>
    <w:tmpl w:val="403CC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E2"/>
    <w:rsid w:val="00004F24"/>
    <w:rsid w:val="00005E05"/>
    <w:rsid w:val="00012D0A"/>
    <w:rsid w:val="00023695"/>
    <w:rsid w:val="00025BFD"/>
    <w:rsid w:val="00026C78"/>
    <w:rsid w:val="00027067"/>
    <w:rsid w:val="00035B1B"/>
    <w:rsid w:val="0004134E"/>
    <w:rsid w:val="00063ED7"/>
    <w:rsid w:val="00075A47"/>
    <w:rsid w:val="00075E82"/>
    <w:rsid w:val="00081E02"/>
    <w:rsid w:val="000833D0"/>
    <w:rsid w:val="0009721D"/>
    <w:rsid w:val="000B20EA"/>
    <w:rsid w:val="000C060D"/>
    <w:rsid w:val="000C4D6D"/>
    <w:rsid w:val="000D3569"/>
    <w:rsid w:val="000D742D"/>
    <w:rsid w:val="000E0FE2"/>
    <w:rsid w:val="00102DEC"/>
    <w:rsid w:val="00110BB3"/>
    <w:rsid w:val="00112C9D"/>
    <w:rsid w:val="00116CBF"/>
    <w:rsid w:val="00130B8C"/>
    <w:rsid w:val="00135FA4"/>
    <w:rsid w:val="00142446"/>
    <w:rsid w:val="001474FC"/>
    <w:rsid w:val="0015281C"/>
    <w:rsid w:val="001651D6"/>
    <w:rsid w:val="0017403D"/>
    <w:rsid w:val="00177ED6"/>
    <w:rsid w:val="001946E2"/>
    <w:rsid w:val="001A4E57"/>
    <w:rsid w:val="001C6FDC"/>
    <w:rsid w:val="001D673B"/>
    <w:rsid w:val="001F3A4B"/>
    <w:rsid w:val="002132AF"/>
    <w:rsid w:val="00213558"/>
    <w:rsid w:val="00215085"/>
    <w:rsid w:val="00227304"/>
    <w:rsid w:val="002276FB"/>
    <w:rsid w:val="00236F02"/>
    <w:rsid w:val="00243359"/>
    <w:rsid w:val="00244F74"/>
    <w:rsid w:val="002451D7"/>
    <w:rsid w:val="00270F23"/>
    <w:rsid w:val="0028399A"/>
    <w:rsid w:val="0028423A"/>
    <w:rsid w:val="0028566C"/>
    <w:rsid w:val="002945AE"/>
    <w:rsid w:val="002C2B93"/>
    <w:rsid w:val="002D5473"/>
    <w:rsid w:val="002E4F25"/>
    <w:rsid w:val="002E73DB"/>
    <w:rsid w:val="002F1732"/>
    <w:rsid w:val="0030363C"/>
    <w:rsid w:val="00306923"/>
    <w:rsid w:val="0032251A"/>
    <w:rsid w:val="00324752"/>
    <w:rsid w:val="00334411"/>
    <w:rsid w:val="003451B8"/>
    <w:rsid w:val="00352DDE"/>
    <w:rsid w:val="0035498B"/>
    <w:rsid w:val="00355371"/>
    <w:rsid w:val="00356DA2"/>
    <w:rsid w:val="00362DDB"/>
    <w:rsid w:val="00363CE4"/>
    <w:rsid w:val="00364920"/>
    <w:rsid w:val="00374FB9"/>
    <w:rsid w:val="00377517"/>
    <w:rsid w:val="00397D05"/>
    <w:rsid w:val="003A69E2"/>
    <w:rsid w:val="003B1C9C"/>
    <w:rsid w:val="003B7656"/>
    <w:rsid w:val="003C6CE3"/>
    <w:rsid w:val="003D0BAD"/>
    <w:rsid w:val="003D1584"/>
    <w:rsid w:val="003D27BF"/>
    <w:rsid w:val="003E7275"/>
    <w:rsid w:val="003F10B7"/>
    <w:rsid w:val="003F3710"/>
    <w:rsid w:val="003F44D1"/>
    <w:rsid w:val="003F708F"/>
    <w:rsid w:val="003F7B00"/>
    <w:rsid w:val="00400F4E"/>
    <w:rsid w:val="0040217C"/>
    <w:rsid w:val="0040327A"/>
    <w:rsid w:val="004046F3"/>
    <w:rsid w:val="004052A7"/>
    <w:rsid w:val="00423F45"/>
    <w:rsid w:val="00425BDD"/>
    <w:rsid w:val="00441878"/>
    <w:rsid w:val="00443BDA"/>
    <w:rsid w:val="00444281"/>
    <w:rsid w:val="00445882"/>
    <w:rsid w:val="00470E79"/>
    <w:rsid w:val="00480FCB"/>
    <w:rsid w:val="00487394"/>
    <w:rsid w:val="00490AE8"/>
    <w:rsid w:val="00497DC0"/>
    <w:rsid w:val="004A3E0B"/>
    <w:rsid w:val="004A7D32"/>
    <w:rsid w:val="004B142F"/>
    <w:rsid w:val="004B24F1"/>
    <w:rsid w:val="004C21BF"/>
    <w:rsid w:val="004C79E1"/>
    <w:rsid w:val="004D1C8E"/>
    <w:rsid w:val="004D230F"/>
    <w:rsid w:val="004D571C"/>
    <w:rsid w:val="004E6AF1"/>
    <w:rsid w:val="004F4173"/>
    <w:rsid w:val="005036CF"/>
    <w:rsid w:val="005047C4"/>
    <w:rsid w:val="00505767"/>
    <w:rsid w:val="0051570F"/>
    <w:rsid w:val="00517810"/>
    <w:rsid w:val="00531A5D"/>
    <w:rsid w:val="00537BE1"/>
    <w:rsid w:val="00545EB1"/>
    <w:rsid w:val="00547925"/>
    <w:rsid w:val="00562763"/>
    <w:rsid w:val="0056676A"/>
    <w:rsid w:val="0059318F"/>
    <w:rsid w:val="005931A9"/>
    <w:rsid w:val="005A255E"/>
    <w:rsid w:val="005A41AE"/>
    <w:rsid w:val="005B1BD9"/>
    <w:rsid w:val="005C5FBF"/>
    <w:rsid w:val="005D1E61"/>
    <w:rsid w:val="005D404F"/>
    <w:rsid w:val="005D7687"/>
    <w:rsid w:val="005E656A"/>
    <w:rsid w:val="005F005B"/>
    <w:rsid w:val="005F0C61"/>
    <w:rsid w:val="005F2554"/>
    <w:rsid w:val="006055C6"/>
    <w:rsid w:val="00606DC6"/>
    <w:rsid w:val="00613455"/>
    <w:rsid w:val="00632F1D"/>
    <w:rsid w:val="00635120"/>
    <w:rsid w:val="00640BBB"/>
    <w:rsid w:val="00652818"/>
    <w:rsid w:val="00653454"/>
    <w:rsid w:val="00654B5D"/>
    <w:rsid w:val="00663196"/>
    <w:rsid w:val="00666DF5"/>
    <w:rsid w:val="00677FD3"/>
    <w:rsid w:val="00683D8F"/>
    <w:rsid w:val="00685276"/>
    <w:rsid w:val="0069622C"/>
    <w:rsid w:val="006A5362"/>
    <w:rsid w:val="006B1BF2"/>
    <w:rsid w:val="006B64F7"/>
    <w:rsid w:val="006C218D"/>
    <w:rsid w:val="006C60D2"/>
    <w:rsid w:val="006D4468"/>
    <w:rsid w:val="006E6021"/>
    <w:rsid w:val="006E75F0"/>
    <w:rsid w:val="00702497"/>
    <w:rsid w:val="007122DB"/>
    <w:rsid w:val="00723EAF"/>
    <w:rsid w:val="0075144C"/>
    <w:rsid w:val="007526D8"/>
    <w:rsid w:val="0077089D"/>
    <w:rsid w:val="00787BEA"/>
    <w:rsid w:val="0079008C"/>
    <w:rsid w:val="00793A5F"/>
    <w:rsid w:val="00793C32"/>
    <w:rsid w:val="0079543A"/>
    <w:rsid w:val="007A5681"/>
    <w:rsid w:val="007B0944"/>
    <w:rsid w:val="007B3526"/>
    <w:rsid w:val="007D1B30"/>
    <w:rsid w:val="007D3289"/>
    <w:rsid w:val="007D63CD"/>
    <w:rsid w:val="007D7E8D"/>
    <w:rsid w:val="007E5A50"/>
    <w:rsid w:val="007F42C6"/>
    <w:rsid w:val="00802D98"/>
    <w:rsid w:val="00830255"/>
    <w:rsid w:val="00834C5E"/>
    <w:rsid w:val="008408BF"/>
    <w:rsid w:val="008425B2"/>
    <w:rsid w:val="00860065"/>
    <w:rsid w:val="0087523C"/>
    <w:rsid w:val="008808BB"/>
    <w:rsid w:val="00880F7E"/>
    <w:rsid w:val="008818AC"/>
    <w:rsid w:val="008856DF"/>
    <w:rsid w:val="00896B60"/>
    <w:rsid w:val="008A3993"/>
    <w:rsid w:val="008A3AF1"/>
    <w:rsid w:val="008A42FE"/>
    <w:rsid w:val="008B1CE2"/>
    <w:rsid w:val="008B3C14"/>
    <w:rsid w:val="008C1D2B"/>
    <w:rsid w:val="008C311F"/>
    <w:rsid w:val="008C4391"/>
    <w:rsid w:val="008C5D56"/>
    <w:rsid w:val="008D3444"/>
    <w:rsid w:val="008D37EF"/>
    <w:rsid w:val="008D781A"/>
    <w:rsid w:val="008E06AB"/>
    <w:rsid w:val="008E4ABE"/>
    <w:rsid w:val="008F093A"/>
    <w:rsid w:val="009155A8"/>
    <w:rsid w:val="00922AA5"/>
    <w:rsid w:val="0092559D"/>
    <w:rsid w:val="0093224C"/>
    <w:rsid w:val="00932FC8"/>
    <w:rsid w:val="00947702"/>
    <w:rsid w:val="00950B31"/>
    <w:rsid w:val="00961B05"/>
    <w:rsid w:val="0096598C"/>
    <w:rsid w:val="00967A08"/>
    <w:rsid w:val="0098264C"/>
    <w:rsid w:val="00994A18"/>
    <w:rsid w:val="009B7B6B"/>
    <w:rsid w:val="009C2BE6"/>
    <w:rsid w:val="009C5AF8"/>
    <w:rsid w:val="009C669B"/>
    <w:rsid w:val="009C7466"/>
    <w:rsid w:val="009D0E7A"/>
    <w:rsid w:val="009F47E4"/>
    <w:rsid w:val="009F6677"/>
    <w:rsid w:val="00A042FF"/>
    <w:rsid w:val="00A162F4"/>
    <w:rsid w:val="00A2615B"/>
    <w:rsid w:val="00A353CC"/>
    <w:rsid w:val="00A52223"/>
    <w:rsid w:val="00A62FB2"/>
    <w:rsid w:val="00A71792"/>
    <w:rsid w:val="00A73426"/>
    <w:rsid w:val="00A75D84"/>
    <w:rsid w:val="00A761F8"/>
    <w:rsid w:val="00A7769F"/>
    <w:rsid w:val="00A90234"/>
    <w:rsid w:val="00AC3979"/>
    <w:rsid w:val="00AC3BD0"/>
    <w:rsid w:val="00AC6F54"/>
    <w:rsid w:val="00AC7E70"/>
    <w:rsid w:val="00AD3CFC"/>
    <w:rsid w:val="00AD517B"/>
    <w:rsid w:val="00AE23E4"/>
    <w:rsid w:val="00AE31BC"/>
    <w:rsid w:val="00AE5A6C"/>
    <w:rsid w:val="00AF0B66"/>
    <w:rsid w:val="00B07EE3"/>
    <w:rsid w:val="00B16175"/>
    <w:rsid w:val="00B2656F"/>
    <w:rsid w:val="00B30C53"/>
    <w:rsid w:val="00B34A6A"/>
    <w:rsid w:val="00B35B74"/>
    <w:rsid w:val="00B37575"/>
    <w:rsid w:val="00B411A0"/>
    <w:rsid w:val="00B4165B"/>
    <w:rsid w:val="00B4659C"/>
    <w:rsid w:val="00B468D3"/>
    <w:rsid w:val="00B52C89"/>
    <w:rsid w:val="00B64421"/>
    <w:rsid w:val="00B67633"/>
    <w:rsid w:val="00B74BA3"/>
    <w:rsid w:val="00B756D6"/>
    <w:rsid w:val="00B75C8F"/>
    <w:rsid w:val="00B81AC5"/>
    <w:rsid w:val="00B83ABC"/>
    <w:rsid w:val="00B93418"/>
    <w:rsid w:val="00B9580A"/>
    <w:rsid w:val="00B976DB"/>
    <w:rsid w:val="00BB048A"/>
    <w:rsid w:val="00BC6F81"/>
    <w:rsid w:val="00BE2DC2"/>
    <w:rsid w:val="00BF50D8"/>
    <w:rsid w:val="00BF52AE"/>
    <w:rsid w:val="00BF726E"/>
    <w:rsid w:val="00C01347"/>
    <w:rsid w:val="00C263C3"/>
    <w:rsid w:val="00C32E7A"/>
    <w:rsid w:val="00C3577C"/>
    <w:rsid w:val="00C40216"/>
    <w:rsid w:val="00C405FA"/>
    <w:rsid w:val="00C44640"/>
    <w:rsid w:val="00C7115B"/>
    <w:rsid w:val="00C82D16"/>
    <w:rsid w:val="00C9260E"/>
    <w:rsid w:val="00C93D1E"/>
    <w:rsid w:val="00C94BBF"/>
    <w:rsid w:val="00CA3CAC"/>
    <w:rsid w:val="00CB0AB1"/>
    <w:rsid w:val="00CB50E6"/>
    <w:rsid w:val="00CC0F22"/>
    <w:rsid w:val="00CC115C"/>
    <w:rsid w:val="00CD6A1D"/>
    <w:rsid w:val="00CE2147"/>
    <w:rsid w:val="00CF79D3"/>
    <w:rsid w:val="00D02EF6"/>
    <w:rsid w:val="00D156D9"/>
    <w:rsid w:val="00D30117"/>
    <w:rsid w:val="00D33ABF"/>
    <w:rsid w:val="00D34E22"/>
    <w:rsid w:val="00D370A8"/>
    <w:rsid w:val="00D501AE"/>
    <w:rsid w:val="00D52BE1"/>
    <w:rsid w:val="00D53AE8"/>
    <w:rsid w:val="00D53CCF"/>
    <w:rsid w:val="00D62667"/>
    <w:rsid w:val="00D700A4"/>
    <w:rsid w:val="00D75698"/>
    <w:rsid w:val="00DB0715"/>
    <w:rsid w:val="00DB5512"/>
    <w:rsid w:val="00DC2DEB"/>
    <w:rsid w:val="00DC47CF"/>
    <w:rsid w:val="00DC6223"/>
    <w:rsid w:val="00DE5F14"/>
    <w:rsid w:val="00DE68AB"/>
    <w:rsid w:val="00DE7F9A"/>
    <w:rsid w:val="00DF43FA"/>
    <w:rsid w:val="00E11FA2"/>
    <w:rsid w:val="00E14D97"/>
    <w:rsid w:val="00E27D3B"/>
    <w:rsid w:val="00E35EB3"/>
    <w:rsid w:val="00E46353"/>
    <w:rsid w:val="00E523AC"/>
    <w:rsid w:val="00E54C2F"/>
    <w:rsid w:val="00E627EA"/>
    <w:rsid w:val="00E672DB"/>
    <w:rsid w:val="00E729C4"/>
    <w:rsid w:val="00E755EA"/>
    <w:rsid w:val="00E76E15"/>
    <w:rsid w:val="00E8569F"/>
    <w:rsid w:val="00E915AA"/>
    <w:rsid w:val="00E94A72"/>
    <w:rsid w:val="00E94CE2"/>
    <w:rsid w:val="00EA3D6F"/>
    <w:rsid w:val="00EA44EF"/>
    <w:rsid w:val="00EC5D3B"/>
    <w:rsid w:val="00ED2517"/>
    <w:rsid w:val="00ED2CA8"/>
    <w:rsid w:val="00ED43C2"/>
    <w:rsid w:val="00ED50D1"/>
    <w:rsid w:val="00EE1A6C"/>
    <w:rsid w:val="00EE1B43"/>
    <w:rsid w:val="00EE505D"/>
    <w:rsid w:val="00EF4A5F"/>
    <w:rsid w:val="00F202AA"/>
    <w:rsid w:val="00F300A2"/>
    <w:rsid w:val="00F34CBC"/>
    <w:rsid w:val="00F47BB1"/>
    <w:rsid w:val="00F5083B"/>
    <w:rsid w:val="00F60565"/>
    <w:rsid w:val="00F644D9"/>
    <w:rsid w:val="00F70296"/>
    <w:rsid w:val="00F93635"/>
    <w:rsid w:val="00F942A1"/>
    <w:rsid w:val="00FB78A7"/>
    <w:rsid w:val="00FD3ED7"/>
    <w:rsid w:val="00FF0569"/>
    <w:rsid w:val="00FF0CFA"/>
    <w:rsid w:val="00FF1A7E"/>
    <w:rsid w:val="00FF3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4F0C"/>
  <w15:chartTrackingRefBased/>
  <w15:docId w15:val="{5B57B152-9184-4FC1-993A-D87C8578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979"/>
    <w:pPr>
      <w:ind w:left="720"/>
      <w:contextualSpacing/>
    </w:pPr>
  </w:style>
  <w:style w:type="paragraph" w:styleId="NormalWeb">
    <w:name w:val="Normal (Web)"/>
    <w:basedOn w:val="Normal"/>
    <w:uiPriority w:val="99"/>
    <w:semiHidden/>
    <w:unhideWhenUsed/>
    <w:rsid w:val="00AC39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0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DDE"/>
    <w:rPr>
      <w:rFonts w:ascii="Segoe UI" w:hAnsi="Segoe UI" w:cs="Segoe UI"/>
      <w:sz w:val="18"/>
      <w:szCs w:val="18"/>
    </w:rPr>
  </w:style>
  <w:style w:type="character" w:styleId="Emphasis">
    <w:name w:val="Emphasis"/>
    <w:basedOn w:val="DefaultParagraphFont"/>
    <w:uiPriority w:val="20"/>
    <w:qFormat/>
    <w:rsid w:val="0004134E"/>
    <w:rPr>
      <w:i/>
      <w:iCs/>
    </w:rPr>
  </w:style>
  <w:style w:type="table" w:customStyle="1" w:styleId="TableGrid1">
    <w:name w:val="Table Grid1"/>
    <w:basedOn w:val="TableNormal"/>
    <w:next w:val="TableGrid"/>
    <w:uiPriority w:val="39"/>
    <w:rsid w:val="00E91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1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6176">
      <w:bodyDiv w:val="1"/>
      <w:marLeft w:val="0"/>
      <w:marRight w:val="0"/>
      <w:marTop w:val="0"/>
      <w:marBottom w:val="0"/>
      <w:divBdr>
        <w:top w:val="none" w:sz="0" w:space="0" w:color="auto"/>
        <w:left w:val="none" w:sz="0" w:space="0" w:color="auto"/>
        <w:bottom w:val="none" w:sz="0" w:space="0" w:color="auto"/>
        <w:right w:val="none" w:sz="0" w:space="0" w:color="auto"/>
      </w:divBdr>
    </w:div>
    <w:div w:id="536159634">
      <w:bodyDiv w:val="1"/>
      <w:marLeft w:val="0"/>
      <w:marRight w:val="0"/>
      <w:marTop w:val="0"/>
      <w:marBottom w:val="0"/>
      <w:divBdr>
        <w:top w:val="none" w:sz="0" w:space="0" w:color="auto"/>
        <w:left w:val="none" w:sz="0" w:space="0" w:color="auto"/>
        <w:bottom w:val="none" w:sz="0" w:space="0" w:color="auto"/>
        <w:right w:val="none" w:sz="0" w:space="0" w:color="auto"/>
      </w:divBdr>
    </w:div>
    <w:div w:id="573930469">
      <w:bodyDiv w:val="1"/>
      <w:marLeft w:val="0"/>
      <w:marRight w:val="0"/>
      <w:marTop w:val="0"/>
      <w:marBottom w:val="0"/>
      <w:divBdr>
        <w:top w:val="none" w:sz="0" w:space="0" w:color="auto"/>
        <w:left w:val="none" w:sz="0" w:space="0" w:color="auto"/>
        <w:bottom w:val="none" w:sz="0" w:space="0" w:color="auto"/>
        <w:right w:val="none" w:sz="0" w:space="0" w:color="auto"/>
      </w:divBdr>
    </w:div>
    <w:div w:id="723215431">
      <w:bodyDiv w:val="1"/>
      <w:marLeft w:val="0"/>
      <w:marRight w:val="0"/>
      <w:marTop w:val="0"/>
      <w:marBottom w:val="0"/>
      <w:divBdr>
        <w:top w:val="none" w:sz="0" w:space="0" w:color="auto"/>
        <w:left w:val="none" w:sz="0" w:space="0" w:color="auto"/>
        <w:bottom w:val="none" w:sz="0" w:space="0" w:color="auto"/>
        <w:right w:val="none" w:sz="0" w:space="0" w:color="auto"/>
      </w:divBdr>
    </w:div>
    <w:div w:id="1558397792">
      <w:bodyDiv w:val="1"/>
      <w:marLeft w:val="0"/>
      <w:marRight w:val="0"/>
      <w:marTop w:val="0"/>
      <w:marBottom w:val="0"/>
      <w:divBdr>
        <w:top w:val="none" w:sz="0" w:space="0" w:color="auto"/>
        <w:left w:val="none" w:sz="0" w:space="0" w:color="auto"/>
        <w:bottom w:val="none" w:sz="0" w:space="0" w:color="auto"/>
        <w:right w:val="none" w:sz="0" w:space="0" w:color="auto"/>
      </w:divBdr>
      <w:divsChild>
        <w:div w:id="2056273680">
          <w:marLeft w:val="547"/>
          <w:marRight w:val="0"/>
          <w:marTop w:val="0"/>
          <w:marBottom w:val="0"/>
          <w:divBdr>
            <w:top w:val="none" w:sz="0" w:space="0" w:color="auto"/>
            <w:left w:val="none" w:sz="0" w:space="0" w:color="auto"/>
            <w:bottom w:val="none" w:sz="0" w:space="0" w:color="auto"/>
            <w:right w:val="none" w:sz="0" w:space="0" w:color="auto"/>
          </w:divBdr>
        </w:div>
      </w:divsChild>
    </w:div>
    <w:div w:id="1675568606">
      <w:bodyDiv w:val="1"/>
      <w:marLeft w:val="0"/>
      <w:marRight w:val="0"/>
      <w:marTop w:val="0"/>
      <w:marBottom w:val="0"/>
      <w:divBdr>
        <w:top w:val="none" w:sz="0" w:space="0" w:color="auto"/>
        <w:left w:val="none" w:sz="0" w:space="0" w:color="auto"/>
        <w:bottom w:val="none" w:sz="0" w:space="0" w:color="auto"/>
        <w:right w:val="none" w:sz="0" w:space="0" w:color="auto"/>
      </w:divBdr>
    </w:div>
    <w:div w:id="1853908236">
      <w:bodyDiv w:val="1"/>
      <w:marLeft w:val="0"/>
      <w:marRight w:val="0"/>
      <w:marTop w:val="0"/>
      <w:marBottom w:val="0"/>
      <w:divBdr>
        <w:top w:val="none" w:sz="0" w:space="0" w:color="auto"/>
        <w:left w:val="none" w:sz="0" w:space="0" w:color="auto"/>
        <w:bottom w:val="none" w:sz="0" w:space="0" w:color="auto"/>
        <w:right w:val="none" w:sz="0" w:space="0" w:color="auto"/>
      </w:divBdr>
    </w:div>
    <w:div w:id="2004353871">
      <w:bodyDiv w:val="1"/>
      <w:marLeft w:val="0"/>
      <w:marRight w:val="0"/>
      <w:marTop w:val="0"/>
      <w:marBottom w:val="0"/>
      <w:divBdr>
        <w:top w:val="none" w:sz="0" w:space="0" w:color="auto"/>
        <w:left w:val="none" w:sz="0" w:space="0" w:color="auto"/>
        <w:bottom w:val="none" w:sz="0" w:space="0" w:color="auto"/>
        <w:right w:val="none" w:sz="0" w:space="0" w:color="auto"/>
      </w:divBdr>
    </w:div>
    <w:div w:id="21283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02958-EB22-4DCB-98A5-9346E393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1102</Words>
  <Characters>6283</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https:/mul2-anra.gov.am/tasks/31650/oneclick/Naxagic staff (5).docx?token=db32492543ef8bdcd33169717223bea4</cp:keywords>
  <dc:description/>
  <cp:lastModifiedBy>Arshaluys Karmirmirukyan</cp:lastModifiedBy>
  <cp:revision>2</cp:revision>
  <cp:lastPrinted>2023-10-18T06:21:00Z</cp:lastPrinted>
  <dcterms:created xsi:type="dcterms:W3CDTF">2023-11-17T06:17:00Z</dcterms:created>
  <dcterms:modified xsi:type="dcterms:W3CDTF">2023-11-17T06:17:00Z</dcterms:modified>
</cp:coreProperties>
</file>