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19" w:rsidRPr="0021298C" w:rsidRDefault="00E33919" w:rsidP="00E339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21298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ՀԻՄՆԱՎՈՐՈՒՄ </w:t>
      </w:r>
    </w:p>
    <w:p w:rsidR="00E33919" w:rsidRPr="0021298C" w:rsidRDefault="00E33919" w:rsidP="00E339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E33919" w:rsidRPr="00E33919" w:rsidRDefault="00E33919" w:rsidP="00E339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</w:t>
      </w:r>
      <w:r w:rsidRPr="00E33919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ՀԱՅԱՍՏԱՆԻ ՀԱՆՐԱՊԵՏՈՒԹՅԱՆ ԼՈՌՈՒ ՄԱՐԶԻ ՏԱՇԻՐ ՀԱՄԱՅՆՔԻ 202</w:t>
      </w:r>
      <w:r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-202</w:t>
      </w:r>
      <w:r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6</w:t>
      </w:r>
      <w:r w:rsidRPr="00E33919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 xml:space="preserve"> ԹՎԱԿԱՆՆԵՐԻ ՄԻՋՆԱԺԱՄԿԵՏ ԾԱԽՍԵՐԻ ԾՐԱԳԻՐԸ ՀԱՍՏԱՏԵԼՈՒ ՄԱՍԻ</w:t>
      </w:r>
      <w:r w:rsidRPr="00E3391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Ն</w:t>
      </w:r>
      <w:r w:rsidRPr="00E3391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» </w:t>
      </w:r>
      <w:r w:rsidRPr="00E3391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ՏԱՇԻՐ </w:t>
      </w:r>
      <w:r w:rsidRPr="00E3391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ՀԱՄԱՅՆՔԻ ԱՎԱԳԱՆՈՒ ՈՐՈՇՄԱՆ ՆԱԽԱԳԻԾ</w:t>
      </w:r>
      <w:r w:rsidRPr="00E3391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Ի ԸՆԴՈՒՆՄԱՆ </w:t>
      </w:r>
    </w:p>
    <w:p w:rsidR="006A0A83" w:rsidRDefault="006A0A83" w:rsidP="00E33919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E33919" w:rsidRDefault="00E33919" w:rsidP="00E33919">
      <w:pPr>
        <w:shd w:val="clear" w:color="auto" w:fill="FFFFFF"/>
        <w:spacing w:after="0" w:line="24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 w:rsidRPr="00AC13D0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31F93">
        <w:rPr>
          <w:rFonts w:ascii="GHEA Grapalat" w:hAnsi="GHEA Grapalat"/>
          <w:sz w:val="24"/>
          <w:szCs w:val="24"/>
          <w:shd w:val="clear" w:color="auto" w:fill="FFFFFF"/>
        </w:rPr>
        <w:t>Հայասատանի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31F9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31F93">
        <w:rPr>
          <w:rFonts w:ascii="GHEA Grapalat" w:hAnsi="GHEA Grapalat"/>
          <w:sz w:val="24"/>
          <w:szCs w:val="24"/>
          <w:shd w:val="clear" w:color="auto" w:fill="FFFFFF"/>
        </w:rPr>
        <w:t>Լոռու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31F93">
        <w:rPr>
          <w:rFonts w:ascii="GHEA Grapalat" w:hAnsi="GHEA Grapalat"/>
          <w:sz w:val="24"/>
          <w:szCs w:val="24"/>
          <w:shd w:val="clear" w:color="auto" w:fill="FFFFFF"/>
        </w:rPr>
        <w:t>մարզի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31F93">
        <w:rPr>
          <w:rFonts w:ascii="GHEA Grapalat" w:hAnsi="GHEA Grapalat" w:cs="Sylfaen"/>
          <w:sz w:val="24"/>
          <w:szCs w:val="24"/>
          <w:shd w:val="clear" w:color="auto" w:fill="FFFFFF"/>
        </w:rPr>
        <w:t>Տաշի</w:t>
      </w:r>
      <w:r w:rsidRPr="00531F93">
        <w:rPr>
          <w:rFonts w:ascii="GHEA Grapalat" w:hAnsi="GHEA Grapalat" w:cs="Verdana"/>
          <w:sz w:val="24"/>
          <w:szCs w:val="24"/>
          <w:shd w:val="clear" w:color="auto" w:fill="FFFFFF"/>
        </w:rPr>
        <w:t>ր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31F93">
        <w:rPr>
          <w:rFonts w:ascii="GHEA Grapalat" w:hAnsi="GHEA Grapalat" w:cs="Sylfaen"/>
          <w:sz w:val="24"/>
          <w:szCs w:val="24"/>
          <w:shd w:val="clear" w:color="auto" w:fill="FFFFFF"/>
        </w:rPr>
        <w:t>համայնքի</w:t>
      </w:r>
      <w:proofErr w:type="spellEnd"/>
      <w:r w:rsidRPr="00531F9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մարզի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Տ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աշիր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համայնքի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202</w:t>
      </w:r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</w:t>
      </w:r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-202</w:t>
      </w:r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6</w:t>
      </w:r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թվականների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միջնաժամկետ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ծախսերի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ծրագիրը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հաստատելու</w:t>
      </w:r>
      <w:proofErr w:type="spellEnd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91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մասի</w:t>
      </w:r>
      <w:r w:rsidRPr="00E33919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proofErr w:type="spellStart"/>
      <w:r w:rsidRPr="00531F93">
        <w:rPr>
          <w:rFonts w:ascii="GHEA Grapalat" w:eastAsia="Times New Roman" w:hAnsi="GHEA Grapalat" w:cs="Times New Roman"/>
          <w:sz w:val="24"/>
          <w:szCs w:val="24"/>
          <w:lang w:eastAsia="ru-RU"/>
        </w:rPr>
        <w:t>Տաշիր</w:t>
      </w:r>
      <w:proofErr w:type="spellEnd"/>
      <w:r w:rsidRPr="00531F9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համայնքի ավագանու որոշման նախագիծը մշակվել է </w:t>
      </w:r>
      <w:proofErr w:type="spellStart"/>
      <w:r w:rsidRPr="00531F93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proofErr w:type="spellEnd"/>
      <w:r w:rsidRPr="00531F9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«Տեղական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ինքնակառավարման </w:t>
      </w:r>
      <w:proofErr w:type="gramStart"/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Pr="00AC13D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</w:t>
      </w:r>
      <w:proofErr w:type="gramEnd"/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18-րդ հոդվածի 1-ին մասի 5</w:t>
      </w:r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կետի</w:t>
      </w:r>
      <w:r w:rsidR="006C46D7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6C46D7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="006C46D7">
        <w:rPr>
          <w:rFonts w:ascii="GHEA Grapalat" w:hAnsi="GHEA Grapalat"/>
          <w:sz w:val="24"/>
          <w:szCs w:val="24"/>
        </w:rPr>
        <w:t>Համայնքի</w:t>
      </w:r>
      <w:proofErr w:type="spellEnd"/>
      <w:r w:rsidR="006C46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միջնաժամկետ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ծախսերի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ծրագրավորման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գործընթացն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օրենքով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հանդիսանում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ընդհանուր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գործընթացի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բաղկացուցիչ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մաս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օրենքով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սահմանված</w:t>
      </w:r>
      <w:proofErr w:type="spellEnd"/>
      <w:r w:rsidR="006C46D7"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46D7" w:rsidRPr="00B65B4E">
        <w:rPr>
          <w:rFonts w:ascii="GHEA Grapalat" w:hAnsi="GHEA Grapalat"/>
          <w:sz w:val="24"/>
          <w:szCs w:val="24"/>
        </w:rPr>
        <w:t>ընթացակարգով</w:t>
      </w:r>
      <w:proofErr w:type="spellEnd"/>
    </w:p>
    <w:p w:rsidR="006C46D7" w:rsidRDefault="006C46D7" w:rsidP="006C46D7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B65B4E">
        <w:rPr>
          <w:rFonts w:ascii="GHEA Grapalat" w:hAnsi="GHEA Grapalat"/>
          <w:sz w:val="24"/>
          <w:szCs w:val="24"/>
        </w:rPr>
        <w:t>Հարկ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65B4E">
        <w:rPr>
          <w:rFonts w:ascii="GHEA Grapalat" w:hAnsi="GHEA Grapalat"/>
          <w:sz w:val="24"/>
          <w:szCs w:val="24"/>
        </w:rPr>
        <w:t>նշել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նաև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65B4E">
        <w:rPr>
          <w:rFonts w:ascii="GHEA Grapalat" w:hAnsi="GHEA Grapalat"/>
          <w:sz w:val="24"/>
          <w:szCs w:val="24"/>
        </w:rPr>
        <w:t>որ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միջնաժամկետ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ծախսերի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ծրագիրն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այն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ռազմավարական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հենքն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B65B4E">
        <w:rPr>
          <w:rFonts w:ascii="GHEA Grapalat" w:hAnsi="GHEA Grapalat"/>
          <w:sz w:val="24"/>
          <w:szCs w:val="24"/>
        </w:rPr>
        <w:t>որի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ներգրավվում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5B4E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B65B4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օժանդակություններ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:</w:t>
      </w:r>
      <w:proofErr w:type="gramEnd"/>
    </w:p>
    <w:p w:rsidR="006C46D7" w:rsidRPr="006C46D7" w:rsidRDefault="006C46D7" w:rsidP="00E33919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33919" w:rsidRPr="008D5C6D" w:rsidRDefault="00E33919" w:rsidP="00E33919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</w:pPr>
      <w:r w:rsidRPr="00AC13D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AC13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Իրավական ակտի ընդունման նպատակը և կարգավորման անհրաժեշտությունը.</w:t>
      </w:r>
      <w:r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br/>
      </w:r>
    </w:p>
    <w:p w:rsidR="006C46D7" w:rsidRDefault="006C46D7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C46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բյուջետային գործընթացի պրակտիկայում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բյուջեի նախագիծը մշակվում է մեկ տարվա կտրվածքով: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Համայնքի բյուջեի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ծախսերի կառավարման առումով մեկ տարվա կտրվածքով մշակվող և իրականացվող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համայնքի բյուջեն ունի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որոշակի սահմանափակումներ: Մասնավորապես, տարեկան ծրագրերի հիմքում դրվում են կարճաժամկետ կանխատեսումներ, իրականացվող քաղաքականությունների և տարեկան բյուջետային ծախսերի միջև կապը ժամանակային անհամապատասխանության պատճառով հստակ չէ: </w:t>
      </w:r>
      <w:r>
        <w:rPr>
          <w:rFonts w:ascii="GHEA Grapalat" w:hAnsi="GHEA Grapalat"/>
          <w:sz w:val="24"/>
          <w:szCs w:val="24"/>
          <w:lang w:val="hy-AM"/>
        </w:rPr>
        <w:br/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Համայնքի բյուջեի </w:t>
      </w:r>
      <w:r w:rsidRPr="006C46D7">
        <w:rPr>
          <w:rFonts w:ascii="GHEA Grapalat" w:hAnsi="GHEA Grapalat"/>
          <w:sz w:val="24"/>
          <w:szCs w:val="24"/>
          <w:lang w:val="hy-AM"/>
        </w:rPr>
        <w:t>ծախսերի քաղաքականությունը հստակ ձևակերպելու և իրականացնելու համար անհրաժեշտ է հաշվի առնել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բյուջեի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ծախսերի ծրագրային պահանջները միջնաժամկետ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46D7">
        <w:rPr>
          <w:rFonts w:ascii="GHEA Grapalat" w:hAnsi="GHEA Grapalat"/>
          <w:sz w:val="24"/>
          <w:szCs w:val="24"/>
          <w:lang w:val="hy-AM"/>
        </w:rPr>
        <w:t>հեռանկարում, որն իր հերթին ենթադրում է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տնտեսության 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ակնկալվող զարգացումների և հասանելի բյուջետային միջոցների ծավալի կանխատեսելիություն: </w:t>
      </w:r>
    </w:p>
    <w:p w:rsidR="006C46D7" w:rsidRDefault="006C46D7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C46D7">
        <w:rPr>
          <w:rFonts w:ascii="GHEA Grapalat" w:hAnsi="GHEA Grapalat"/>
          <w:sz w:val="24"/>
          <w:szCs w:val="24"/>
          <w:lang w:val="hy-AM"/>
        </w:rPr>
        <w:t>Մ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իջնաժամկետ ծախսերի ծրագրի հիմնական նպատակը </w:t>
      </w:r>
      <w:r w:rsidRPr="006C46D7">
        <w:rPr>
          <w:rFonts w:ascii="GHEA Grapalat" w:hAnsi="GHEA Grapalat"/>
          <w:sz w:val="24"/>
          <w:szCs w:val="24"/>
          <w:lang w:val="hy-AM"/>
        </w:rPr>
        <w:t>Համայնքի</w:t>
      </w:r>
      <w:r w:rsidRPr="006C46D7">
        <w:rPr>
          <w:rFonts w:ascii="GHEA Grapalat" w:hAnsi="GHEA Grapalat"/>
          <w:sz w:val="24"/>
          <w:szCs w:val="24"/>
          <w:lang w:val="hy-AM"/>
        </w:rPr>
        <w:t xml:space="preserve"> ծախսերի կառավարման համակարգի արդյունավետության բարձրացումն է: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Իրավական ակտի</w:t>
      </w:r>
      <w:r w:rsidRPr="008D5C6D">
        <w:rPr>
          <w:rFonts w:ascii="Calibri" w:eastAsia="Times New Roman" w:hAnsi="Calibri" w:cs="Calibri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 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ընդունման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կապակցությամբ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այլ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իրավական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ակտերի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ընդունման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անհրաժեշտության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մասին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.</w:t>
      </w:r>
    </w:p>
    <w:p w:rsidR="00E33919" w:rsidRPr="0021298C" w:rsidRDefault="00E33919" w:rsidP="00E33919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31F9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2129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21298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Sylfaen" w:eastAsia="Times New Roman" w:hAnsi="Sylfaen" w:cs="Calibri"/>
          <w:sz w:val="24"/>
          <w:szCs w:val="24"/>
          <w:lang w:val="hy-AM" w:eastAsia="ru-RU"/>
        </w:rPr>
        <w:br/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Իրավական ակտի ընդունման կապակցությամբ</w:t>
      </w:r>
      <w:r w:rsidRPr="008D5C6D">
        <w:rPr>
          <w:rFonts w:ascii="Calibri" w:eastAsia="Times New Roman" w:hAnsi="Calibri" w:cs="Calibri"/>
          <w:i/>
          <w:sz w:val="24"/>
          <w:szCs w:val="24"/>
          <w:lang w:val="hy-AM" w:eastAsia="ru-RU"/>
        </w:rPr>
        <w:t> </w:t>
      </w:r>
      <w:r w:rsidRPr="008D5C6D">
        <w:rPr>
          <w:rFonts w:ascii="Calibri" w:eastAsia="Times New Roman" w:hAnsi="Calibri" w:cs="Calibri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 </w:t>
      </w:r>
      <w:r w:rsidRPr="008D5C6D">
        <w:rPr>
          <w:rFonts w:ascii="GHEA Grapalat" w:eastAsia="Times New Roman" w:hAnsi="GHEA Grapalat" w:cs="GHEA Grapalat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բ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յուջեում եկամուտների և ծախսերի ավելացման կամ նվազեցման մասին.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5C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ընդունման կապակցությամբ համայնքի բյուջեում ծախսերի և եկամուտների էական ավելացում կամ նվազեցում չի նախատեսվում: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8D5C6D">
        <w:rPr>
          <w:rFonts w:ascii="Calibri" w:eastAsia="Times New Roman" w:hAnsi="Calibri" w:cs="Calibri"/>
          <w:i/>
          <w:sz w:val="24"/>
          <w:szCs w:val="24"/>
          <w:lang w:val="hy-AM" w:eastAsia="ru-RU"/>
        </w:rPr>
        <w:t> 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Նախագծով առաջարկվող կարգավորումների բնույթն ու նպատակը.</w:t>
      </w:r>
    </w:p>
    <w:p w:rsidR="006A0A83" w:rsidRPr="006A0A83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A0A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Նախագիծը կրում է նորմատիվ բնույթ, քանի որ պարունակում է վարքագծի պարտադիր կանոններ</w:t>
      </w:r>
      <w:r w:rsidR="006A0A83" w:rsidRPr="006A0A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0A83" w:rsidRPr="006A0A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անորոշ թվով անձանց համար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8D5C6D">
        <w:rPr>
          <w:rFonts w:ascii="Calibri" w:eastAsia="Times New Roman" w:hAnsi="Calibri" w:cs="Calibri"/>
          <w:i/>
          <w:sz w:val="24"/>
          <w:szCs w:val="24"/>
          <w:lang w:val="hy-AM" w:eastAsia="ru-RU"/>
        </w:rPr>
        <w:t> </w:t>
      </w:r>
      <w:r w:rsidRPr="008D5C6D">
        <w:rPr>
          <w:rFonts w:ascii="GHEA Grapalat" w:eastAsia="Times New Roman" w:hAnsi="GHEA Grapalat" w:cs="Times New Roman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Իրավական ակտի կիրառման դեպքում ակնկալվող արդյունքը.</w:t>
      </w:r>
      <w:r w:rsidRPr="008D5C6D">
        <w:rPr>
          <w:rFonts w:ascii="Calibri" w:eastAsia="Times New Roman" w:hAnsi="Calibri" w:cs="Calibri"/>
          <w:b/>
          <w:bCs/>
          <w:i/>
          <w:sz w:val="24"/>
          <w:szCs w:val="24"/>
          <w:bdr w:val="none" w:sz="0" w:space="0" w:color="auto" w:frame="1"/>
          <w:lang w:val="hy-AM" w:eastAsia="ru-RU"/>
        </w:rPr>
        <w:t> </w:t>
      </w:r>
    </w:p>
    <w:p w:rsidR="006C46D7" w:rsidRDefault="00E33919" w:rsidP="006A0A83">
      <w:pPr>
        <w:pStyle w:val="a3"/>
        <w:spacing w:before="0" w:beforeAutospacing="0" w:after="0" w:afterAutospacing="0" w:line="276" w:lineRule="auto"/>
        <w:jc w:val="both"/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</w:pPr>
      <w:r w:rsidRPr="006A0A83">
        <w:rPr>
          <w:rFonts w:ascii="GHEA Grapalat" w:hAnsi="GHEA Grapalat"/>
          <w:lang w:val="hy-AM"/>
        </w:rPr>
        <w:t>Նախագծի ընդուն</w:t>
      </w:r>
      <w:r w:rsidRPr="006A0A83">
        <w:rPr>
          <w:rFonts w:ascii="GHEA Grapalat" w:hAnsi="GHEA Grapalat"/>
          <w:lang w:val="hy-AM"/>
        </w:rPr>
        <w:softHyphen/>
      </w:r>
      <w:r w:rsidRPr="006A0A83">
        <w:rPr>
          <w:rFonts w:ascii="GHEA Grapalat" w:hAnsi="GHEA Grapalat"/>
          <w:lang w:val="hy-AM"/>
        </w:rPr>
        <w:softHyphen/>
        <w:t xml:space="preserve">ման արդյունքում </w:t>
      </w:r>
      <w:r w:rsidR="006A0A83"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ակնկալվում</w:t>
      </w:r>
      <w:r w:rsidR="006A0A83" w:rsidRPr="006A0A83">
        <w:rPr>
          <w:rFonts w:ascii="Calibri" w:hAnsi="Calibri" w:cs="Calibri"/>
          <w:i/>
          <w:shd w:val="clear" w:color="auto" w:fill="FFFFFF"/>
          <w:lang w:val="hy-AM"/>
        </w:rPr>
        <w:t> </w:t>
      </w:r>
      <w:r w:rsidR="006A0A83"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է</w:t>
      </w:r>
      <w:r w:rsidR="006A0A83" w:rsidRPr="006A0A83">
        <w:rPr>
          <w:rStyle w:val="a5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 xml:space="preserve"> </w:t>
      </w:r>
      <w:r w:rsid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ծախսերի արդյունավետ կառավարում</w:t>
      </w:r>
      <w:r w:rsidR="006A0A83"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 xml:space="preserve">, </w:t>
      </w:r>
    </w:p>
    <w:p w:rsidR="00AE1A03" w:rsidRDefault="006A0A83" w:rsidP="006A0A83">
      <w:pPr>
        <w:pStyle w:val="a3"/>
        <w:spacing w:before="0" w:beforeAutospacing="0" w:after="0" w:afterAutospacing="0" w:line="276" w:lineRule="auto"/>
        <w:jc w:val="both"/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</w:pPr>
      <w:r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ոլորտային տարբեր ծրագրերի իրականացման պլանավորված մոտեցում,</w:t>
      </w:r>
      <w:r w:rsidRPr="006A0A83">
        <w:rPr>
          <w:rFonts w:ascii="Calibri" w:hAnsi="Calibri" w:cs="Calibri"/>
          <w:i/>
          <w:shd w:val="clear" w:color="auto" w:fill="FFFFFF"/>
          <w:lang w:val="hy-AM"/>
        </w:rPr>
        <w:t> </w:t>
      </w:r>
      <w:r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ուղղակի և ելքային</w:t>
      </w:r>
      <w:r w:rsidRPr="006A0A83">
        <w:rPr>
          <w:rStyle w:val="a5"/>
          <w:rFonts w:ascii="Calibri" w:hAnsi="Calibri" w:cs="Calibri"/>
          <w:i w:val="0"/>
          <w:bdr w:val="none" w:sz="0" w:space="0" w:color="auto" w:frame="1"/>
          <w:shd w:val="clear" w:color="auto" w:fill="FFFFFF"/>
          <w:lang w:val="hy-AM"/>
        </w:rPr>
        <w:t> </w:t>
      </w:r>
      <w:r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արդյունքների ձեռքբերում՝</w:t>
      </w:r>
      <w:r w:rsidRPr="006A0A83">
        <w:rPr>
          <w:rStyle w:val="a5"/>
          <w:rFonts w:ascii="Calibri" w:hAnsi="Calibri" w:cs="Calibri"/>
          <w:i w:val="0"/>
          <w:bdr w:val="none" w:sz="0" w:space="0" w:color="auto" w:frame="1"/>
          <w:shd w:val="clear" w:color="auto" w:fill="FFFFFF"/>
          <w:lang w:val="hy-AM"/>
        </w:rPr>
        <w:t>  </w:t>
      </w:r>
      <w:r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 xml:space="preserve">միաժամանակ կիրառելով նոր որակի և մակարդակի կառավարում: </w:t>
      </w:r>
    </w:p>
    <w:p w:rsidR="00E33919" w:rsidRDefault="00AE1A03" w:rsidP="006A0A83">
      <w:pPr>
        <w:pStyle w:val="a3"/>
        <w:spacing w:before="0" w:beforeAutospacing="0" w:after="0" w:afterAutospacing="0" w:line="276" w:lineRule="auto"/>
        <w:jc w:val="both"/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</w:pPr>
      <w:r w:rsidRPr="00AE1A0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Կհ</w:t>
      </w:r>
      <w:r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>ստակեց</w:t>
      </w:r>
      <w:r w:rsidRPr="00AE1A0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 xml:space="preserve">վի </w:t>
      </w:r>
      <w:r w:rsidR="006A0A83" w:rsidRPr="006A0A83"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  <w:t xml:space="preserve">եռամյա ժամանակահատվածում համայնքի ծախսային քաղաքականությունը տարեկան կտրվածքով` հնարավորություն տալով համայնքի համար միջնաժամկետ հատվածում կառավարելու համայնքի ֆինանսական ռեսուրսները և ստեղծելու պատշաճ ծրագրային հիմքեր առաջիկա տարվա համայնքի բյուջեի նախագծի մշակման համար: </w:t>
      </w:r>
    </w:p>
    <w:p w:rsidR="006A0A83" w:rsidRDefault="006A0A83" w:rsidP="006A0A83">
      <w:pPr>
        <w:pStyle w:val="a3"/>
        <w:spacing w:before="0" w:beforeAutospacing="0" w:after="0" w:afterAutospacing="0" w:line="276" w:lineRule="auto"/>
        <w:jc w:val="both"/>
        <w:rPr>
          <w:rStyle w:val="a5"/>
          <w:rFonts w:ascii="GHEA Grapalat" w:hAnsi="GHEA Grapalat"/>
          <w:i w:val="0"/>
          <w:bdr w:val="none" w:sz="0" w:space="0" w:color="auto" w:frame="1"/>
          <w:shd w:val="clear" w:color="auto" w:fill="FFFFFF"/>
          <w:lang w:val="hy-AM"/>
        </w:rPr>
      </w:pPr>
    </w:p>
    <w:p w:rsidR="006A0A83" w:rsidRPr="006A0A83" w:rsidRDefault="006A0A83" w:rsidP="006A0A83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E33919" w:rsidRPr="008D5C6D" w:rsidRDefault="00E33919" w:rsidP="00E33919">
      <w:pPr>
        <w:shd w:val="clear" w:color="auto" w:fill="FFFFFF"/>
        <w:spacing w:after="225" w:line="240" w:lineRule="auto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8D5C6D">
        <w:rPr>
          <w:rFonts w:ascii="GHEA Grapalat" w:hAnsi="GHEA Grapalat"/>
          <w:b/>
          <w:sz w:val="24"/>
          <w:szCs w:val="24"/>
        </w:rPr>
        <w:t xml:space="preserve">ՀԱՄԱՅՆՔԻ ՂԵԿԱՎԱՐ՝            </w:t>
      </w:r>
      <w:r>
        <w:rPr>
          <w:rFonts w:ascii="GHEA Grapalat" w:hAnsi="GHEA Grapalat"/>
          <w:b/>
          <w:sz w:val="24"/>
          <w:szCs w:val="24"/>
        </w:rPr>
        <w:t xml:space="preserve">                </w:t>
      </w:r>
      <w:r w:rsidRPr="008D5C6D">
        <w:rPr>
          <w:rFonts w:ascii="GHEA Grapalat" w:hAnsi="GHEA Grapalat"/>
          <w:b/>
          <w:sz w:val="24"/>
          <w:szCs w:val="24"/>
        </w:rPr>
        <w:t xml:space="preserve">             Է.ԱՐՇԱԿՅԱՆ</w:t>
      </w:r>
    </w:p>
    <w:p w:rsidR="00E33919" w:rsidRPr="008D5C6D" w:rsidRDefault="00E33919" w:rsidP="00E33919">
      <w:pPr>
        <w:shd w:val="clear" w:color="auto" w:fill="FFFFFF"/>
        <w:spacing w:after="225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</w:p>
    <w:p w:rsidR="00043C72" w:rsidRDefault="00043C72"/>
    <w:p w:rsidR="006A0A83" w:rsidRDefault="006A0A83"/>
    <w:p w:rsidR="006A0A83" w:rsidRDefault="006A0A83"/>
    <w:p w:rsidR="006A0A83" w:rsidRDefault="006A0A83"/>
    <w:p w:rsidR="006A0A83" w:rsidRDefault="006A0A83"/>
    <w:p w:rsidR="006A0A83" w:rsidRDefault="006A0A83"/>
    <w:p w:rsidR="006A0A83" w:rsidRDefault="006A0A83">
      <w:bookmarkStart w:id="0" w:name="_GoBack"/>
      <w:bookmarkEnd w:id="0"/>
    </w:p>
    <w:sectPr w:rsidR="006A0A83" w:rsidSect="006A0A83">
      <w:pgSz w:w="11906" w:h="16838"/>
      <w:pgMar w:top="28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1D"/>
    <w:rsid w:val="00043C72"/>
    <w:rsid w:val="0010121A"/>
    <w:rsid w:val="001F2B1D"/>
    <w:rsid w:val="004E64F1"/>
    <w:rsid w:val="006213BD"/>
    <w:rsid w:val="006A0A83"/>
    <w:rsid w:val="006C46D7"/>
    <w:rsid w:val="00723AB3"/>
    <w:rsid w:val="00AE1A03"/>
    <w:rsid w:val="00E33919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5D0A-0B54-4F10-9C35-DF3E5608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rsid w:val="00E3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locked/>
    <w:rsid w:val="00E339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0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2023-10-27T15:09:00Z</dcterms:created>
  <dcterms:modified xsi:type="dcterms:W3CDTF">2023-10-27T15:13:00Z</dcterms:modified>
</cp:coreProperties>
</file>