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5691C" w14:textId="02D14CC4" w:rsidR="004C1F87" w:rsidRPr="004C1F87" w:rsidRDefault="004C1F87" w:rsidP="004C1F87">
      <w:pPr>
        <w:spacing w:before="240" w:after="0" w:line="360" w:lineRule="auto"/>
        <w:ind w:hanging="2"/>
        <w:jc w:val="right"/>
        <w:rPr>
          <w:i/>
          <w:iCs/>
          <w:lang w:val="hy-AM"/>
        </w:rPr>
      </w:pPr>
      <w:r w:rsidRPr="004C1F87">
        <w:rPr>
          <w:i/>
          <w:iCs/>
          <w:lang w:val="hy-AM"/>
        </w:rPr>
        <w:t>Նախագիծ</w:t>
      </w:r>
    </w:p>
    <w:p w14:paraId="3AC9C933" w14:textId="013336AE" w:rsidR="004C1F87" w:rsidRPr="002D5DE0" w:rsidRDefault="004C1F87" w:rsidP="004C1F87">
      <w:pPr>
        <w:spacing w:before="240" w:after="0" w:line="360" w:lineRule="auto"/>
        <w:ind w:hanging="2"/>
        <w:jc w:val="center"/>
        <w:rPr>
          <w:b/>
          <w:bCs/>
          <w:lang w:val="hy-AM"/>
        </w:rPr>
      </w:pPr>
      <w:r w:rsidRPr="002D5DE0">
        <w:rPr>
          <w:b/>
          <w:bCs/>
          <w:lang w:val="hy-AM"/>
        </w:rPr>
        <w:t>ՀԱՅԱՍՏԱՆԻ ՀԱՆՐԱՊԵՏՈՒԹՅԱՆ</w:t>
      </w:r>
      <w:r w:rsidRPr="002D5DE0">
        <w:rPr>
          <w:b/>
          <w:bCs/>
          <w:lang w:val="hy-AM"/>
        </w:rPr>
        <w:br/>
        <w:t>Օ Ր Ե Ն Ք Ը</w:t>
      </w:r>
    </w:p>
    <w:p w14:paraId="6A3877AD" w14:textId="77777777" w:rsidR="004C1F87" w:rsidRPr="002D5DE0" w:rsidRDefault="004C1F87" w:rsidP="004C1F87">
      <w:pPr>
        <w:spacing w:before="240" w:after="0" w:line="360" w:lineRule="auto"/>
        <w:ind w:hanging="2"/>
        <w:jc w:val="center"/>
        <w:rPr>
          <w:b/>
          <w:bCs/>
          <w:lang w:val="hy-AM"/>
        </w:rPr>
      </w:pPr>
      <w:r w:rsidRPr="002D5DE0">
        <w:rPr>
          <w:b/>
          <w:bCs/>
          <w:lang w:val="hy-AM"/>
        </w:rPr>
        <w:t>«ՊԵՏԱԿԱՆ ՏՈՒՐՔԻ ՄԱՍԻՆ» ՕՐԵՆՔՈՒՄ ԼՐԱՑՈՒՄ ԿԱՏԱՐԵԼՈՒ ՄԱՍԻՆ</w:t>
      </w:r>
    </w:p>
    <w:p w14:paraId="13541300" w14:textId="77777777" w:rsidR="004C1F87" w:rsidRPr="002D5DE0" w:rsidRDefault="004C1F87" w:rsidP="004C1F87">
      <w:pPr>
        <w:spacing w:before="240" w:after="0" w:line="360" w:lineRule="auto"/>
        <w:ind w:hanging="2"/>
        <w:jc w:val="both"/>
        <w:rPr>
          <w:lang w:val="hy-AM"/>
        </w:rPr>
      </w:pPr>
    </w:p>
    <w:p w14:paraId="1B6990BD" w14:textId="77777777" w:rsidR="004C1F87" w:rsidRPr="002D5DE0" w:rsidRDefault="004C1F87" w:rsidP="004C1F87">
      <w:pPr>
        <w:shd w:val="clear" w:color="auto" w:fill="FFFFFF"/>
        <w:spacing w:before="240" w:after="0" w:line="360" w:lineRule="auto"/>
        <w:ind w:firstLine="375"/>
        <w:rPr>
          <w:lang w:val="hy-AM"/>
        </w:rPr>
      </w:pPr>
      <w:bookmarkStart w:id="0" w:name="_Hlk148025000"/>
      <w:r w:rsidRPr="002D5DE0">
        <w:rPr>
          <w:rFonts w:eastAsia="Times New Roman" w:cs="Arial"/>
          <w:b/>
          <w:bCs/>
          <w:color w:val="000000"/>
          <w:lang w:val="hy-AM"/>
        </w:rPr>
        <w:t>Հոդված</w:t>
      </w:r>
      <w:r w:rsidRPr="002D5DE0">
        <w:rPr>
          <w:rFonts w:eastAsia="Times New Roman"/>
          <w:b/>
          <w:bCs/>
          <w:color w:val="000000"/>
          <w:lang w:val="hy-AM"/>
        </w:rPr>
        <w:t xml:space="preserve"> 1.</w:t>
      </w:r>
      <w:r w:rsidRPr="002D5DE0">
        <w:rPr>
          <w:rFonts w:eastAsia="Times New Roman"/>
          <w:color w:val="000000"/>
          <w:lang w:val="hy-AM"/>
        </w:rPr>
        <w:t xml:space="preserve"> </w:t>
      </w:r>
      <w:r w:rsidRPr="002D5DE0">
        <w:rPr>
          <w:rFonts w:eastAsia="Times New Roman" w:cs="Yu Gothic"/>
          <w:color w:val="000000"/>
          <w:lang w:val="hy-AM"/>
        </w:rPr>
        <w:t>«</w:t>
      </w:r>
      <w:r w:rsidRPr="002D5DE0">
        <w:rPr>
          <w:rFonts w:eastAsia="Times New Roman" w:cs="Arial"/>
          <w:color w:val="000000"/>
          <w:lang w:val="hy-AM"/>
        </w:rPr>
        <w:t>Պետական</w:t>
      </w:r>
      <w:r w:rsidRPr="002D5DE0">
        <w:rPr>
          <w:rFonts w:eastAsia="Times New Roman"/>
          <w:color w:val="000000"/>
          <w:lang w:val="hy-AM"/>
        </w:rPr>
        <w:t xml:space="preserve"> </w:t>
      </w:r>
      <w:r w:rsidRPr="002D5DE0">
        <w:rPr>
          <w:rFonts w:eastAsia="Times New Roman" w:cs="Arial"/>
          <w:color w:val="000000"/>
          <w:lang w:val="hy-AM"/>
        </w:rPr>
        <w:t>տուրքի</w:t>
      </w:r>
      <w:r w:rsidRPr="002D5DE0">
        <w:rPr>
          <w:rFonts w:eastAsia="Times New Roman"/>
          <w:color w:val="000000"/>
          <w:lang w:val="hy-AM"/>
        </w:rPr>
        <w:t xml:space="preserve"> </w:t>
      </w:r>
      <w:r w:rsidRPr="002D5DE0">
        <w:rPr>
          <w:rFonts w:eastAsia="Times New Roman" w:cs="Arial"/>
          <w:color w:val="000000"/>
          <w:lang w:val="hy-AM"/>
        </w:rPr>
        <w:t>մասին</w:t>
      </w:r>
      <w:r w:rsidRPr="002D5DE0">
        <w:rPr>
          <w:rFonts w:eastAsia="Times New Roman" w:cs="Yu Gothic"/>
          <w:color w:val="000000"/>
          <w:lang w:val="hy-AM"/>
        </w:rPr>
        <w:t>»</w:t>
      </w:r>
      <w:r w:rsidRPr="002D5DE0">
        <w:rPr>
          <w:rFonts w:eastAsia="Times New Roman"/>
          <w:color w:val="000000"/>
          <w:lang w:val="hy-AM"/>
        </w:rPr>
        <w:t xml:space="preserve"> 1997 </w:t>
      </w:r>
      <w:r w:rsidRPr="002D5DE0">
        <w:rPr>
          <w:rFonts w:eastAsia="Times New Roman" w:cs="Arial"/>
          <w:color w:val="000000"/>
          <w:lang w:val="hy-AM"/>
        </w:rPr>
        <w:t>թվականի</w:t>
      </w:r>
      <w:r w:rsidRPr="002D5DE0">
        <w:rPr>
          <w:rFonts w:eastAsia="Times New Roman"/>
          <w:color w:val="000000"/>
          <w:lang w:val="hy-AM"/>
        </w:rPr>
        <w:t xml:space="preserve"> </w:t>
      </w:r>
      <w:r w:rsidRPr="002D5DE0">
        <w:rPr>
          <w:rFonts w:eastAsia="Times New Roman" w:cs="Arial"/>
          <w:color w:val="000000"/>
          <w:lang w:val="hy-AM"/>
        </w:rPr>
        <w:t>դեկտեմբերի</w:t>
      </w:r>
      <w:r w:rsidRPr="002D5DE0">
        <w:rPr>
          <w:rFonts w:eastAsia="Times New Roman"/>
          <w:color w:val="000000"/>
          <w:lang w:val="hy-AM"/>
        </w:rPr>
        <w:t xml:space="preserve"> 27-</w:t>
      </w:r>
      <w:r w:rsidRPr="002D5DE0">
        <w:rPr>
          <w:rFonts w:eastAsia="Times New Roman" w:cs="Arial"/>
          <w:color w:val="000000"/>
          <w:lang w:val="hy-AM"/>
        </w:rPr>
        <w:t>ի</w:t>
      </w:r>
      <w:r w:rsidRPr="002D5DE0">
        <w:rPr>
          <w:rFonts w:eastAsia="Times New Roman"/>
          <w:color w:val="000000"/>
          <w:lang w:val="hy-AM"/>
        </w:rPr>
        <w:t xml:space="preserve"> </w:t>
      </w:r>
      <w:r w:rsidRPr="002D5DE0">
        <w:rPr>
          <w:rFonts w:eastAsia="Times New Roman" w:cs="Arial"/>
          <w:color w:val="000000"/>
          <w:lang w:val="hy-AM"/>
        </w:rPr>
        <w:t>ՀՕ</w:t>
      </w:r>
      <w:r w:rsidRPr="002D5DE0">
        <w:rPr>
          <w:rFonts w:eastAsia="Times New Roman"/>
          <w:color w:val="000000"/>
          <w:lang w:val="hy-AM"/>
        </w:rPr>
        <w:t xml:space="preserve">-186 </w:t>
      </w:r>
      <w:r w:rsidRPr="002D5DE0">
        <w:rPr>
          <w:rFonts w:eastAsia="Times New Roman" w:cs="Arial"/>
          <w:color w:val="000000"/>
          <w:lang w:val="hy-AM"/>
        </w:rPr>
        <w:t>օրենքի</w:t>
      </w:r>
      <w:r w:rsidRPr="002D5DE0">
        <w:rPr>
          <w:rFonts w:eastAsia="Times New Roman"/>
          <w:color w:val="000000"/>
          <w:lang w:val="hy-AM"/>
        </w:rPr>
        <w:t xml:space="preserve"> (</w:t>
      </w:r>
      <w:r w:rsidRPr="002D5DE0">
        <w:rPr>
          <w:rFonts w:eastAsia="Times New Roman" w:cs="Arial"/>
          <w:color w:val="000000"/>
          <w:lang w:val="hy-AM"/>
        </w:rPr>
        <w:t>այսուհետ՝</w:t>
      </w:r>
      <w:r w:rsidRPr="002D5DE0">
        <w:rPr>
          <w:rFonts w:eastAsia="Times New Roman"/>
          <w:color w:val="000000"/>
          <w:lang w:val="hy-AM"/>
        </w:rPr>
        <w:t xml:space="preserve"> </w:t>
      </w:r>
      <w:r w:rsidRPr="002D5DE0">
        <w:rPr>
          <w:rFonts w:eastAsia="Times New Roman" w:cs="Arial"/>
          <w:color w:val="000000"/>
          <w:lang w:val="hy-AM"/>
        </w:rPr>
        <w:t>Օրենք</w:t>
      </w:r>
      <w:r w:rsidRPr="002D5DE0">
        <w:rPr>
          <w:rFonts w:eastAsia="Times New Roman"/>
          <w:color w:val="000000"/>
          <w:lang w:val="hy-AM"/>
        </w:rPr>
        <w:t>) 9-</w:t>
      </w:r>
      <w:r w:rsidRPr="002D5DE0">
        <w:rPr>
          <w:rFonts w:eastAsia="Times New Roman" w:cs="Arial"/>
          <w:color w:val="000000"/>
          <w:lang w:val="hy-AM"/>
        </w:rPr>
        <w:t>րդ</w:t>
      </w:r>
      <w:r w:rsidRPr="002D5DE0">
        <w:rPr>
          <w:rFonts w:eastAsia="Times New Roman"/>
          <w:color w:val="000000"/>
          <w:lang w:val="hy-AM"/>
        </w:rPr>
        <w:t xml:space="preserve"> </w:t>
      </w:r>
      <w:r w:rsidRPr="002D5DE0">
        <w:rPr>
          <w:rFonts w:eastAsia="Times New Roman" w:cs="Arial"/>
          <w:color w:val="000000"/>
          <w:lang w:val="hy-AM"/>
        </w:rPr>
        <w:t>հոդվածի 2-րդ մասը լ</w:t>
      </w:r>
      <w:r w:rsidRPr="002D5DE0">
        <w:rPr>
          <w:lang w:val="hy-AM"/>
        </w:rPr>
        <w:t xml:space="preserve">րացնել </w:t>
      </w:r>
      <w:proofErr w:type="spellStart"/>
      <w:r w:rsidRPr="002D5DE0">
        <w:rPr>
          <w:lang w:val="hy-AM"/>
        </w:rPr>
        <w:t>հետևյալ</w:t>
      </w:r>
      <w:proofErr w:type="spellEnd"/>
      <w:r w:rsidRPr="002D5DE0">
        <w:rPr>
          <w:lang w:val="hy-AM"/>
        </w:rPr>
        <w:t xml:space="preserve"> բովանդակությամբ 12-րդ կետով՝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9"/>
        <w:gridCol w:w="4487"/>
      </w:tblGrid>
      <w:tr w:rsidR="004C1F87" w:rsidRPr="002D5DE0" w14:paraId="3DB9D5A0" w14:textId="77777777" w:rsidTr="00054407">
        <w:trPr>
          <w:trHeight w:val="1292"/>
        </w:trPr>
        <w:tc>
          <w:tcPr>
            <w:tcW w:w="5121" w:type="dxa"/>
          </w:tcPr>
          <w:bookmarkEnd w:id="0"/>
          <w:p w14:paraId="3BE25CCE" w14:textId="77777777" w:rsidR="004C1F87" w:rsidRPr="002D5DE0" w:rsidRDefault="004C1F87" w:rsidP="00054407">
            <w:pPr>
              <w:spacing w:before="240" w:line="360" w:lineRule="auto"/>
              <w:jc w:val="both"/>
              <w:rPr>
                <w:lang w:val="hy-AM"/>
              </w:rPr>
            </w:pPr>
            <w:r w:rsidRPr="002D5DE0">
              <w:rPr>
                <w:lang w:val="hy-AM"/>
              </w:rPr>
              <w:t xml:space="preserve">12) վարչական դատարան՝ ՀՀ ՆԳՆ ոստիկանության և դրա մարմինների դեմ ներկայացվող հայցադիմումների համար </w:t>
            </w:r>
          </w:p>
        </w:tc>
        <w:tc>
          <w:tcPr>
            <w:tcW w:w="5121" w:type="dxa"/>
          </w:tcPr>
          <w:p w14:paraId="760F22E0" w14:textId="77777777" w:rsidR="004C1F87" w:rsidRPr="002D5DE0" w:rsidRDefault="004C1F87" w:rsidP="00054407">
            <w:pPr>
              <w:spacing w:before="240" w:line="360" w:lineRule="auto"/>
              <w:jc w:val="both"/>
              <w:rPr>
                <w:lang w:val="hy-AM"/>
              </w:rPr>
            </w:pPr>
            <w:r w:rsidRPr="002D5DE0">
              <w:rPr>
                <w:lang w:val="hy-AM"/>
              </w:rPr>
              <w:t>բազային տուրքի քսանապատիկի չափով</w:t>
            </w:r>
          </w:p>
        </w:tc>
      </w:tr>
    </w:tbl>
    <w:p w14:paraId="1D45247B" w14:textId="77777777" w:rsidR="004C1F87" w:rsidRPr="002D5DE0" w:rsidRDefault="004C1F87" w:rsidP="004C1F87">
      <w:pPr>
        <w:shd w:val="clear" w:color="auto" w:fill="FFFFFF"/>
        <w:spacing w:before="240" w:after="0" w:line="360" w:lineRule="auto"/>
        <w:ind w:firstLine="375"/>
        <w:rPr>
          <w:lang w:val="hy-AM"/>
        </w:rPr>
      </w:pPr>
    </w:p>
    <w:p w14:paraId="009555DC" w14:textId="77777777" w:rsidR="004C1F87" w:rsidRPr="002D5DE0" w:rsidRDefault="004C1F87" w:rsidP="004C1F87">
      <w:pPr>
        <w:shd w:val="clear" w:color="auto" w:fill="FFFFFF"/>
        <w:spacing w:before="240" w:after="0" w:line="360" w:lineRule="auto"/>
        <w:ind w:firstLine="375"/>
        <w:rPr>
          <w:lang w:val="hy-AM"/>
        </w:rPr>
      </w:pPr>
      <w:r w:rsidRPr="002D5DE0">
        <w:rPr>
          <w:rFonts w:eastAsia="Times New Roman" w:cs="Arial"/>
          <w:b/>
          <w:bCs/>
          <w:color w:val="000000"/>
          <w:lang w:val="hy-AM"/>
        </w:rPr>
        <w:t>Հոդված</w:t>
      </w:r>
      <w:r w:rsidRPr="002D5DE0">
        <w:rPr>
          <w:rFonts w:eastAsia="Times New Roman"/>
          <w:b/>
          <w:bCs/>
          <w:color w:val="000000"/>
          <w:lang w:val="hy-AM"/>
        </w:rPr>
        <w:t xml:space="preserve"> 2</w:t>
      </w:r>
      <w:r w:rsidRPr="002D5DE0">
        <w:rPr>
          <w:rFonts w:eastAsia="Times New Roman"/>
          <w:color w:val="000000"/>
          <w:lang w:val="hy-AM"/>
        </w:rPr>
        <w:t xml:space="preserve">. </w:t>
      </w:r>
      <w:r w:rsidRPr="002D5DE0">
        <w:rPr>
          <w:rFonts w:eastAsia="Times New Roman" w:cs="Arial"/>
          <w:color w:val="000000"/>
          <w:lang w:val="hy-AM"/>
        </w:rPr>
        <w:t>Օրենքի</w:t>
      </w:r>
      <w:r w:rsidRPr="002D5DE0">
        <w:rPr>
          <w:rFonts w:eastAsia="Times New Roman"/>
          <w:color w:val="000000"/>
          <w:lang w:val="hy-AM"/>
        </w:rPr>
        <w:t xml:space="preserve"> 9-</w:t>
      </w:r>
      <w:r w:rsidRPr="002D5DE0">
        <w:rPr>
          <w:rFonts w:eastAsia="Times New Roman" w:cs="Arial"/>
          <w:color w:val="000000"/>
          <w:lang w:val="hy-AM"/>
        </w:rPr>
        <w:t>րդ</w:t>
      </w:r>
      <w:r w:rsidRPr="002D5DE0">
        <w:rPr>
          <w:rFonts w:eastAsia="Times New Roman"/>
          <w:color w:val="000000"/>
          <w:lang w:val="hy-AM"/>
        </w:rPr>
        <w:t xml:space="preserve"> </w:t>
      </w:r>
      <w:r w:rsidRPr="002D5DE0">
        <w:rPr>
          <w:rFonts w:eastAsia="Times New Roman" w:cs="Arial"/>
          <w:color w:val="000000"/>
          <w:lang w:val="hy-AM"/>
        </w:rPr>
        <w:t>հոդվածի 2-րդ մասը լ</w:t>
      </w:r>
      <w:r w:rsidRPr="002D5DE0">
        <w:rPr>
          <w:lang w:val="hy-AM"/>
        </w:rPr>
        <w:t xml:space="preserve">րացնել </w:t>
      </w:r>
      <w:proofErr w:type="spellStart"/>
      <w:r w:rsidRPr="002D5DE0">
        <w:rPr>
          <w:lang w:val="hy-AM"/>
        </w:rPr>
        <w:t>հետևյալ</w:t>
      </w:r>
      <w:proofErr w:type="spellEnd"/>
      <w:r w:rsidRPr="002D5DE0">
        <w:rPr>
          <w:lang w:val="hy-AM"/>
        </w:rPr>
        <w:t xml:space="preserve"> բովանդակությամբ 13-րդ կետով՝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5"/>
        <w:gridCol w:w="4381"/>
      </w:tblGrid>
      <w:tr w:rsidR="004C1F87" w:rsidRPr="00B8110A" w14:paraId="6E4AE3B5" w14:textId="77777777" w:rsidTr="00054407">
        <w:tc>
          <w:tcPr>
            <w:tcW w:w="5121" w:type="dxa"/>
          </w:tcPr>
          <w:p w14:paraId="7C0B7DDC" w14:textId="77777777" w:rsidR="004C1F87" w:rsidRPr="002D5DE0" w:rsidRDefault="004C1F87" w:rsidP="00054407">
            <w:pPr>
              <w:spacing w:before="240" w:line="360" w:lineRule="auto"/>
              <w:jc w:val="both"/>
              <w:rPr>
                <w:lang w:val="hy-AM"/>
              </w:rPr>
            </w:pPr>
            <w:r w:rsidRPr="002D5DE0">
              <w:rPr>
                <w:lang w:val="hy-AM"/>
              </w:rPr>
              <w:t xml:space="preserve">13) այն վարչական ակտերի վիճարկման պահանջով հայցադիմումների համար, որոնցով հայցը հարուցվում է ընդդեմ ՀՀ ՆԳՆ ոստիկանության և դրա մարմինների և կիրառվել է դրամական արտահայտությամբ վարչական պատասխանատվության միջոց </w:t>
            </w:r>
            <w:proofErr w:type="spellStart"/>
            <w:r w:rsidRPr="002D5DE0">
              <w:rPr>
                <w:lang w:val="hy-AM"/>
              </w:rPr>
              <w:t>հետևյալ</w:t>
            </w:r>
            <w:proofErr w:type="spellEnd"/>
            <w:r w:rsidRPr="002D5DE0">
              <w:rPr>
                <w:lang w:val="hy-AM"/>
              </w:rPr>
              <w:t xml:space="preserve"> չափերով՝</w:t>
            </w:r>
          </w:p>
        </w:tc>
        <w:tc>
          <w:tcPr>
            <w:tcW w:w="5121" w:type="dxa"/>
          </w:tcPr>
          <w:p w14:paraId="5FE84FD1" w14:textId="77777777" w:rsidR="004C1F87" w:rsidRPr="002D5DE0" w:rsidRDefault="004C1F87" w:rsidP="00054407">
            <w:pPr>
              <w:spacing w:before="240" w:line="360" w:lineRule="auto"/>
              <w:jc w:val="both"/>
              <w:rPr>
                <w:lang w:val="hy-AM"/>
              </w:rPr>
            </w:pPr>
          </w:p>
        </w:tc>
      </w:tr>
      <w:tr w:rsidR="004C1F87" w:rsidRPr="002D5DE0" w14:paraId="20E562D0" w14:textId="77777777" w:rsidTr="00054407">
        <w:tc>
          <w:tcPr>
            <w:tcW w:w="5121" w:type="dxa"/>
          </w:tcPr>
          <w:p w14:paraId="4A0E8E57" w14:textId="77777777" w:rsidR="004C1F87" w:rsidRPr="002D5DE0" w:rsidRDefault="004C1F87" w:rsidP="00054407">
            <w:pPr>
              <w:spacing w:before="240" w:line="360" w:lineRule="auto"/>
              <w:jc w:val="both"/>
              <w:rPr>
                <w:lang w:val="hy-AM"/>
              </w:rPr>
            </w:pPr>
            <w:r w:rsidRPr="002D5DE0">
              <w:rPr>
                <w:lang w:val="hy-AM"/>
              </w:rPr>
              <w:lastRenderedPageBreak/>
              <w:t xml:space="preserve">ա. </w:t>
            </w:r>
            <w:proofErr w:type="spellStart"/>
            <w:r w:rsidRPr="002D5DE0">
              <w:rPr>
                <w:lang w:val="hy-AM"/>
              </w:rPr>
              <w:t>մինչև</w:t>
            </w:r>
            <w:proofErr w:type="spellEnd"/>
            <w:r w:rsidRPr="002D5DE0">
              <w:rPr>
                <w:lang w:val="hy-AM"/>
              </w:rPr>
              <w:t xml:space="preserve"> 10 հազար դրամը ներառյալ</w:t>
            </w:r>
          </w:p>
        </w:tc>
        <w:tc>
          <w:tcPr>
            <w:tcW w:w="5121" w:type="dxa"/>
          </w:tcPr>
          <w:p w14:paraId="2B77758D" w14:textId="77777777" w:rsidR="004C1F87" w:rsidRPr="002D5DE0" w:rsidRDefault="004C1F87" w:rsidP="00054407">
            <w:pPr>
              <w:spacing w:before="240" w:line="360" w:lineRule="auto"/>
              <w:jc w:val="both"/>
              <w:rPr>
                <w:lang w:val="hy-AM"/>
              </w:rPr>
            </w:pPr>
            <w:proofErr w:type="spellStart"/>
            <w:r w:rsidRPr="002D5DE0">
              <w:rPr>
                <w:lang w:val="ru-RU"/>
              </w:rPr>
              <w:t>բազային</w:t>
            </w:r>
            <w:proofErr w:type="spellEnd"/>
            <w:r w:rsidRPr="002D5DE0">
              <w:rPr>
                <w:lang w:val="ru-RU"/>
              </w:rPr>
              <w:t xml:space="preserve"> </w:t>
            </w:r>
            <w:proofErr w:type="spellStart"/>
            <w:r w:rsidRPr="002D5DE0">
              <w:rPr>
                <w:lang w:val="ru-RU"/>
              </w:rPr>
              <w:t>տուրքի</w:t>
            </w:r>
            <w:proofErr w:type="spellEnd"/>
            <w:r w:rsidRPr="002D5DE0">
              <w:rPr>
                <w:lang w:val="ru-RU"/>
              </w:rPr>
              <w:t xml:space="preserve"> </w:t>
            </w:r>
            <w:proofErr w:type="spellStart"/>
            <w:r w:rsidRPr="002D5DE0">
              <w:rPr>
                <w:lang w:val="hy-AM"/>
              </w:rPr>
              <w:t>հնգապ</w:t>
            </w:r>
            <w:r w:rsidRPr="002D5DE0">
              <w:rPr>
                <w:lang w:val="ru-RU"/>
              </w:rPr>
              <w:t>ատիկի</w:t>
            </w:r>
            <w:proofErr w:type="spellEnd"/>
            <w:r w:rsidRPr="002D5DE0">
              <w:rPr>
                <w:lang w:val="ru-RU"/>
              </w:rPr>
              <w:t xml:space="preserve"> </w:t>
            </w:r>
            <w:proofErr w:type="spellStart"/>
            <w:r w:rsidRPr="002D5DE0">
              <w:rPr>
                <w:lang w:val="ru-RU"/>
              </w:rPr>
              <w:t>չափով</w:t>
            </w:r>
            <w:proofErr w:type="spellEnd"/>
          </w:p>
        </w:tc>
      </w:tr>
      <w:tr w:rsidR="004C1F87" w:rsidRPr="00B8110A" w14:paraId="20DD8469" w14:textId="77777777" w:rsidTr="00054407">
        <w:tc>
          <w:tcPr>
            <w:tcW w:w="5121" w:type="dxa"/>
          </w:tcPr>
          <w:p w14:paraId="1B0C8F12" w14:textId="77777777" w:rsidR="004C1F87" w:rsidRPr="002D5DE0" w:rsidRDefault="004C1F87" w:rsidP="00054407">
            <w:pPr>
              <w:spacing w:before="240" w:line="360" w:lineRule="auto"/>
              <w:jc w:val="both"/>
              <w:rPr>
                <w:lang w:val="hy-AM"/>
              </w:rPr>
            </w:pPr>
            <w:r w:rsidRPr="002D5DE0">
              <w:rPr>
                <w:lang w:val="hy-AM"/>
              </w:rPr>
              <w:t xml:space="preserve">բ. 10 հազար դրամից </w:t>
            </w:r>
            <w:proofErr w:type="spellStart"/>
            <w:r w:rsidRPr="002D5DE0">
              <w:rPr>
                <w:lang w:val="hy-AM"/>
              </w:rPr>
              <w:t>մինչև</w:t>
            </w:r>
            <w:proofErr w:type="spellEnd"/>
            <w:r w:rsidRPr="002D5DE0">
              <w:rPr>
                <w:lang w:val="hy-AM"/>
              </w:rPr>
              <w:t xml:space="preserve"> 50 հազար դրամը ներառյալ</w:t>
            </w:r>
          </w:p>
        </w:tc>
        <w:tc>
          <w:tcPr>
            <w:tcW w:w="5121" w:type="dxa"/>
          </w:tcPr>
          <w:p w14:paraId="4BD96048" w14:textId="77777777" w:rsidR="004C1F87" w:rsidRPr="002D5DE0" w:rsidRDefault="004C1F87" w:rsidP="00054407">
            <w:pPr>
              <w:spacing w:before="240" w:line="360" w:lineRule="auto"/>
              <w:ind w:hanging="2"/>
              <w:jc w:val="both"/>
              <w:rPr>
                <w:lang w:val="hy-AM"/>
              </w:rPr>
            </w:pPr>
            <w:r w:rsidRPr="002D5DE0">
              <w:rPr>
                <w:lang w:val="hy-AM"/>
              </w:rPr>
              <w:t>բազային տուրքի 5-ապատիկին գումարած 10 հազար դրամը գերազանցող մասի 5 տոկոսի չափով</w:t>
            </w:r>
          </w:p>
          <w:p w14:paraId="6D4F9394" w14:textId="77777777" w:rsidR="004C1F87" w:rsidRPr="002D5DE0" w:rsidRDefault="004C1F87" w:rsidP="00054407">
            <w:pPr>
              <w:spacing w:before="240" w:line="360" w:lineRule="auto"/>
              <w:jc w:val="both"/>
              <w:rPr>
                <w:lang w:val="hy-AM"/>
              </w:rPr>
            </w:pPr>
          </w:p>
        </w:tc>
      </w:tr>
      <w:tr w:rsidR="004C1F87" w:rsidRPr="00B8110A" w14:paraId="02F67B91" w14:textId="77777777" w:rsidTr="00054407">
        <w:tc>
          <w:tcPr>
            <w:tcW w:w="5121" w:type="dxa"/>
          </w:tcPr>
          <w:p w14:paraId="6D2D7C7E" w14:textId="77777777" w:rsidR="004C1F87" w:rsidRPr="002D5DE0" w:rsidRDefault="004C1F87" w:rsidP="00054407">
            <w:pPr>
              <w:spacing w:before="240" w:line="360" w:lineRule="auto"/>
              <w:jc w:val="both"/>
              <w:rPr>
                <w:lang w:val="hy-AM"/>
              </w:rPr>
            </w:pPr>
            <w:r w:rsidRPr="002D5DE0">
              <w:rPr>
                <w:lang w:val="hy-AM"/>
              </w:rPr>
              <w:t xml:space="preserve">գ. 50 հազար դրամից </w:t>
            </w:r>
            <w:proofErr w:type="spellStart"/>
            <w:r w:rsidRPr="002D5DE0">
              <w:rPr>
                <w:lang w:val="hy-AM"/>
              </w:rPr>
              <w:t>մինչև</w:t>
            </w:r>
            <w:proofErr w:type="spellEnd"/>
            <w:r w:rsidRPr="002D5DE0">
              <w:rPr>
                <w:lang w:val="hy-AM"/>
              </w:rPr>
              <w:t xml:space="preserve"> 100 հազար դրամը ներառյալ</w:t>
            </w:r>
          </w:p>
        </w:tc>
        <w:tc>
          <w:tcPr>
            <w:tcW w:w="5121" w:type="dxa"/>
          </w:tcPr>
          <w:p w14:paraId="050DF180" w14:textId="77777777" w:rsidR="004C1F87" w:rsidRPr="002D5DE0" w:rsidRDefault="004C1F87" w:rsidP="00054407">
            <w:pPr>
              <w:spacing w:before="240" w:line="360" w:lineRule="auto"/>
              <w:jc w:val="both"/>
              <w:rPr>
                <w:lang w:val="hy-AM"/>
              </w:rPr>
            </w:pPr>
            <w:r w:rsidRPr="002D5DE0">
              <w:rPr>
                <w:lang w:val="hy-AM"/>
              </w:rPr>
              <w:t>բազային տուրքի 10-ապատիկին գումարած 50 հազար դրամը գերազանցող մասի 2 տոկոսի չափով</w:t>
            </w:r>
          </w:p>
        </w:tc>
      </w:tr>
      <w:tr w:rsidR="004C1F87" w:rsidRPr="00B8110A" w14:paraId="45D36F8D" w14:textId="77777777" w:rsidTr="00054407">
        <w:tc>
          <w:tcPr>
            <w:tcW w:w="5121" w:type="dxa"/>
          </w:tcPr>
          <w:p w14:paraId="44EF28C4" w14:textId="77777777" w:rsidR="004C1F87" w:rsidRPr="002D5DE0" w:rsidRDefault="004C1F87" w:rsidP="00054407">
            <w:pPr>
              <w:spacing w:before="240" w:line="360" w:lineRule="auto"/>
              <w:jc w:val="both"/>
              <w:rPr>
                <w:lang w:val="hy-AM"/>
              </w:rPr>
            </w:pPr>
            <w:r w:rsidRPr="002D5DE0">
              <w:rPr>
                <w:lang w:val="hy-AM"/>
              </w:rPr>
              <w:t xml:space="preserve">դ. 100 հազար դրամից </w:t>
            </w:r>
            <w:proofErr w:type="spellStart"/>
            <w:r w:rsidRPr="002D5DE0">
              <w:rPr>
                <w:lang w:val="hy-AM"/>
              </w:rPr>
              <w:t>մինչև</w:t>
            </w:r>
            <w:proofErr w:type="spellEnd"/>
            <w:r w:rsidRPr="002D5DE0">
              <w:rPr>
                <w:lang w:val="hy-AM"/>
              </w:rPr>
              <w:t xml:space="preserve"> 500 հազար դրամը ներառյալ</w:t>
            </w:r>
          </w:p>
        </w:tc>
        <w:tc>
          <w:tcPr>
            <w:tcW w:w="5121" w:type="dxa"/>
          </w:tcPr>
          <w:p w14:paraId="25FBBECC" w14:textId="77777777" w:rsidR="004C1F87" w:rsidRPr="002D5DE0" w:rsidRDefault="004C1F87" w:rsidP="00054407">
            <w:pPr>
              <w:spacing w:before="240" w:line="360" w:lineRule="auto"/>
              <w:jc w:val="both"/>
              <w:rPr>
                <w:lang w:val="hy-AM"/>
              </w:rPr>
            </w:pPr>
            <w:r w:rsidRPr="002D5DE0">
              <w:rPr>
                <w:lang w:val="hy-AM"/>
              </w:rPr>
              <w:t>բազային տուրքի 15-ապատիկին գումարած 100 հազար դրամը գերազանցող մասի 1 տոկոսի չափով</w:t>
            </w:r>
          </w:p>
        </w:tc>
      </w:tr>
      <w:tr w:rsidR="004C1F87" w:rsidRPr="00B8110A" w14:paraId="4A1346DB" w14:textId="77777777" w:rsidTr="00054407">
        <w:tc>
          <w:tcPr>
            <w:tcW w:w="5121" w:type="dxa"/>
          </w:tcPr>
          <w:p w14:paraId="5B6B4D16" w14:textId="77777777" w:rsidR="004C1F87" w:rsidRPr="002D5DE0" w:rsidRDefault="004C1F87" w:rsidP="00054407">
            <w:pPr>
              <w:spacing w:before="240" w:line="360" w:lineRule="auto"/>
              <w:jc w:val="both"/>
              <w:rPr>
                <w:lang w:val="hy-AM"/>
              </w:rPr>
            </w:pPr>
            <w:r w:rsidRPr="002D5DE0">
              <w:rPr>
                <w:lang w:val="hy-AM"/>
              </w:rPr>
              <w:t xml:space="preserve">ե. 500 հազար դրամից </w:t>
            </w:r>
            <w:proofErr w:type="spellStart"/>
            <w:r w:rsidRPr="002D5DE0">
              <w:rPr>
                <w:lang w:val="hy-AM"/>
              </w:rPr>
              <w:t>մինչև</w:t>
            </w:r>
            <w:proofErr w:type="spellEnd"/>
            <w:r w:rsidRPr="002D5DE0">
              <w:rPr>
                <w:lang w:val="hy-AM"/>
              </w:rPr>
              <w:t xml:space="preserve"> մեկ միլիոն դրամը ներառյալ</w:t>
            </w:r>
          </w:p>
        </w:tc>
        <w:tc>
          <w:tcPr>
            <w:tcW w:w="5121" w:type="dxa"/>
          </w:tcPr>
          <w:p w14:paraId="3E792F2A" w14:textId="77777777" w:rsidR="004C1F87" w:rsidRPr="002D5DE0" w:rsidRDefault="004C1F87" w:rsidP="00054407">
            <w:pPr>
              <w:spacing w:before="240" w:line="360" w:lineRule="auto"/>
              <w:jc w:val="both"/>
              <w:rPr>
                <w:lang w:val="hy-AM"/>
              </w:rPr>
            </w:pPr>
            <w:r w:rsidRPr="002D5DE0">
              <w:rPr>
                <w:lang w:val="hy-AM"/>
              </w:rPr>
              <w:t>բազային տուրքի 20-ապատիկին գումարած 500 հազար դրամը գերազանցող մասի 0.5 տոկոսի չափով</w:t>
            </w:r>
          </w:p>
        </w:tc>
      </w:tr>
      <w:tr w:rsidR="004C1F87" w:rsidRPr="00B8110A" w14:paraId="3EB59409" w14:textId="77777777" w:rsidTr="00054407">
        <w:tc>
          <w:tcPr>
            <w:tcW w:w="5121" w:type="dxa"/>
          </w:tcPr>
          <w:p w14:paraId="60922F46" w14:textId="77777777" w:rsidR="004C1F87" w:rsidRPr="002D5DE0" w:rsidRDefault="004C1F87" w:rsidP="00054407">
            <w:pPr>
              <w:spacing w:before="240" w:line="360" w:lineRule="auto"/>
              <w:jc w:val="both"/>
              <w:rPr>
                <w:lang w:val="hy-AM"/>
              </w:rPr>
            </w:pPr>
            <w:r w:rsidRPr="002D5DE0">
              <w:rPr>
                <w:lang w:val="hy-AM"/>
              </w:rPr>
              <w:t xml:space="preserve">զ. մեկ միլիոն դրամից </w:t>
            </w:r>
            <w:proofErr w:type="spellStart"/>
            <w:r w:rsidRPr="002D5DE0">
              <w:rPr>
                <w:lang w:val="hy-AM"/>
              </w:rPr>
              <w:t>մինչև</w:t>
            </w:r>
            <w:proofErr w:type="spellEnd"/>
            <w:r w:rsidRPr="002D5DE0">
              <w:rPr>
                <w:lang w:val="hy-AM"/>
              </w:rPr>
              <w:t xml:space="preserve"> երկու միլիոն դրամը ներառյալ</w:t>
            </w:r>
          </w:p>
        </w:tc>
        <w:tc>
          <w:tcPr>
            <w:tcW w:w="5121" w:type="dxa"/>
          </w:tcPr>
          <w:p w14:paraId="632C89F6" w14:textId="77777777" w:rsidR="004C1F87" w:rsidRPr="002D5DE0" w:rsidRDefault="004C1F87" w:rsidP="00054407">
            <w:pPr>
              <w:spacing w:before="240" w:line="360" w:lineRule="auto"/>
              <w:jc w:val="both"/>
              <w:rPr>
                <w:lang w:val="hy-AM"/>
              </w:rPr>
            </w:pPr>
            <w:r w:rsidRPr="002D5DE0">
              <w:rPr>
                <w:lang w:val="hy-AM"/>
              </w:rPr>
              <w:t>բազային տուրքի 25-ապատիկին գումարած մեկ միլիոն դրամը գերազանցող մասի 0.25 տոկոսի չափով</w:t>
            </w:r>
          </w:p>
        </w:tc>
      </w:tr>
    </w:tbl>
    <w:p w14:paraId="56FCE5CD" w14:textId="77777777" w:rsidR="004C1F87" w:rsidRPr="002D5DE0" w:rsidRDefault="004C1F87" w:rsidP="004C1F87">
      <w:pPr>
        <w:spacing w:before="240" w:after="0" w:line="360" w:lineRule="auto"/>
        <w:ind w:hanging="2"/>
        <w:jc w:val="both"/>
        <w:rPr>
          <w:lang w:val="hy-AM"/>
        </w:rPr>
      </w:pPr>
    </w:p>
    <w:p w14:paraId="3F08BCB8" w14:textId="77777777" w:rsidR="004C1F87" w:rsidRPr="00C94CFD" w:rsidRDefault="004C1F87" w:rsidP="004C1F87">
      <w:pPr>
        <w:spacing w:before="240" w:after="0" w:line="360" w:lineRule="auto"/>
        <w:ind w:firstLine="567"/>
        <w:jc w:val="both"/>
        <w:rPr>
          <w:lang w:val="hy-AM"/>
        </w:rPr>
      </w:pPr>
      <w:r w:rsidRPr="002D5DE0">
        <w:rPr>
          <w:b/>
          <w:bCs/>
          <w:lang w:val="hy-AM"/>
        </w:rPr>
        <w:t>Հոդված 3.</w:t>
      </w:r>
      <w:r w:rsidRPr="002D5DE0">
        <w:rPr>
          <w:lang w:val="hy-AM"/>
        </w:rPr>
        <w:t xml:space="preserve"> Եզրափակիչ մաս և անցումային դրույթներ.</w:t>
      </w:r>
    </w:p>
    <w:p w14:paraId="4D3CB11D" w14:textId="55F22766" w:rsidR="004C1F87" w:rsidRPr="002D5DE0" w:rsidRDefault="004C1F87" w:rsidP="004C1F87">
      <w:pPr>
        <w:spacing w:before="240" w:after="0" w:line="360" w:lineRule="auto"/>
        <w:ind w:firstLine="567"/>
        <w:jc w:val="both"/>
        <w:rPr>
          <w:lang w:val="hy-AM"/>
        </w:rPr>
      </w:pPr>
      <w:r w:rsidRPr="002D5DE0">
        <w:rPr>
          <w:lang w:val="hy-AM"/>
        </w:rPr>
        <w:t xml:space="preserve">1. Սույն օրենքն ուժի մեջ է մտնում </w:t>
      </w:r>
      <w:r w:rsidR="00B8110A">
        <w:rPr>
          <w:lang w:val="hy-AM"/>
        </w:rPr>
        <w:t>2024 թվականի հունվարի 1-ից</w:t>
      </w:r>
      <w:r w:rsidRPr="002D5DE0">
        <w:rPr>
          <w:lang w:val="hy-AM"/>
        </w:rPr>
        <w:t>։</w:t>
      </w:r>
    </w:p>
    <w:p w14:paraId="2C63904F" w14:textId="77777777" w:rsidR="004C1F87" w:rsidRPr="002D5DE0" w:rsidRDefault="004C1F87" w:rsidP="004C1F87">
      <w:pPr>
        <w:spacing w:before="240" w:after="0" w:line="360" w:lineRule="auto"/>
        <w:ind w:firstLine="567"/>
        <w:jc w:val="both"/>
        <w:rPr>
          <w:lang w:val="hy-AM"/>
        </w:rPr>
      </w:pPr>
      <w:r w:rsidRPr="002D5DE0">
        <w:rPr>
          <w:lang w:val="hy-AM"/>
        </w:rPr>
        <w:lastRenderedPageBreak/>
        <w:t>2. Սույն օրենքը տարածվում է սույն օրենքն ուժի մեջ մտնելուց հետո ներկայացված հայցադիմումների վրա։</w:t>
      </w:r>
    </w:p>
    <w:p w14:paraId="02A3FA53" w14:textId="77777777" w:rsidR="004C1F87" w:rsidRPr="002D5DE0" w:rsidRDefault="004C1F87" w:rsidP="004C1F87">
      <w:pPr>
        <w:spacing w:before="240" w:after="0" w:line="360" w:lineRule="auto"/>
        <w:ind w:firstLine="567"/>
        <w:jc w:val="both"/>
        <w:rPr>
          <w:lang w:val="hy-AM"/>
        </w:rPr>
      </w:pPr>
      <w:r w:rsidRPr="002D5DE0">
        <w:rPr>
          <w:lang w:val="hy-AM"/>
        </w:rPr>
        <w:t xml:space="preserve">3. </w:t>
      </w:r>
      <w:proofErr w:type="spellStart"/>
      <w:r w:rsidRPr="002D5DE0">
        <w:rPr>
          <w:lang w:val="hy-AM"/>
        </w:rPr>
        <w:t>Մինչև</w:t>
      </w:r>
      <w:proofErr w:type="spellEnd"/>
      <w:r w:rsidRPr="002D5DE0">
        <w:rPr>
          <w:lang w:val="hy-AM"/>
        </w:rPr>
        <w:t xml:space="preserve"> սույն օրենքն ուժի մեջ մտնելը ներկայացված </w:t>
      </w:r>
      <w:proofErr w:type="spellStart"/>
      <w:r w:rsidRPr="002D5DE0">
        <w:rPr>
          <w:lang w:val="hy-AM"/>
        </w:rPr>
        <w:t>հայցադիմումներում</w:t>
      </w:r>
      <w:proofErr w:type="spellEnd"/>
      <w:r w:rsidRPr="002D5DE0">
        <w:rPr>
          <w:lang w:val="hy-AM"/>
        </w:rPr>
        <w:t xml:space="preserve"> նշված պահանջը սույն օրենքն ուժի մեջ մտնելուց հետո փոփոխելու դեպքում պետական տուրքի գումարի չբավականացնող մասը գանձելիս կիրառման են ենթակա </w:t>
      </w:r>
      <w:proofErr w:type="spellStart"/>
      <w:r w:rsidRPr="002D5DE0">
        <w:rPr>
          <w:lang w:val="hy-AM"/>
        </w:rPr>
        <w:t>մինչև</w:t>
      </w:r>
      <w:proofErr w:type="spellEnd"/>
      <w:r w:rsidRPr="002D5DE0">
        <w:rPr>
          <w:lang w:val="hy-AM"/>
        </w:rPr>
        <w:t xml:space="preserve"> սույն օրենքն ուժի մեջ մտնելը գործող նորմերը։</w:t>
      </w:r>
    </w:p>
    <w:p w14:paraId="67C6EA89" w14:textId="77777777" w:rsidR="004C1F87" w:rsidRPr="002D5DE0" w:rsidRDefault="004C1F87" w:rsidP="004C1F87">
      <w:pPr>
        <w:spacing w:before="240" w:after="0" w:line="360" w:lineRule="auto"/>
        <w:rPr>
          <w:lang w:val="hy-AM"/>
        </w:rPr>
      </w:pPr>
      <w:r w:rsidRPr="002D5DE0">
        <w:rPr>
          <w:lang w:val="hy-AM"/>
        </w:rPr>
        <w:br w:type="page"/>
      </w:r>
    </w:p>
    <w:p w14:paraId="14782B1A" w14:textId="77777777" w:rsidR="00F27B49" w:rsidRPr="004C1F87" w:rsidRDefault="00F27B49">
      <w:pPr>
        <w:rPr>
          <w:lang w:val="hy-AM"/>
        </w:rPr>
      </w:pPr>
    </w:p>
    <w:sectPr w:rsidR="00F27B49" w:rsidRPr="004C1F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7D6"/>
    <w:rsid w:val="001947D6"/>
    <w:rsid w:val="004C1F87"/>
    <w:rsid w:val="00B8110A"/>
    <w:rsid w:val="00F2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BC50C"/>
  <w15:chartTrackingRefBased/>
  <w15:docId w15:val="{44503B1A-C54E-4D06-BE02-14DCEB25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F87"/>
    <w:rPr>
      <w:rFonts w:ascii="GHEA Grapalat" w:hAnsi="GHEA Grapalat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1F87"/>
    <w:pPr>
      <w:spacing w:after="0" w:line="240" w:lineRule="auto"/>
    </w:pPr>
    <w:rPr>
      <w:rFonts w:ascii="GHEA Grapalat" w:hAnsi="GHEA Grapalat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Harutyunyan</dc:creator>
  <cp:keywords/>
  <dc:description/>
  <cp:lastModifiedBy>Gohar Harutyunyan</cp:lastModifiedBy>
  <cp:revision>3</cp:revision>
  <dcterms:created xsi:type="dcterms:W3CDTF">2023-10-31T13:29:00Z</dcterms:created>
  <dcterms:modified xsi:type="dcterms:W3CDTF">2023-10-31T14:20:00Z</dcterms:modified>
</cp:coreProperties>
</file>