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6B4E" w14:textId="77777777" w:rsidR="000E6F1F" w:rsidRPr="00036280" w:rsidRDefault="000E6F1F" w:rsidP="000E6F1F">
      <w:pPr>
        <w:spacing w:line="276" w:lineRule="auto"/>
        <w:jc w:val="right"/>
        <w:rPr>
          <w:rFonts w:ascii="GHEA Grapalat" w:hAnsi="GHEA Grapalat" w:cs="Sylfaen"/>
          <w:b/>
          <w:i/>
          <w:sz w:val="24"/>
          <w:u w:val="single"/>
          <w:lang w:val="hy-AM"/>
        </w:rPr>
      </w:pPr>
      <w:r w:rsidRPr="00036280">
        <w:rPr>
          <w:rFonts w:ascii="GHEA Grapalat" w:hAnsi="GHEA Grapalat" w:cs="Sylfaen"/>
          <w:b/>
          <w:i/>
          <w:sz w:val="24"/>
          <w:u w:val="single"/>
          <w:lang w:val="hy-AM"/>
        </w:rPr>
        <w:t>ՆԱԽԱԳԻԾ</w:t>
      </w:r>
    </w:p>
    <w:p w14:paraId="4440710B" w14:textId="77777777" w:rsidR="000E6F1F" w:rsidRPr="006E6A38" w:rsidRDefault="000E6F1F" w:rsidP="000E6F1F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lang w:val="hy-AM"/>
        </w:rPr>
      </w:pPr>
    </w:p>
    <w:p w14:paraId="773D8770" w14:textId="77777777" w:rsidR="000E6F1F" w:rsidRPr="006E6A38" w:rsidRDefault="000E6F1F" w:rsidP="000E6F1F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lang w:val="hy-AM"/>
        </w:rPr>
      </w:pPr>
      <w:r w:rsidRPr="006E6A38">
        <w:rPr>
          <w:rFonts w:ascii="GHEA Grapalat" w:hAnsi="GHEA Grapalat" w:cs="Sylfaen"/>
          <w:b/>
          <w:sz w:val="24"/>
          <w:lang w:val="hy-AM"/>
        </w:rPr>
        <w:t>ՀԱՅԱ</w:t>
      </w:r>
      <w:r w:rsidRPr="006E6A38">
        <w:rPr>
          <w:rFonts w:ascii="GHEA Grapalat" w:hAnsi="GHEA Grapalat" w:cs="IRTEK Courier"/>
          <w:b/>
          <w:sz w:val="24"/>
          <w:lang w:val="hy-AM"/>
        </w:rPr>
        <w:t>U</w:t>
      </w:r>
      <w:r w:rsidRPr="006E6A38">
        <w:rPr>
          <w:rFonts w:ascii="GHEA Grapalat" w:hAnsi="GHEA Grapalat" w:cs="Sylfaen"/>
          <w:b/>
          <w:sz w:val="24"/>
          <w:lang w:val="hy-AM"/>
        </w:rPr>
        <w:t>ՏԱՆԻ</w:t>
      </w:r>
      <w:r w:rsidRPr="006E6A38">
        <w:rPr>
          <w:rFonts w:ascii="GHEA Grapalat" w:hAnsi="GHEA Grapalat" w:cs="IRTEK Courier"/>
          <w:b/>
          <w:sz w:val="24"/>
          <w:lang w:val="hy-AM"/>
        </w:rPr>
        <w:t xml:space="preserve"> </w:t>
      </w:r>
      <w:r w:rsidRPr="006E6A38">
        <w:rPr>
          <w:rFonts w:ascii="GHEA Grapalat" w:hAnsi="GHEA Grapalat" w:cs="Sylfaen"/>
          <w:b/>
          <w:sz w:val="24"/>
          <w:lang w:val="hy-AM"/>
        </w:rPr>
        <w:t>ՀԱՆՐԱՊԵՏՈՒԹՅԱՆ</w:t>
      </w:r>
    </w:p>
    <w:p w14:paraId="0E81C8BB" w14:textId="77777777" w:rsidR="000E6F1F" w:rsidRPr="006E6A38" w:rsidRDefault="000E6F1F" w:rsidP="000E6F1F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IRTEK Courier"/>
          <w:bCs w:val="0"/>
          <w:sz w:val="24"/>
          <w:lang w:val="hy-AM"/>
        </w:rPr>
      </w:pPr>
      <w:r w:rsidRPr="006E6A38">
        <w:rPr>
          <w:rFonts w:ascii="GHEA Grapalat" w:hAnsi="GHEA Grapalat" w:cs="IRTEK Courier"/>
          <w:b/>
          <w:sz w:val="24"/>
          <w:lang w:val="hy-AM"/>
        </w:rPr>
        <w:t>O</w:t>
      </w:r>
      <w:r w:rsidRPr="006E6A38">
        <w:rPr>
          <w:rFonts w:ascii="GHEA Grapalat" w:hAnsi="GHEA Grapalat" w:cs="Sylfaen"/>
          <w:b/>
          <w:sz w:val="24"/>
          <w:lang w:val="hy-AM"/>
        </w:rPr>
        <w:t>ՐԵՆՔԸ</w:t>
      </w:r>
    </w:p>
    <w:p w14:paraId="23FE56EC" w14:textId="77777777" w:rsidR="000E6F1F" w:rsidRPr="006E6A38" w:rsidRDefault="000E6F1F" w:rsidP="000E6F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F595CEB" w14:textId="77777777" w:rsidR="000E6F1F" w:rsidRPr="006E6A38" w:rsidRDefault="000E6F1F" w:rsidP="000E6F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E6A38">
        <w:rPr>
          <w:rStyle w:val="Strong"/>
          <w:rFonts w:ascii="GHEA Grapalat" w:hAnsi="GHEA Grapalat"/>
          <w:color w:val="000000"/>
          <w:lang w:val="hy-AM"/>
        </w:rPr>
        <w:t>«</w:t>
      </w:r>
      <w:bookmarkStart w:id="0" w:name="_Hlk95731511"/>
      <w:r w:rsidRPr="006E6A38">
        <w:rPr>
          <w:rStyle w:val="Strong"/>
          <w:rFonts w:ascii="GHEA Grapalat" w:hAnsi="GHEA Grapalat"/>
          <w:color w:val="000000"/>
          <w:lang w:val="hy-AM"/>
        </w:rPr>
        <w:t>ՇԱՀՈՒՄՈՎ ԽԱՂԵՐԻ, ԻՆՏԵՐՆԵՏ ՇԱՀՈՒՄՈՎ ԽԱՂԵՐԻ ԵՎ ԽԱՂԱՏՆԵՐԻ ՄԱՍԻՆ</w:t>
      </w:r>
      <w:bookmarkEnd w:id="0"/>
      <w:r w:rsidRPr="006E6A38">
        <w:rPr>
          <w:rStyle w:val="Strong"/>
          <w:rFonts w:ascii="GHEA Grapalat" w:hAnsi="GHEA Grapalat"/>
          <w:color w:val="000000"/>
          <w:lang w:val="hy-AM"/>
        </w:rPr>
        <w:t xml:space="preserve">» ՕՐԵՆՔՈՒՄ </w:t>
      </w:r>
      <w:r>
        <w:rPr>
          <w:rStyle w:val="Strong"/>
          <w:rFonts w:ascii="GHEA Grapalat" w:hAnsi="GHEA Grapalat"/>
          <w:color w:val="000000"/>
          <w:lang w:val="hy-AM"/>
        </w:rPr>
        <w:t xml:space="preserve">ՓՈՓՈԽՈՒԹՅՈՒՆ </w:t>
      </w:r>
      <w:r w:rsidR="00641831">
        <w:rPr>
          <w:rStyle w:val="Strong"/>
          <w:rFonts w:ascii="GHEA Grapalat" w:hAnsi="GHEA Grapalat"/>
          <w:color w:val="000000"/>
          <w:lang w:val="hy-AM"/>
        </w:rPr>
        <w:t xml:space="preserve"> ԵՎ ԼՐԱՑՈՒՄՆԵՐ </w:t>
      </w:r>
      <w:r w:rsidRPr="006E6A38">
        <w:rPr>
          <w:rStyle w:val="Strong"/>
          <w:rFonts w:ascii="GHEA Grapalat" w:hAnsi="GHEA Grapalat"/>
          <w:color w:val="000000"/>
          <w:lang w:val="hy-AM"/>
        </w:rPr>
        <w:t>ԿԱՏԱՐԵԼՈՒ ՄԱՍԻՆ</w:t>
      </w:r>
    </w:p>
    <w:p w14:paraId="524EA49F" w14:textId="77777777" w:rsidR="000E6F1F" w:rsidRPr="006E6A38" w:rsidRDefault="000E6F1F" w:rsidP="000E6F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E6A38">
        <w:rPr>
          <w:rFonts w:ascii="Calibri" w:hAnsi="Calibri" w:cs="Calibri"/>
          <w:color w:val="000000"/>
          <w:lang w:val="hy-AM"/>
        </w:rPr>
        <w:t> </w:t>
      </w:r>
    </w:p>
    <w:p w14:paraId="2E0E4E57" w14:textId="77777777" w:rsidR="000E6F1F" w:rsidRPr="000E6F1F" w:rsidRDefault="000E6F1F" w:rsidP="000E6F1F">
      <w:pPr>
        <w:spacing w:after="0" w:line="360" w:lineRule="auto"/>
        <w:ind w:right="28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6F1F">
        <w:rPr>
          <w:rFonts w:ascii="GHEA Grapalat" w:hAnsi="GHEA Grapalat" w:cs="Sylfaen"/>
          <w:b/>
          <w:sz w:val="24"/>
          <w:szCs w:val="24"/>
          <w:lang w:val="hy-AM"/>
        </w:rPr>
        <w:t>Հոդված 1.</w:t>
      </w:r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1" w:name="_Hlk96600651"/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End w:id="1"/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Շահումով խաղերի, ինտերնետ շահումով խաղերի և խաղատների մասին</w:t>
      </w:r>
      <w:bookmarkStart w:id="2" w:name="_Hlk96600667"/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bookmarkEnd w:id="2"/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2003 թվականի դեկտեմբերի 13-ի ՀՕ-1-Ն օրենքի (այսուհետ՝ Օրենք) Օրենքի 10-րդ հոդվածում.</w:t>
      </w:r>
    </w:p>
    <w:p w14:paraId="75E02CA1" w14:textId="77777777" w:rsidR="000E6F1F" w:rsidRDefault="000E6F1F" w:rsidP="00C27F92">
      <w:pPr>
        <w:pStyle w:val="ListParagraph"/>
        <w:numPr>
          <w:ilvl w:val="0"/>
          <w:numId w:val="1"/>
        </w:numPr>
        <w:spacing w:after="0" w:line="360" w:lineRule="auto"/>
        <w:ind w:right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մասը շարադրել հետևյալ խմբագրությամբ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41D1234" w14:textId="3B291987" w:rsidR="00984194" w:rsidRDefault="000E6F1F" w:rsidP="000E6F1F">
      <w:pPr>
        <w:pStyle w:val="ListParagraph"/>
        <w:spacing w:after="0" w:line="360" w:lineRule="auto"/>
        <w:ind w:left="0" w:right="283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«2. 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տարի շահումով խաղի կամ ինտերնետ շահումով խաղի կամ խաղատան կազմակերպչի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«Հաշվապահական հաշվառման մասին» օրենքով նախատեսված 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ֆինանսական 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հաշվետվություններ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4AA4" w:rsidRPr="00DC65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ֆինանսական հաշվետվություններ</w:t>
      </w:r>
      <w:r w:rsidR="006D4AA4" w:rsidRPr="00DC65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ենթարկվ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աուդիտի՝ Կենտրոնական բանկի խորհրդի սահմ</w:t>
      </w:r>
      <w:r w:rsidR="006D4A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6D4AA4"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նած ֆինանսական կազմակերպությունների ֆինանսատնտեսական գործունեության աուդիտ իրականացնող անձին ներկայացվող չափանիշներին բավարարող անկախ աուդիտորական կազմակերպության կողմից:</w:t>
      </w:r>
    </w:p>
    <w:p w14:paraId="4D6EB806" w14:textId="5A37E14C" w:rsidR="000E6F1F" w:rsidRPr="000E6F1F" w:rsidRDefault="000E6F1F" w:rsidP="000E6F1F">
      <w:pPr>
        <w:pStyle w:val="ListParagraph"/>
        <w:numPr>
          <w:ilvl w:val="0"/>
          <w:numId w:val="1"/>
        </w:numPr>
        <w:spacing w:after="0" w:line="360" w:lineRule="auto"/>
        <w:ind w:right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Pr="00C553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Pr="00C5537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5871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մասերով</w:t>
      </w:r>
      <w:r w:rsidRPr="00036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4C9A7ABF" w14:textId="1BFDEE72" w:rsidR="000E6F1F" w:rsidRPr="000E6F1F" w:rsidRDefault="00C55373" w:rsidP="000E6F1F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E6F1F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 Շահումով խաղի կամ ինտերնետ շահումով խաղի</w:t>
      </w:r>
      <w:r w:rsidR="0062565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6F1F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խաղատան կազմակերպիչը արտաքին աուդիտ իրականացնող անձի հետ կնքվող պայմանագրում, բացի աուդիտորական եզրակացության կազմումից, պետք է նախատեսի նաև իր կողմից վերահսկող մարմնին ներկայացվող հաշվետվությունների արժանահավատության ստուգում:</w:t>
      </w:r>
    </w:p>
    <w:p w14:paraId="56FCD2D0" w14:textId="01B1E28F" w:rsidR="00984194" w:rsidRDefault="005871F1" w:rsidP="00591D6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4</w:t>
      </w:r>
      <w:r w:rsid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D52A7" w:rsidRPr="00ED52A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591D6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91D69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Շահումով խաղի կամ ինտերնետ շահումով խաղի</w:t>
      </w:r>
      <w:r w:rsidR="00591D69" w:rsidRPr="00591D6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91D69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խաղատան կազմակերպիչը</w:t>
      </w:r>
      <w:r w:rsidR="00591D69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52A7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հաշվետու տարվան հաջորդող տարվա ապրիլի 30-ը վերահսկող մարմին է ներկայացնում </w:t>
      </w:r>
      <w:r w:rsidR="00F73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F7322A" w:rsidRPr="00591D69">
        <w:rPr>
          <w:rFonts w:ascii="GHEA Grapalat" w:hAnsi="GHEA Grapalat"/>
          <w:color w:val="2E74B5" w:themeColor="accent1" w:themeShade="BF"/>
          <w:sz w:val="24"/>
          <w:szCs w:val="24"/>
          <w:shd w:val="clear" w:color="auto" w:fill="FFFFFF"/>
          <w:lang w:val="hy-AM"/>
        </w:rPr>
        <w:t xml:space="preserve"> </w:t>
      </w:r>
      <w:r w:rsidR="00F7322A" w:rsidRPr="00591D69">
        <w:rPr>
          <w:rFonts w:ascii="Calibri" w:hAnsi="Calibri" w:cs="Calibri"/>
          <w:color w:val="2E74B5" w:themeColor="accent1" w:themeShade="BF"/>
          <w:sz w:val="24"/>
          <w:szCs w:val="24"/>
          <w:shd w:val="clear" w:color="auto" w:fill="FFFFFF"/>
          <w:lang w:val="hy-AM"/>
        </w:rPr>
        <w:t> </w:t>
      </w:r>
      <w:hyperlink r:id="rId5" w:history="1">
        <w:r w:rsidR="00F7322A" w:rsidRPr="00591D69">
          <w:rPr>
            <w:rFonts w:ascii="GHEA Grapalat" w:hAnsi="GHEA Grapalat"/>
            <w:color w:val="2E74B5" w:themeColor="accent1" w:themeShade="BF"/>
            <w:sz w:val="24"/>
            <w:szCs w:val="24"/>
            <w:lang w:val="hy-AM"/>
          </w:rPr>
          <w:t>http://www.azdarar.am</w:t>
        </w:r>
      </w:hyperlink>
      <w:r w:rsidR="00F7322A" w:rsidRPr="00591D6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7322A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322A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հասցեում գտնվող Հայաստանի Հանրապետության հրապարակային ծանուցումների պաշտոնական ինտերնետային կայքում</w:t>
      </w:r>
      <w:r w:rsidR="00F7322A" w:rsidRPr="00591D69" w:rsidDel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3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հրապարակում է </w:t>
      </w:r>
      <w:r w:rsidR="00ED52A7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 տարեկան ֆինանսական </w:t>
      </w:r>
      <w:r w:rsidR="00984194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հաշվետվություններ</w:t>
      </w:r>
      <w:r w:rsid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F73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52A7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անկախ աուդիտորական եզրակացությ</w:t>
      </w:r>
      <w:r w:rsidR="00F73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ED52A7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732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միասին</w:t>
      </w:r>
      <w:r w:rsid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EE28258" w14:textId="77777777" w:rsidR="000E6F1F" w:rsidRPr="00DA4F18" w:rsidRDefault="000E6F1F" w:rsidP="000E6F1F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4F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DA4F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օրենքն ուժի մեջ է մտնում</w:t>
      </w:r>
      <w:r w:rsidR="005922CC" w:rsidRPr="005922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հրապարակումից վեց ամիս հետո:</w:t>
      </w:r>
    </w:p>
    <w:p w14:paraId="22AF320D" w14:textId="77777777" w:rsidR="00153AD8" w:rsidRDefault="00153AD8">
      <w:pPr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br w:type="page"/>
      </w:r>
    </w:p>
    <w:p w14:paraId="361FEC86" w14:textId="77777777" w:rsidR="00153AD8" w:rsidRPr="00A84F45" w:rsidRDefault="00153AD8" w:rsidP="00153AD8">
      <w:pPr>
        <w:spacing w:line="360" w:lineRule="auto"/>
        <w:ind w:firstLine="374"/>
        <w:jc w:val="center"/>
        <w:rPr>
          <w:rFonts w:ascii="GHEA Grapalat" w:hAnsi="GHEA Grapalat" w:cs="Sylfaen"/>
          <w:b/>
          <w:sz w:val="24"/>
          <w:lang w:val="af-ZA"/>
        </w:rPr>
      </w:pPr>
      <w:r w:rsidRPr="00A84F45">
        <w:rPr>
          <w:rFonts w:ascii="GHEA Grapalat" w:hAnsi="GHEA Grapalat" w:cs="Sylfaen"/>
          <w:b/>
          <w:sz w:val="24"/>
          <w:lang w:val="af-ZA"/>
        </w:rPr>
        <w:lastRenderedPageBreak/>
        <w:t>Հ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Ի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Մ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Ն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Ա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Վ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Ո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Ր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Ո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Ւ</w:t>
      </w:r>
      <w:r w:rsidRPr="00A84F45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Pr="00A84F45">
        <w:rPr>
          <w:rFonts w:ascii="GHEA Grapalat" w:hAnsi="GHEA Grapalat" w:cs="Sylfaen"/>
          <w:b/>
          <w:sz w:val="24"/>
          <w:lang w:val="af-ZA"/>
        </w:rPr>
        <w:t>Մ</w:t>
      </w:r>
    </w:p>
    <w:p w14:paraId="01C19551" w14:textId="77777777" w:rsidR="00153AD8" w:rsidRPr="002E7344" w:rsidRDefault="00153AD8" w:rsidP="00153AD8">
      <w:pPr>
        <w:spacing w:line="360" w:lineRule="auto"/>
        <w:ind w:firstLine="374"/>
        <w:jc w:val="center"/>
        <w:rPr>
          <w:rFonts w:ascii="GHEA Grapalat" w:hAnsi="GHEA Grapalat" w:cs="Sylfaen"/>
          <w:b/>
          <w:sz w:val="24"/>
          <w:lang w:val="af-ZA"/>
        </w:rPr>
      </w:pPr>
      <w:r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«Շահումով խաղերի, ինտերնետ շահումով խաղերի և խաղատների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84F45">
        <w:rPr>
          <w:rFonts w:ascii="GHEA Grapalat" w:hAnsi="GHEA Grapalat" w:cs="Sylfaen"/>
          <w:b/>
          <w:spacing w:val="-8"/>
          <w:sz w:val="24"/>
        </w:rPr>
        <w:t>ՀՀ</w:t>
      </w:r>
      <w:r w:rsidRPr="00A84F45">
        <w:rPr>
          <w:rFonts w:ascii="GHEA Grapalat" w:hAnsi="GHEA Grapalat" w:cs="Sylfaen"/>
          <w:b/>
          <w:spacing w:val="-8"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pacing w:val="-8"/>
          <w:sz w:val="24"/>
        </w:rPr>
        <w:t>օրենքում</w:t>
      </w:r>
      <w:proofErr w:type="spellEnd"/>
      <w:r w:rsidRPr="00A84F45">
        <w:rPr>
          <w:rFonts w:ascii="GHEA Grapalat" w:hAnsi="GHEA Grapalat" w:cs="Sylfaen"/>
          <w:b/>
          <w:spacing w:val="-8"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lang w:val="hy-AM"/>
        </w:rPr>
        <w:t>փոփոխություն և</w:t>
      </w:r>
      <w:r w:rsidRPr="00A84F45">
        <w:rPr>
          <w:rFonts w:ascii="GHEA Grapalat" w:hAnsi="GHEA Grapalat" w:cs="Sylfaen"/>
          <w:b/>
          <w:spacing w:val="-8"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z w:val="24"/>
        </w:rPr>
        <w:t>լրացումներ</w:t>
      </w:r>
      <w:proofErr w:type="spellEnd"/>
      <w:r w:rsidRPr="00A84F45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z w:val="24"/>
        </w:rPr>
        <w:t>կատարելու</w:t>
      </w:r>
      <w:proofErr w:type="spellEnd"/>
      <w:r w:rsidRPr="00A84F45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z w:val="24"/>
        </w:rPr>
        <w:t>մասին</w:t>
      </w:r>
      <w:proofErr w:type="spellEnd"/>
      <w:r w:rsidRPr="00A84F45">
        <w:rPr>
          <w:rFonts w:ascii="GHEA Grapalat" w:hAnsi="GHEA Grapalat" w:cs="Sylfaen"/>
          <w:b/>
          <w:sz w:val="24"/>
          <w:lang w:val="af-ZA"/>
        </w:rPr>
        <w:t xml:space="preserve">» </w:t>
      </w:r>
      <w:r w:rsidRPr="00A84F45">
        <w:rPr>
          <w:rFonts w:ascii="GHEA Grapalat" w:hAnsi="GHEA Grapalat" w:cs="Sylfaen"/>
          <w:b/>
          <w:sz w:val="24"/>
        </w:rPr>
        <w:t>ՀՀ</w:t>
      </w:r>
      <w:r w:rsidRPr="00A84F45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z w:val="24"/>
        </w:rPr>
        <w:t>օրենքի</w:t>
      </w:r>
      <w:proofErr w:type="spellEnd"/>
      <w:r w:rsidRPr="00A84F45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A84F45">
        <w:rPr>
          <w:rFonts w:ascii="GHEA Grapalat" w:hAnsi="GHEA Grapalat" w:cs="Sylfaen"/>
          <w:b/>
          <w:sz w:val="24"/>
        </w:rPr>
        <w:t>նախագծի</w:t>
      </w:r>
      <w:proofErr w:type="spellEnd"/>
    </w:p>
    <w:p w14:paraId="7A8A0696" w14:textId="77777777" w:rsidR="00153AD8" w:rsidRPr="0005426D" w:rsidRDefault="00153AD8" w:rsidP="00153AD8">
      <w:pPr>
        <w:spacing w:line="360" w:lineRule="auto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r w:rsidRPr="0005426D">
        <w:rPr>
          <w:rFonts w:ascii="GHEA Grapalat" w:eastAsia="GHEA Grapalat" w:hAnsi="GHEA Grapalat" w:cs="Calibri Light"/>
          <w:b/>
          <w:sz w:val="24"/>
          <w:lang w:val="hy-AM"/>
        </w:rPr>
        <w:t>1. Անհրաժեշտությունը.</w:t>
      </w:r>
    </w:p>
    <w:p w14:paraId="1C2B913F" w14:textId="46C605F9" w:rsidR="00153AD8" w:rsidRPr="00FE5970" w:rsidRDefault="00153AD8" w:rsidP="00153AD8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sz w:val="24"/>
          <w:lang w:val="hy-AM"/>
        </w:rPr>
      </w:pPr>
      <w:r w:rsidRPr="00FE5970">
        <w:rPr>
          <w:rFonts w:ascii="GHEA Grapalat" w:eastAsia="GHEA Grapalat" w:hAnsi="GHEA Grapalat" w:cs="Calibri Light"/>
          <w:sz w:val="24"/>
          <w:lang w:val="hy-AM"/>
        </w:rPr>
        <w:t>Նախագծի ընդունումը բ</w:t>
      </w:r>
      <w:r w:rsidR="00B93673">
        <w:rPr>
          <w:rFonts w:ascii="GHEA Grapalat" w:eastAsia="GHEA Grapalat" w:hAnsi="GHEA Grapalat" w:cs="Calibri Light"/>
          <w:sz w:val="24"/>
          <w:lang w:val="hy-AM"/>
        </w:rPr>
        <w:t>խ</w:t>
      </w:r>
      <w:r w:rsidRPr="00FE5970">
        <w:rPr>
          <w:rFonts w:ascii="GHEA Grapalat" w:eastAsia="GHEA Grapalat" w:hAnsi="GHEA Grapalat" w:cs="Calibri Light"/>
          <w:sz w:val="24"/>
          <w:lang w:val="hy-AM"/>
        </w:rPr>
        <w:t>ում է ՀՀ կառավարության 2022 թվականի դեկտեմբերի 22-ի  N 2117-Լ որոշման  Հավելված N1 հաստատված «ՀՀ կառավարության 18.11.2021թ. «Հայաստանի Հանրապետության կառավարության 2021-2026 թվականների գործունեության միջոցառումների ծրագիրը հաստատելու մասին» N 1902-Լ որոշման մասին /34.</w:t>
      </w:r>
      <w:r>
        <w:rPr>
          <w:rFonts w:ascii="GHEA Grapalat" w:eastAsia="GHEA Grapalat" w:hAnsi="GHEA Grapalat" w:cs="Calibri Light"/>
          <w:sz w:val="24"/>
          <w:lang w:val="hy-AM"/>
        </w:rPr>
        <w:t>2</w:t>
      </w:r>
      <w:r w:rsidRPr="00FE5970">
        <w:rPr>
          <w:rFonts w:ascii="GHEA Grapalat" w:eastAsia="GHEA Grapalat" w:hAnsi="GHEA Grapalat" w:cs="Calibri Light"/>
          <w:sz w:val="24"/>
          <w:lang w:val="hy-AM"/>
        </w:rPr>
        <w:t xml:space="preserve"> կետ ռազմավարական փաստաթղթից:</w:t>
      </w:r>
    </w:p>
    <w:p w14:paraId="4E6FE5E4" w14:textId="77777777" w:rsidR="00153AD8" w:rsidRPr="001C7110" w:rsidRDefault="00153AD8" w:rsidP="00153AD8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1C7110">
        <w:rPr>
          <w:rFonts w:ascii="GHEA Grapalat" w:eastAsia="GHEA Grapalat" w:hAnsi="GHEA Grapalat" w:cs="Calibri Light"/>
          <w:b/>
          <w:sz w:val="24"/>
          <w:szCs w:val="24"/>
          <w:lang w:val="hy-AM"/>
        </w:rPr>
        <w:t xml:space="preserve">2.  </w:t>
      </w:r>
      <w:r w:rsidRPr="001C711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14:paraId="35D34B06" w14:textId="77777777" w:rsidR="00153AD8" w:rsidRPr="00153AD8" w:rsidRDefault="00153AD8" w:rsidP="00153AD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«Շահումով խաղերի, ինտերնետ շահումով խաղերի և խաղատների մասին» </w:t>
      </w:r>
      <w:r w:rsidRPr="00153AD8">
        <w:rPr>
          <w:rFonts w:ascii="GHEA Grapalat" w:hAnsi="GHEA Grapalat"/>
          <w:color w:val="000000"/>
          <w:sz w:val="24"/>
          <w:szCs w:val="24"/>
          <w:lang w:val="hy-AM"/>
        </w:rPr>
        <w:t xml:space="preserve">ՀՀ օրենքի </w:t>
      </w:r>
      <w:r w:rsidRPr="00153AD8">
        <w:rPr>
          <w:rFonts w:ascii="GHEA Grapalat" w:hAnsi="GHEA Grapalat"/>
          <w:sz w:val="24"/>
          <w:szCs w:val="24"/>
          <w:lang w:val="ro-RO"/>
        </w:rPr>
        <w:t>(</w:t>
      </w:r>
      <w:r w:rsidRPr="00153AD8">
        <w:rPr>
          <w:rFonts w:ascii="GHEA Grapalat" w:hAnsi="GHEA Grapalat"/>
          <w:sz w:val="24"/>
          <w:szCs w:val="24"/>
          <w:lang w:val="hy-AM"/>
        </w:rPr>
        <w:t>այսուհետ՝</w:t>
      </w:r>
      <w:r w:rsidRPr="00153AD8">
        <w:rPr>
          <w:rFonts w:ascii="GHEA Grapalat" w:hAnsi="GHEA Grapalat"/>
          <w:sz w:val="24"/>
          <w:szCs w:val="24"/>
          <w:lang w:val="ro-RO"/>
        </w:rPr>
        <w:t xml:space="preserve"> </w:t>
      </w:r>
      <w:r w:rsidRPr="00153AD8">
        <w:rPr>
          <w:rFonts w:ascii="GHEA Grapalat" w:hAnsi="GHEA Grapalat"/>
          <w:sz w:val="24"/>
          <w:szCs w:val="24"/>
          <w:lang w:val="hy-AM"/>
        </w:rPr>
        <w:t>Օրենք</w:t>
      </w:r>
      <w:r w:rsidRPr="00153AD8">
        <w:rPr>
          <w:rFonts w:ascii="GHEA Grapalat" w:hAnsi="GHEA Grapalat"/>
          <w:sz w:val="24"/>
          <w:szCs w:val="24"/>
          <w:lang w:val="ro-RO"/>
        </w:rPr>
        <w:t xml:space="preserve">) 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10-րդ հոդված 2-րդ մասի համաձայն.</w:t>
      </w:r>
    </w:p>
    <w:p w14:paraId="05F1EDF0" w14:textId="77777777" w:rsidR="00153AD8" w:rsidRPr="00153AD8" w:rsidRDefault="00153AD8" w:rsidP="00153AD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3A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Շահումով խաղի կամ ինտերնետ շահումով խաղի</w:t>
      </w:r>
      <w:r w:rsidRPr="00153A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խաղատան կազմակերպիչը մինչև հաշվետու տարվան հաջորդող տարվա ապրիլի 30-ը վերահսկող մարմին է ներկայացնում հաշվապահական հաշվառման օրենսդրությանը համապատասխան պետական մարմիններին ներկայացվող իր տարեկան ֆինանսական հաշվետվությունների վերաբերյալ անկախ աուդիտորական եզրակացությունը և հաշվապահական հաշվառման օրենսդրությանը համապատասխան պետական մարմիններին ներկայացվող իր տարեկան ֆինանսական հաշվետվությունները հրապարակում է առնվազն 1000 տպաքանակ ունեցող մամուլում ու մինչև հաշվետու տարվան հաջորդող տարվա մայիսի 15-ը վերահսկող մարմին է ներկայացնում թերթի մեկ օրինակը: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2D41D1FA" w14:textId="77777777" w:rsidR="00153AD8" w:rsidRPr="00153AD8" w:rsidRDefault="00153AD8" w:rsidP="00153AD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2129BA" w14:textId="77777777" w:rsidR="00153AD8" w:rsidRPr="001C7110" w:rsidRDefault="00153AD8" w:rsidP="00153AD8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/>
          <w:sz w:val="24"/>
          <w:lang w:val="hy-AM"/>
        </w:rPr>
      </w:pPr>
      <w:r w:rsidRPr="001C7110">
        <w:rPr>
          <w:rFonts w:ascii="GHEA Grapalat" w:hAnsi="GHEA Grapalat"/>
          <w:sz w:val="24"/>
          <w:lang w:val="hy-AM"/>
        </w:rPr>
        <w:lastRenderedPageBreak/>
        <w:t xml:space="preserve">Հաշվի առնելով, որ ներկա դրությամբ խաղային գործունեության կազմակերպիչների տեղեկատվական համակարգերը, ծրագրային միջոցները, տվյալների շտեմարանները միացված չեն վերահսկող մարմնին, առկա են վերահսկողության իրականացման հետ կապված խնդիրներ՝ այդ թվում` ֆինանսական հոսքերի նկատմամբ վերահսկողությունը և Կազմակերպիչների կողմից ներկայացված հաշվետվությունների </w:t>
      </w:r>
      <w:r w:rsidRPr="001C711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արժանահավատությունը ստուգելու հետ կապված</w:t>
      </w:r>
      <w:r w:rsidRPr="001C7110">
        <w:rPr>
          <w:rFonts w:ascii="GHEA Grapalat" w:hAnsi="GHEA Grapalat"/>
          <w:sz w:val="24"/>
          <w:lang w:val="hy-AM"/>
        </w:rPr>
        <w:t>:</w:t>
      </w:r>
    </w:p>
    <w:p w14:paraId="004AB079" w14:textId="77777777" w:rsidR="00153AD8" w:rsidRPr="001C7110" w:rsidRDefault="00153AD8" w:rsidP="00153AD8">
      <w:pPr>
        <w:spacing w:line="276" w:lineRule="auto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sz w:val="24"/>
          <w:lang w:val="hy-AM"/>
        </w:rPr>
        <w:t>3</w:t>
      </w:r>
      <w:r w:rsidRPr="001C7110">
        <w:rPr>
          <w:rFonts w:ascii="Cambria Math" w:eastAsia="Cambria Math" w:hAnsi="Cambria Math" w:cs="Cambria Math"/>
          <w:b/>
          <w:sz w:val="24"/>
          <w:lang w:val="hy-AM"/>
        </w:rPr>
        <w:t>․</w:t>
      </w:r>
      <w:r w:rsidRPr="001C7110">
        <w:rPr>
          <w:rFonts w:ascii="GHEA Grapalat" w:eastAsia="Cambria Math" w:hAnsi="GHEA Grapalat" w:cs="Cambria Math"/>
          <w:b/>
          <w:sz w:val="24"/>
          <w:lang w:val="hy-AM"/>
        </w:rPr>
        <w:t xml:space="preserve">  Ա</w:t>
      </w:r>
      <w:r w:rsidRPr="001C7110">
        <w:rPr>
          <w:rFonts w:ascii="GHEA Grapalat" w:eastAsia="GHEA Grapalat" w:hAnsi="GHEA Grapalat" w:cs="Calibri Light"/>
          <w:b/>
          <w:sz w:val="24"/>
          <w:lang w:val="hy-AM"/>
        </w:rPr>
        <w:t>ռաջարկվող կարգավորումները</w:t>
      </w:r>
    </w:p>
    <w:p w14:paraId="4C60B4A6" w14:textId="77777777" w:rsidR="00153AD8" w:rsidRDefault="00153AD8" w:rsidP="00153AD8">
      <w:pPr>
        <w:pStyle w:val="ListParagraph"/>
        <w:spacing w:after="0" w:line="360" w:lineRule="auto"/>
        <w:ind w:left="0" w:right="283" w:firstLine="720"/>
        <w:jc w:val="both"/>
        <w:rPr>
          <w:rFonts w:ascii="GHEA Grapalat" w:hAnsi="GHEA Grapalat" w:cs="GHEA Grapalat"/>
          <w:lang w:val="hy-AM"/>
        </w:rPr>
      </w:pPr>
      <w:r w:rsidRPr="001C7110">
        <w:rPr>
          <w:rFonts w:ascii="GHEA Grapalat" w:eastAsia="GHEA Grapalat" w:hAnsi="GHEA Grapalat" w:cs="Calibri Light"/>
          <w:lang w:val="hy-AM"/>
        </w:rPr>
        <w:t xml:space="preserve">Նախագծով առաջարկվում է  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10-րդ հոդված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2-րդ </w:t>
      </w:r>
      <w:r>
        <w:rPr>
          <w:rFonts w:ascii="GHEA Grapalat" w:hAnsi="GHEA Grapalat"/>
          <w:lang w:val="hy-AM"/>
        </w:rPr>
        <w:t>մասում կատարել</w:t>
      </w:r>
      <w:r w:rsidRPr="001C71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համատասխան  փոփոխություն և </w:t>
      </w:r>
      <w:r w:rsidRPr="001C7110">
        <w:rPr>
          <w:rFonts w:ascii="GHEA Grapalat" w:hAnsi="GHEA Grapalat"/>
          <w:lang w:val="hy-AM"/>
        </w:rPr>
        <w:t>լ</w:t>
      </w:r>
      <w:r>
        <w:rPr>
          <w:rFonts w:ascii="GHEA Grapalat" w:hAnsi="GHEA Grapalat" w:cs="GHEA Grapalat"/>
          <w:lang w:val="hy-AM"/>
        </w:rPr>
        <w:t>րացումներ</w:t>
      </w:r>
      <w:r>
        <w:rPr>
          <w:rFonts w:ascii="GHEA Grapalat" w:hAnsi="GHEA Grapalat" w:cs="GHEA Grapalat"/>
          <w:lang w:val="af-ZA"/>
        </w:rPr>
        <w:t>, սահմանելով</w:t>
      </w:r>
      <w:r>
        <w:rPr>
          <w:rFonts w:ascii="GHEA Grapalat" w:hAnsi="GHEA Grapalat" w:cs="GHEA Grapalat"/>
          <w:lang w:val="hy-AM"/>
        </w:rPr>
        <w:t xml:space="preserve">, որ </w:t>
      </w:r>
    </w:p>
    <w:p w14:paraId="34FF21F8" w14:textId="1193F7D5" w:rsidR="00153AD8" w:rsidRDefault="00B93673" w:rsidP="00B93673">
      <w:pPr>
        <w:pStyle w:val="ListParagraph"/>
        <w:numPr>
          <w:ilvl w:val="0"/>
          <w:numId w:val="6"/>
        </w:numPr>
        <w:spacing w:line="360" w:lineRule="auto"/>
        <w:ind w:left="0" w:firstLine="10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տարի շահումով խաղի կամ ինտերնետ շահումով խաղի կամ խաղատան կազմակերպչի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«Հաշվապահական հաշվառման մասին» օրենքով նախատեսված 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ֆինանսական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հաշվետվություններ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C65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ֆինանսական հաշվետվություններ</w:t>
      </w:r>
      <w:r w:rsidRPr="00DC65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ենթարկվ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աուդիտի՝ Կենտրոնական բանկի խորհրդի սահմ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նած ֆինանսական կազմակերպությունների ֆինանսատնտեսական գործունեության աուդիտ իրականացնող անձին ներկայացվող չափանիշներին բավարարող անկախ աուդիտորական կազմակերպության կողմից</w:t>
      </w:r>
      <w:r w:rsid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AC6EAE8" w14:textId="77777777" w:rsidR="00153AD8" w:rsidRPr="00153AD8" w:rsidRDefault="00153AD8" w:rsidP="00153AD8">
      <w:pPr>
        <w:pStyle w:val="ListParagraph"/>
        <w:numPr>
          <w:ilvl w:val="0"/>
          <w:numId w:val="6"/>
        </w:numPr>
        <w:spacing w:line="360" w:lineRule="auto"/>
        <w:ind w:left="0" w:firstLine="10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Շահումով խաղի կամ ինտերնետ շահումով խաղի</w:t>
      </w:r>
      <w:r w:rsidRPr="00153A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խաղատան կազմակերպիչը արտաքին աուդիտ իրականացնող անձի հետ կնքվող պայմանագրում, բացի աուդիտորական եզրակացության կազմումից, պետք է նախատեսի նաև իր կողմից վերահսկող մարմնին ներկայացվող հաշվետվությունների արժանահավատության ստուգում:</w:t>
      </w:r>
    </w:p>
    <w:p w14:paraId="4523F164" w14:textId="77777777" w:rsidR="00B93673" w:rsidRDefault="00153AD8" w:rsidP="00B9367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367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B93673" w:rsidRPr="00ED52A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B9367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93673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Շահումով խաղի կամ ինտերնետ շահումով խաղի</w:t>
      </w:r>
      <w:r w:rsidR="00B93673" w:rsidRPr="00591D6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93673" w:rsidRPr="000E6F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խաղատան կազմակերպիչը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հաշվետու տարվան հաջորդող տարվա ապրիլի 30-ը վերահսկող մարմին է ներկայացնում 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B93673" w:rsidRPr="00591D69">
        <w:rPr>
          <w:rFonts w:ascii="GHEA Grapalat" w:hAnsi="GHEA Grapalat"/>
          <w:color w:val="2E74B5" w:themeColor="accent1" w:themeShade="BF"/>
          <w:sz w:val="24"/>
          <w:szCs w:val="24"/>
          <w:shd w:val="clear" w:color="auto" w:fill="FFFFFF"/>
          <w:lang w:val="hy-AM"/>
        </w:rPr>
        <w:t xml:space="preserve"> </w:t>
      </w:r>
      <w:r w:rsidR="00B93673" w:rsidRPr="00591D69">
        <w:rPr>
          <w:rFonts w:ascii="Calibri" w:hAnsi="Calibri" w:cs="Calibri"/>
          <w:color w:val="2E74B5" w:themeColor="accent1" w:themeShade="BF"/>
          <w:sz w:val="24"/>
          <w:szCs w:val="24"/>
          <w:shd w:val="clear" w:color="auto" w:fill="FFFFFF"/>
          <w:lang w:val="hy-AM"/>
        </w:rPr>
        <w:t> </w:t>
      </w:r>
      <w:hyperlink r:id="rId6" w:history="1">
        <w:r w:rsidR="00B93673" w:rsidRPr="00591D69">
          <w:rPr>
            <w:rFonts w:ascii="GHEA Grapalat" w:hAnsi="GHEA Grapalat"/>
            <w:color w:val="2E74B5" w:themeColor="accent1" w:themeShade="BF"/>
            <w:sz w:val="24"/>
            <w:szCs w:val="24"/>
            <w:lang w:val="hy-AM"/>
          </w:rPr>
          <w:t>http://www.azdarar.am</w:t>
        </w:r>
      </w:hyperlink>
      <w:r w:rsidR="00B93673" w:rsidRPr="00591D6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93673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հասցեում գտնվող Հայաստանի 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Հանրապետության հրապարակային ծանուցումների պաշտոնական ինտերնետային կայքում</w:t>
      </w:r>
      <w:r w:rsidR="00B93673" w:rsidRPr="00591D69" w:rsidDel="00984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հրապարակում է 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 տարեկան ֆինանսական հաշվետվություններ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ը՝ 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անկախ աուդիտորական եզրակացությ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B93673" w:rsidRPr="00591D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B936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միասին:</w:t>
      </w:r>
    </w:p>
    <w:p w14:paraId="2423DCBB" w14:textId="68C41343" w:rsidR="00153AD8" w:rsidRPr="00B93673" w:rsidRDefault="00153AD8" w:rsidP="00B93673">
      <w:pPr>
        <w:pStyle w:val="ListParagraph"/>
        <w:spacing w:line="276" w:lineRule="auto"/>
        <w:ind w:left="1080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bookmarkStart w:id="3" w:name="_GoBack"/>
      <w:bookmarkEnd w:id="3"/>
      <w:r w:rsidRPr="00B93673">
        <w:rPr>
          <w:rFonts w:ascii="GHEA Grapalat" w:eastAsia="GHEA Grapalat" w:hAnsi="GHEA Grapalat" w:cs="Calibri Light"/>
          <w:b/>
          <w:sz w:val="24"/>
          <w:lang w:val="hy-AM"/>
        </w:rPr>
        <w:t>4. Ակնկալվող արդյունքները</w:t>
      </w:r>
    </w:p>
    <w:p w14:paraId="0ED7C435" w14:textId="77777777" w:rsidR="00153AD8" w:rsidRDefault="00153AD8" w:rsidP="00153AD8">
      <w:pPr>
        <w:pStyle w:val="ListParagraph"/>
        <w:spacing w:after="0" w:line="360" w:lineRule="auto"/>
        <w:ind w:left="0" w:firstLine="720"/>
        <w:jc w:val="both"/>
        <w:rPr>
          <w:rFonts w:ascii="GHEA Grapalat" w:eastAsia="GHEA Grapalat" w:hAnsi="GHEA Grapalat" w:cs="Calibri Light"/>
          <w:sz w:val="24"/>
          <w:szCs w:val="24"/>
          <w:lang w:val="hy-AM"/>
        </w:rPr>
      </w:pPr>
      <w:r w:rsidRPr="001C7110">
        <w:rPr>
          <w:rFonts w:ascii="GHEA Grapalat" w:eastAsia="GHEA Grapalat" w:hAnsi="GHEA Grapalat" w:cs="Calibri Light"/>
          <w:sz w:val="24"/>
          <w:szCs w:val="24"/>
          <w:lang w:val="hy-AM"/>
        </w:rPr>
        <w:t xml:space="preserve">Ակնկալվում է, որ նախագծի </w:t>
      </w:r>
      <w:r>
        <w:rPr>
          <w:rFonts w:ascii="GHEA Grapalat" w:eastAsia="GHEA Grapalat" w:hAnsi="GHEA Grapalat" w:cs="Calibri Light"/>
          <w:sz w:val="24"/>
          <w:lang w:val="hy-AM"/>
        </w:rPr>
        <w:t xml:space="preserve">ընդունմամբ </w:t>
      </w:r>
      <w:r w:rsidRPr="00A109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անկախ աուդիտ իրականացնող անձ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բացի </w:t>
      </w:r>
      <w:r w:rsidRPr="00A109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աուդիտորական եզրակացության կազմումից, պետք է նախատեսի նաև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կազմակերպչի </w:t>
      </w:r>
      <w:r w:rsidRPr="00A109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վերահսկող մարմնին ներկայացվող հաշվետվությունների արժանահավատության ստուգում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որը կնպաստի </w:t>
      </w:r>
      <w:r w:rsidRPr="00DA2355">
        <w:rPr>
          <w:rFonts w:ascii="GHEA Grapalat" w:eastAsia="GHEA Grapalat" w:hAnsi="GHEA Grapalat" w:cs="Calibri Light"/>
          <w:sz w:val="24"/>
          <w:szCs w:val="24"/>
          <w:lang w:val="hy-AM"/>
        </w:rPr>
        <w:t xml:space="preserve">Խաղային ոլորտի կազմակերպությունների հաշվետվողականության, թափանցիկության </w:t>
      </w:r>
      <w:r>
        <w:rPr>
          <w:rFonts w:ascii="GHEA Grapalat" w:eastAsia="GHEA Grapalat" w:hAnsi="GHEA Grapalat" w:cs="Calibri Light"/>
          <w:sz w:val="24"/>
          <w:szCs w:val="24"/>
          <w:lang w:val="hy-AM"/>
        </w:rPr>
        <w:t>բարձրացմանը:</w:t>
      </w:r>
    </w:p>
    <w:p w14:paraId="068EE9AB" w14:textId="77777777" w:rsidR="00153AD8" w:rsidRPr="001C7110" w:rsidRDefault="00153AD8" w:rsidP="00153AD8">
      <w:pPr>
        <w:pStyle w:val="ListParagraph"/>
        <w:spacing w:after="0" w:line="360" w:lineRule="auto"/>
        <w:ind w:left="0" w:firstLine="720"/>
        <w:jc w:val="both"/>
        <w:rPr>
          <w:rFonts w:ascii="GHEA Grapalat" w:eastAsia="GHEA Grapalat" w:hAnsi="GHEA Grapalat" w:cs="Calibri Light"/>
          <w:sz w:val="24"/>
          <w:szCs w:val="24"/>
          <w:lang w:val="hy-AM"/>
        </w:rPr>
      </w:pPr>
      <w:r>
        <w:rPr>
          <w:rFonts w:ascii="GHEA Grapalat" w:eastAsia="GHEA Grapalat" w:hAnsi="GHEA Grapalat" w:cs="Calibri Light"/>
          <w:sz w:val="24"/>
          <w:szCs w:val="24"/>
          <w:lang w:val="hy-AM"/>
        </w:rPr>
        <w:t xml:space="preserve">Միաժամանակ սահմանվում է, որ 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ֆինանսական հաշվետվությունների վերաբերյալ անկախ աուդիտորական եզրակացությունը և հաշվապահական հաշվառման օրենսդրությանը համապատասխան պետական մարմիններին ներկայացվող </w:t>
      </w:r>
      <w:r w:rsidR="003A24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կազմակերպիչների </w:t>
      </w:r>
      <w:r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ֆինանսական հաշվետվությունները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կհրապարակվեն</w:t>
      </w:r>
      <w:r w:rsidR="003A24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ոչ թե «</w:t>
      </w:r>
      <w:r w:rsidR="003A2451"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առնվազն 1000 տպաքանակ ունեցող մամուլում</w:t>
      </w:r>
      <w:r w:rsidR="003A24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», այլ </w:t>
      </w:r>
      <w:hyperlink r:id="rId7" w:history="1">
        <w:r w:rsidR="003A2451" w:rsidRPr="00153AD8">
          <w:rPr>
            <w:rFonts w:ascii="GHEA Grapalat" w:hAnsi="GHEA Grapalat"/>
            <w:color w:val="2E74B5" w:themeColor="accent1" w:themeShade="BF"/>
            <w:sz w:val="24"/>
            <w:szCs w:val="24"/>
            <w:lang w:val="hy-AM"/>
          </w:rPr>
          <w:t>http://www.azdarar.am</w:t>
        </w:r>
      </w:hyperlink>
      <w:r w:rsidR="003A2451" w:rsidRPr="00153A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A2451" w:rsidRPr="00153AD8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2451" w:rsidRPr="00153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հասցեում գտնվող Հայաստանի Հանրապետության հրապարակային ծանուցումների պաշտոնական ինտերնետային կայքում</w:t>
      </w:r>
      <w:r w:rsidR="003A24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3A6F261" w14:textId="77777777" w:rsidR="00153AD8" w:rsidRPr="001C7110" w:rsidRDefault="00153AD8" w:rsidP="00153AD8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>Կապը ռազմավարական փաստաթղթերի հետ</w:t>
      </w:r>
    </w:p>
    <w:p w14:paraId="26AD41FD" w14:textId="77777777" w:rsidR="00153AD8" w:rsidRPr="001C7110" w:rsidRDefault="00153AD8" w:rsidP="00153AD8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Նախագծի մշակման գործընթացում ներգրավված ինստիտուտները և անձինք. </w:t>
      </w:r>
    </w:p>
    <w:p w14:paraId="5FC95D13" w14:textId="77777777" w:rsidR="00153AD8" w:rsidRPr="001C7110" w:rsidRDefault="00153AD8" w:rsidP="00153AD8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C7110">
        <w:rPr>
          <w:rFonts w:ascii="GHEA Grapalat" w:eastAsia="Times New Roman" w:hAnsi="GHEA Grapalat"/>
          <w:sz w:val="24"/>
          <w:szCs w:val="24"/>
          <w:lang w:val="hy-AM"/>
        </w:rPr>
        <w:t>Նախագծի ընդունումը  բխում ՀՀ կառավարության 2022 թվականի դեկտեմբերի 22-ի  N 2117-Լ որոշման  Հավելված N1 հաստատված «ՀՀ կառավարության 18.11.2021թ. «Հայաստանի Հանրապետության կառավարության 2021-2026 թվականների գործունեության միջոցառումների ծրագիրը հաստատելու մասին» N 1902-Լ որոշման մասին /34.</w:t>
      </w:r>
      <w:r w:rsidR="003A2451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1C7110">
        <w:rPr>
          <w:rFonts w:ascii="GHEA Grapalat" w:eastAsia="Times New Roman" w:hAnsi="GHEA Grapalat"/>
          <w:sz w:val="24"/>
          <w:szCs w:val="24"/>
          <w:lang w:val="hy-AM"/>
        </w:rPr>
        <w:t xml:space="preserve"> կետ ռազմավարական փաստաթղթից: </w:t>
      </w:r>
    </w:p>
    <w:p w14:paraId="4B049DC2" w14:textId="77777777" w:rsidR="00153AD8" w:rsidRPr="001C7110" w:rsidRDefault="00153AD8" w:rsidP="00153AD8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lastRenderedPageBreak/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B24FEFC" w14:textId="77777777" w:rsidR="00153AD8" w:rsidRPr="001C7110" w:rsidRDefault="00153AD8" w:rsidP="00153AD8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 </w:t>
      </w:r>
      <w:r w:rsidRPr="001C7110">
        <w:rPr>
          <w:rFonts w:ascii="GHEA Grapalat" w:eastAsia="GHEA Grapalat" w:hAnsi="GHEA Grapalat" w:cs="Calibri Light"/>
          <w:color w:val="000000"/>
          <w:sz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նախատեսվում։</w:t>
      </w:r>
    </w:p>
    <w:p w14:paraId="2556C56B" w14:textId="77777777" w:rsidR="00153AD8" w:rsidRPr="001C7110" w:rsidRDefault="00153AD8" w:rsidP="00153AD8">
      <w:pPr>
        <w:numPr>
          <w:ilvl w:val="0"/>
          <w:numId w:val="3"/>
        </w:numPr>
        <w:spacing w:after="0" w:line="360" w:lineRule="auto"/>
        <w:ind w:left="63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>Այլ տեղեկություններ</w:t>
      </w:r>
    </w:p>
    <w:p w14:paraId="0CE0525F" w14:textId="77777777" w:rsidR="00153AD8" w:rsidRPr="001C7110" w:rsidRDefault="00153AD8" w:rsidP="00153AD8">
      <w:pPr>
        <w:spacing w:line="360" w:lineRule="auto"/>
        <w:ind w:left="63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  <w:r w:rsidRPr="001C711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  </w:t>
      </w:r>
      <w:r w:rsidRPr="001C7110">
        <w:rPr>
          <w:rFonts w:ascii="GHEA Grapalat" w:eastAsia="GHEA Grapalat" w:hAnsi="GHEA Grapalat" w:cs="Calibri Light"/>
          <w:color w:val="000000"/>
          <w:sz w:val="24"/>
          <w:lang w:val="hy-AM"/>
        </w:rPr>
        <w:t>Նախագծի  ընդունման կապակցությամբ այլ իրավական ակտերում փոփոխություններ կատարելու անհրաժեշտություն չի առաջանում:</w:t>
      </w:r>
    </w:p>
    <w:p w14:paraId="14C4B858" w14:textId="77777777" w:rsidR="00153AD8" w:rsidRPr="001C7110" w:rsidRDefault="00153AD8" w:rsidP="00153AD8">
      <w:pPr>
        <w:spacing w:line="360" w:lineRule="auto"/>
        <w:ind w:left="63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</w:p>
    <w:p w14:paraId="59E0B36D" w14:textId="77777777" w:rsidR="00B439BA" w:rsidRPr="000E6F1F" w:rsidRDefault="00B439BA">
      <w:pPr>
        <w:rPr>
          <w:lang w:val="hy-AM"/>
        </w:rPr>
      </w:pPr>
    </w:p>
    <w:sectPr w:rsidR="00B439BA" w:rsidRPr="000E6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1A32A" w16cex:dateUtc="2023-09-05T08:52:00Z"/>
  <w16cex:commentExtensible w16cex:durableId="28A1A451" w16cex:dateUtc="2023-09-05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964AD" w16cid:durableId="28A1A165"/>
  <w16cid:commentId w16cid:paraId="0418968D" w16cid:durableId="28A1A32A"/>
  <w16cid:commentId w16cid:paraId="2EF8783B" w16cid:durableId="28A1A4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E38"/>
    <w:multiLevelType w:val="multilevel"/>
    <w:tmpl w:val="682E48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2DF7"/>
    <w:multiLevelType w:val="hybridMultilevel"/>
    <w:tmpl w:val="36027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6F8D"/>
    <w:multiLevelType w:val="hybridMultilevel"/>
    <w:tmpl w:val="A61A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48D6"/>
    <w:multiLevelType w:val="hybridMultilevel"/>
    <w:tmpl w:val="7CC28070"/>
    <w:lvl w:ilvl="0" w:tplc="F85C82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5C4236C"/>
    <w:multiLevelType w:val="hybridMultilevel"/>
    <w:tmpl w:val="6396D92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E623D60"/>
    <w:multiLevelType w:val="hybridMultilevel"/>
    <w:tmpl w:val="6396D92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1F"/>
    <w:rsid w:val="00021BCB"/>
    <w:rsid w:val="00083DE4"/>
    <w:rsid w:val="000E6F1F"/>
    <w:rsid w:val="00153AD8"/>
    <w:rsid w:val="003A0103"/>
    <w:rsid w:val="003A2451"/>
    <w:rsid w:val="004F6C88"/>
    <w:rsid w:val="005871F1"/>
    <w:rsid w:val="00591D69"/>
    <w:rsid w:val="005922CC"/>
    <w:rsid w:val="00625650"/>
    <w:rsid w:val="00641831"/>
    <w:rsid w:val="006D4AA4"/>
    <w:rsid w:val="00766D2F"/>
    <w:rsid w:val="00984194"/>
    <w:rsid w:val="00A64C21"/>
    <w:rsid w:val="00B439BA"/>
    <w:rsid w:val="00B93673"/>
    <w:rsid w:val="00C55373"/>
    <w:rsid w:val="00DC652E"/>
    <w:rsid w:val="00EB1399"/>
    <w:rsid w:val="00ED52A7"/>
    <w:rsid w:val="00F7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EEF3"/>
  <w15:chartTrackingRefBased/>
  <w15:docId w15:val="{D2871080-85C5-4579-AD8F-D6C68082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6F1F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0E6F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52A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153AD8"/>
  </w:style>
  <w:style w:type="character" w:styleId="CommentReference">
    <w:name w:val="annotation reference"/>
    <w:basedOn w:val="DefaultParagraphFont"/>
    <w:uiPriority w:val="99"/>
    <w:semiHidden/>
    <w:unhideWhenUsed/>
    <w:rsid w:val="004F6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4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zdarar.am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3</cp:revision>
  <cp:lastPrinted>2023-09-05T11:53:00Z</cp:lastPrinted>
  <dcterms:created xsi:type="dcterms:W3CDTF">2023-09-05T12:07:00Z</dcterms:created>
  <dcterms:modified xsi:type="dcterms:W3CDTF">2023-09-05T12:37:00Z</dcterms:modified>
</cp:coreProperties>
</file>