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46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ՎԱՐՉԱԿԱՆ ԻՐԱՎԱԽԱԽՏՈՒՄՆԵՐԻ ՎԵՐԱԲԵՐՅԱԼ ՀԱՅԱՍՏԱՆԻ</w:t>
      </w:r>
    </w:p>
    <w:p w:rsidR="001A1946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Style w:val="Strong"/>
          <w:rFonts w:ascii="Arial Unicode" w:hAnsi="Arial Unicode"/>
          <w:color w:val="000000"/>
          <w:sz w:val="27"/>
          <w:szCs w:val="27"/>
        </w:rPr>
        <w:t>ՀԱՆՐԱՊԵՏՈՒԹՅԱՆ</w:t>
      </w:r>
    </w:p>
    <w:p w:rsidR="001A1946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1A1946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Unicode" w:hAnsi="Arial Unicode"/>
          <w:color w:val="000000"/>
          <w:sz w:val="36"/>
          <w:szCs w:val="36"/>
        </w:rPr>
      </w:pPr>
      <w:r>
        <w:rPr>
          <w:rStyle w:val="Strong"/>
          <w:rFonts w:ascii="Arial Unicode" w:hAnsi="Arial Unicode"/>
          <w:color w:val="000000"/>
          <w:sz w:val="36"/>
          <w:szCs w:val="36"/>
        </w:rPr>
        <w:t>Օ Ր Ե Ն Ս Գ Ի Ր Ք</w:t>
      </w:r>
    </w:p>
    <w:p w:rsidR="001A1946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</w:p>
    <w:p w:rsidR="00203D25" w:rsidRDefault="001A1946" w:rsidP="001A19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203D25" w:rsidRPr="00203D25" w:rsidTr="00203D2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203D25" w:rsidRPr="00203D25" w:rsidRDefault="00203D25" w:rsidP="00203D2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169.31.</w:t>
            </w:r>
          </w:p>
        </w:tc>
        <w:tc>
          <w:tcPr>
            <w:tcW w:w="0" w:type="auto"/>
            <w:shd w:val="clear" w:color="auto" w:fill="FFFFFF"/>
            <w:hideMark/>
          </w:tcPr>
          <w:p w:rsidR="00203D25" w:rsidRPr="00203D25" w:rsidRDefault="00203D25" w:rsidP="00203D2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Շահերի</w:t>
            </w:r>
            <w:proofErr w:type="spellEnd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բախման</w:t>
            </w:r>
            <w:proofErr w:type="spellEnd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վերաբերյալ</w:t>
            </w:r>
            <w:proofErr w:type="spellEnd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կարգավորումները</w:t>
            </w:r>
            <w:proofErr w:type="spellEnd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03D2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խախտելը</w:t>
            </w:r>
            <w:proofErr w:type="spellEnd"/>
          </w:p>
        </w:tc>
      </w:tr>
    </w:tbl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03D2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Վերադաս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անմիջական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ղեկավար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չունեցող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քաղաքական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պաշտոն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զբաղեցնող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շահերի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բախման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իրավիճակի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Կոռուպցիայի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կանխարգելման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հանձնաժողովին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շահերի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բախմանը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հանգամանքների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մասին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գրավոր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հայտարարություն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չներկայացնելը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առաջացնում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տուգանքի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նշանակում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նվազագույն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աշխատավարձի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երեքհարյուրապատիկի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չափով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Նախքան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շահերի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բախման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հանգամանքների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Կոռուպցիայի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կանխարգելման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հանձնաժողովի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առաջարկությունն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ստանալը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վերադաս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անմիջական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ղեկավար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չունեցող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քաղաքական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պաշտոն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զբաղեցնող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շահերի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բախման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իրավիճակում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գործողություն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անգործություն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կատարելը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որոշում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ընդունելը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բացառությամբ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օրենքով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նախատեսված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դեպքերի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03D2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առաջացնում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է</w:t>
      </w:r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տուգանքի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նշանակում</w:t>
      </w:r>
      <w:proofErr w:type="spellEnd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՝</w:t>
      </w:r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սահմանված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նվազագույն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աշխատավարձի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չորսհարյուրապատիկի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Arial Unicode"/>
          <w:color w:val="000000"/>
          <w:sz w:val="21"/>
          <w:szCs w:val="21"/>
        </w:rPr>
        <w:t>չափով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3.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Վերադաս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անմիջական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ղեկավար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չունեցող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քաղաքական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պաշտոն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զբաղեցնող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շահերի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բախման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իրավիճակի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Կոռուպցիայի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կանխարգելման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հանձնաժողովի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ներկայացրած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առաջարկությանն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առերևույթ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հակասող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գործողություն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անգործություն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կատարելը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որոշում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ընդունելը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բացառությամբ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օրենքով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նախատեսված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դեպքերի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</w:p>
    <w:p w:rsidR="00203D25" w:rsidRP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առաջացնում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տուգանքի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նշանակում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նվազագույն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աշխատավարձի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ութհարյուրապատիկի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չափով</w:t>
      </w:r>
      <w:proofErr w:type="spellEnd"/>
      <w:r w:rsidRPr="00203D2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03D25" w:rsidRDefault="00203D25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</w:pPr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(169.31-րդ </w:t>
      </w:r>
      <w:proofErr w:type="spellStart"/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հոդվածը</w:t>
      </w:r>
      <w:proofErr w:type="spellEnd"/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 07.12.22</w:t>
      </w:r>
      <w:r w:rsidRPr="00203D2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203D25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-542-</w:t>
      </w:r>
      <w:r w:rsidRPr="00203D25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203D2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046D32" w:rsidRPr="00203D25" w:rsidRDefault="00046D32" w:rsidP="00203D2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p w:rsidR="00046D32" w:rsidRPr="00046D32" w:rsidRDefault="00203D25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r w:rsidRPr="00046D3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Հոդված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169.32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ծառայությունների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մատուցման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proofErr w:type="gram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պայմանագրի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կնքումից</w:t>
      </w:r>
      <w:proofErr w:type="spellEnd"/>
      <w:proofErr w:type="gram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հետո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գույքերի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վերաբերյալ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տեղեկությունները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միասնական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տեղեկատվական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համակարգում</w:t>
      </w:r>
      <w:proofErr w:type="spellEnd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046D32" w:rsidRPr="00046D32">
        <w:rPr>
          <w:rFonts w:ascii="GHEA Grapalat" w:hAnsi="GHEA Grapalat" w:cs="AK Courier"/>
          <w:b/>
          <w:sz w:val="24"/>
          <w:szCs w:val="24"/>
          <w:highlight w:val="yellow"/>
        </w:rPr>
        <w:t>չմուտքագրելը</w:t>
      </w:r>
      <w:proofErr w:type="spellEnd"/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  1.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կառավարչի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ծառայությունների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մատուցման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պայմանագրի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կնքումից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եռօրյա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ժամկետում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պայմանագրի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օբյեկտ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հանդիսացող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գույքերի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վերաբերյալ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տեղեկությունները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միասնական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տեղեկատվական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համակարգում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չմուտքագրելը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2.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՝ </w:t>
      </w:r>
    </w:p>
    <w:p w:rsidR="00046D32" w:rsidRPr="00046D32" w:rsidRDefault="00046D32" w:rsidP="00046D3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երկուհարյուրապատիկի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3.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կրկնակի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՝ </w:t>
      </w:r>
    </w:p>
    <w:p w:rsidR="00046D32" w:rsidRPr="00046D32" w:rsidRDefault="00046D32" w:rsidP="00046D3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lastRenderedPageBreak/>
        <w:t>հիմք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ռիելթորին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կառավարչին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հաշվառումից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հանելու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համար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Հոդված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169.33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առանց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ծառայությունների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մատուցման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պայմանագրի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կնքման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ծառայություններ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մատուցելը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</w:p>
    <w:p w:rsidR="00046D32" w:rsidRPr="00046D32" w:rsidRDefault="00046D32" w:rsidP="00046D3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առանց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ծառայությունների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մատուցման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պայմանագրի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կնքման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ծառայություններ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մատուցելը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հարյուր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046D32">
        <w:rPr>
          <w:rFonts w:ascii="GHEA Grapalat" w:hAnsi="GHEA Grapalat"/>
          <w:color w:val="000000"/>
          <w:highlight w:val="yellow"/>
          <w:lang w:val="hy-AM"/>
        </w:rPr>
        <w:t xml:space="preserve">Նույն արարքը կրկին կատարելը վարչական տույժի միջոց կիրառելուց հետո` մեկ տարվա ընթացքում՝ </w:t>
      </w:r>
    </w:p>
    <w:p w:rsidR="00046D32" w:rsidRPr="00046D32" w:rsidRDefault="00046D32" w:rsidP="00046D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highlight w:val="yellow"/>
        </w:rPr>
      </w:pPr>
      <w:r w:rsidRPr="00046D32">
        <w:rPr>
          <w:rFonts w:ascii="GHEA Grapalat" w:hAnsi="GHEA Grapalat"/>
          <w:color w:val="000000"/>
          <w:highlight w:val="yellow"/>
        </w:rPr>
        <w:t>ա</w:t>
      </w:r>
      <w:r w:rsidRPr="00046D32">
        <w:rPr>
          <w:rFonts w:ascii="GHEA Grapalat" w:hAnsi="GHEA Grapalat"/>
          <w:color w:val="000000"/>
          <w:highlight w:val="yellow"/>
          <w:lang w:val="hy-AM"/>
        </w:rPr>
        <w:t xml:space="preserve">ռաջացնում </w:t>
      </w:r>
      <w:r w:rsidRPr="00046D32">
        <w:rPr>
          <w:rFonts w:ascii="GHEA Grapalat" w:hAnsi="GHEA Grapalat"/>
          <w:color w:val="000000"/>
          <w:highlight w:val="yellow"/>
        </w:rPr>
        <w:t xml:space="preserve">է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տուգանքի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նշանակում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՝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սահմանված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նվազագույն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աշխատավարձի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r w:rsidRPr="00046D32">
        <w:rPr>
          <w:rFonts w:ascii="GHEA Grapalat" w:hAnsi="GHEA Grapalat"/>
          <w:color w:val="000000"/>
          <w:highlight w:val="yellow"/>
          <w:lang w:val="hy-AM"/>
        </w:rPr>
        <w:t xml:space="preserve">երկուհարյուրապատիկի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չափով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>:</w:t>
      </w:r>
    </w:p>
    <w:p w:rsidR="00046D32" w:rsidRPr="00046D32" w:rsidRDefault="00046D32" w:rsidP="00046D3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Նույն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արարքը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կատարելը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կրկնակի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վարչական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տույժի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միջոց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կիրառելուց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հետո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`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մեկ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տարվա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ընթացքում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>՝</w:t>
      </w:r>
    </w:p>
    <w:p w:rsidR="00046D32" w:rsidRPr="00046D32" w:rsidRDefault="00046D32" w:rsidP="00046D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հիմք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ռիելթորին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կառավարչին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հաշվառումից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հանելու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համար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r w:rsidRPr="00046D32">
        <w:rPr>
          <w:rFonts w:ascii="GHEA Grapalat" w:hAnsi="GHEA Grapalat" w:cs="AK Courier"/>
          <w:b/>
          <w:sz w:val="24"/>
          <w:szCs w:val="24"/>
          <w:highlight w:val="yellow"/>
          <w:lang w:val="hy-AM"/>
        </w:rPr>
        <w:t xml:space="preserve">Հոդված </w:t>
      </w:r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169.34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պատվիրատուից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և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երրորդ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անձանցից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ստացված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փաստաթղթերը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ժամկետով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չպահպանելը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</w:p>
    <w:p w:rsidR="00046D32" w:rsidRPr="00046D32" w:rsidRDefault="00046D32" w:rsidP="00046D3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պատվիրատուից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և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երրորդ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անձանցից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ստացված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փաստաթղթերը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առնվազն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տասը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տարի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չպահպանելը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՝</w:t>
      </w:r>
    </w:p>
    <w:p w:rsidR="00046D32" w:rsidRPr="00046D32" w:rsidRDefault="00046D32" w:rsidP="00046D3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երկուհարյուրապատիկի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Նույն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արարքը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կրկին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կատարելը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կրկնակի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վարչական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տույժի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միջոց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կիրառելուց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հետո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`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մեկ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տարվա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color w:val="000000"/>
          <w:highlight w:val="yellow"/>
        </w:rPr>
        <w:t>ընթացքում</w:t>
      </w:r>
      <w:proofErr w:type="spellEnd"/>
      <w:r w:rsidRPr="00046D32">
        <w:rPr>
          <w:rFonts w:ascii="GHEA Grapalat" w:hAnsi="GHEA Grapalat"/>
          <w:color w:val="000000"/>
          <w:highlight w:val="yellow"/>
        </w:rPr>
        <w:t>՝</w:t>
      </w:r>
    </w:p>
    <w:p w:rsidR="00046D32" w:rsidRPr="00046D32" w:rsidRDefault="00046D32" w:rsidP="00046D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հիմք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ռիելթորին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կառավարչին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հաշվառումից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հանելու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համար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  <w:lang w:val="hy-AM"/>
        </w:rPr>
      </w:pP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r w:rsidRPr="00046D32">
        <w:rPr>
          <w:rFonts w:ascii="GHEA Grapalat" w:hAnsi="GHEA Grapalat" w:cs="AK Courier"/>
          <w:b/>
          <w:sz w:val="24"/>
          <w:szCs w:val="24"/>
          <w:highlight w:val="yellow"/>
          <w:lang w:val="hy-AM"/>
        </w:rPr>
        <w:t xml:space="preserve">Հոդված </w:t>
      </w:r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169.35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կառավարչի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հետ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r w:rsidRPr="00046D32">
        <w:rPr>
          <w:rFonts w:ascii="GHEA Grapalat" w:hAnsi="GHEA Grapalat"/>
          <w:b/>
          <w:sz w:val="24"/>
          <w:szCs w:val="24"/>
          <w:highlight w:val="yellow"/>
          <w:lang w:val="hy-AM"/>
        </w:rPr>
        <w:t>աշխատանքային պայմանագիր կնքելուց կամ լուծելուց հետո</w:t>
      </w:r>
      <w:r w:rsidRPr="00046D32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լիազոր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մարմնին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տեղեկացնելու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ժամկետը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չպահպանելը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</w:p>
    <w:p w:rsidR="00046D32" w:rsidRPr="00046D32" w:rsidRDefault="00046D32" w:rsidP="00046D3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r w:rsidRPr="00046D32">
        <w:rPr>
          <w:rFonts w:ascii="GHEA Grapalat" w:hAnsi="GHEA Grapalat" w:cs="AK Courier"/>
          <w:sz w:val="24"/>
          <w:szCs w:val="24"/>
          <w:highlight w:val="yellow"/>
        </w:rPr>
        <w:t>ռ</w:t>
      </w:r>
      <w:r w:rsidRPr="00046D32">
        <w:rPr>
          <w:rFonts w:ascii="GHEA Grapalat" w:hAnsi="GHEA Grapalat"/>
          <w:sz w:val="24"/>
          <w:szCs w:val="24"/>
          <w:highlight w:val="yellow"/>
          <w:lang w:val="hy-AM"/>
        </w:rPr>
        <w:t xml:space="preserve">իելթորի, անշարժ գույքի կառավարչի հետ աշխատանքային պայմանագիրը </w:t>
      </w:r>
      <w:proofErr w:type="spellStart"/>
      <w:r w:rsidRPr="00046D32">
        <w:rPr>
          <w:rFonts w:ascii="GHEA Grapalat" w:hAnsi="GHEA Grapalat"/>
          <w:sz w:val="24"/>
          <w:szCs w:val="24"/>
          <w:highlight w:val="yellow"/>
        </w:rPr>
        <w:t>կնքելուց</w:t>
      </w:r>
      <w:proofErr w:type="spellEnd"/>
      <w:r w:rsidRPr="00046D32">
        <w:rPr>
          <w:rFonts w:ascii="GHEA Grapalat" w:hAnsi="GHEA Grapalat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sz w:val="24"/>
          <w:szCs w:val="24"/>
          <w:highlight w:val="yellow"/>
        </w:rPr>
        <w:t>կամ</w:t>
      </w:r>
      <w:proofErr w:type="spellEnd"/>
      <w:r w:rsidRPr="00046D32">
        <w:rPr>
          <w:rFonts w:ascii="GHEA Grapalat" w:hAnsi="GHEA Grapalat"/>
          <w:sz w:val="24"/>
          <w:szCs w:val="24"/>
          <w:highlight w:val="yellow"/>
        </w:rPr>
        <w:t xml:space="preserve"> </w:t>
      </w:r>
      <w:r w:rsidRPr="00046D32">
        <w:rPr>
          <w:rFonts w:ascii="GHEA Grapalat" w:hAnsi="GHEA Grapalat"/>
          <w:sz w:val="24"/>
          <w:szCs w:val="24"/>
          <w:highlight w:val="yellow"/>
          <w:lang w:val="hy-AM"/>
        </w:rPr>
        <w:t xml:space="preserve">լուծելուց հետո՝ 10 աշխատանքային օրվա ընթացքում լիազոր մարմնին </w:t>
      </w:r>
      <w:proofErr w:type="spellStart"/>
      <w:r w:rsidRPr="00046D32">
        <w:rPr>
          <w:rFonts w:ascii="GHEA Grapalat" w:hAnsi="GHEA Grapalat"/>
          <w:sz w:val="24"/>
          <w:szCs w:val="24"/>
          <w:highlight w:val="yellow"/>
        </w:rPr>
        <w:t>գրավոր</w:t>
      </w:r>
      <w:proofErr w:type="spellEnd"/>
      <w:r w:rsidRPr="00046D32">
        <w:rPr>
          <w:rFonts w:ascii="GHEA Grapalat" w:hAnsi="GHEA Grapalat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/>
          <w:sz w:val="24"/>
          <w:szCs w:val="24"/>
          <w:highlight w:val="yellow"/>
        </w:rPr>
        <w:t>չտեղեկացելը</w:t>
      </w:r>
      <w:proofErr w:type="spellEnd"/>
      <w:r w:rsidRPr="00046D32">
        <w:rPr>
          <w:rFonts w:ascii="GHEA Grapalat" w:hAnsi="GHEA Grapalat"/>
          <w:sz w:val="24"/>
          <w:szCs w:val="24"/>
          <w:highlight w:val="yellow"/>
        </w:rPr>
        <w:t>՝</w:t>
      </w:r>
    </w:p>
    <w:p w:rsidR="00046D32" w:rsidRPr="00046D32" w:rsidRDefault="00046D32" w:rsidP="00046D3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հիսունապատիկի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՝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կրկին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կրկնակի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՝</w:t>
      </w:r>
    </w:p>
    <w:p w:rsidR="00046D32" w:rsidRPr="00046D32" w:rsidRDefault="00046D32" w:rsidP="00046D3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հիմք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հաշվառումից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հանելու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համար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AK Courier"/>
          <w:sz w:val="24"/>
          <w:szCs w:val="24"/>
          <w:highlight w:val="yellow"/>
        </w:rPr>
      </w:pP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</w:pPr>
    </w:p>
    <w:p w:rsidR="00046D32" w:rsidRPr="00046D32" w:rsidRDefault="00046D32" w:rsidP="00046D3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r w:rsidRPr="00046D32">
        <w:rPr>
          <w:rFonts w:ascii="GHEA Grapalat" w:hAnsi="GHEA Grapalat" w:cs="AK Courier"/>
          <w:b/>
          <w:sz w:val="24"/>
          <w:szCs w:val="24"/>
          <w:highlight w:val="yellow"/>
          <w:lang w:val="hy-AM"/>
        </w:rPr>
        <w:t xml:space="preserve">Հոդված </w:t>
      </w:r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169.36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Առանց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լիազոր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մարմնում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հաշվառման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</w:t>
      </w:r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կառավարչի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ծառայություններ</w:t>
      </w:r>
      <w:proofErr w:type="spellEnd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b/>
          <w:sz w:val="24"/>
          <w:szCs w:val="24"/>
          <w:highlight w:val="yellow"/>
        </w:rPr>
        <w:t>մատուցելը</w:t>
      </w:r>
      <w:proofErr w:type="spellEnd"/>
    </w:p>
    <w:p w:rsidR="00046D32" w:rsidRPr="00046D32" w:rsidRDefault="00046D32" w:rsidP="00046D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Առանց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լիազոր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մարմնում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հաշվառման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կառավարման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կազմակերպության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,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անշարժ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գույքի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կառավարչի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կողմից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ռիելթորական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ծառայություններ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մատուցելը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hAnsi="GHEA Grapalat" w:cs="AK Courier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hAnsi="GHEA Grapalat" w:cs="AK Courier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սահմանված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աշխատավարձի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երեքհարյուրապատիկի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</w:p>
    <w:p w:rsidR="00046D32" w:rsidRPr="00046D32" w:rsidRDefault="00046D32" w:rsidP="00046D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HEA Grapalat" w:hAnsi="GHEA Grapalat" w:cs="AK Courier"/>
          <w:b/>
          <w:sz w:val="24"/>
          <w:szCs w:val="24"/>
          <w:highlight w:val="yellow"/>
        </w:rPr>
      </w:pP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արարքը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կատարելը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վարչական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տույժի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միջոց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կիրառելուց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հետո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մեկ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տարվա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ընթացքում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՝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առաջացնում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է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տուգանքի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նշանակում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`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նվազագույն</w:t>
      </w:r>
      <w:proofErr w:type="spellEnd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46D32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աշխատավ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արձի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հինգհարյուրապատիկի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չափով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:</w:t>
      </w:r>
      <w:bookmarkStart w:id="0" w:name="_GoBack"/>
      <w:bookmarkEnd w:id="0"/>
    </w:p>
    <w:p w:rsidR="00203D25" w:rsidRPr="00046D32" w:rsidRDefault="00203D25" w:rsidP="00046D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203D25" w:rsidRPr="00046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552"/>
    <w:multiLevelType w:val="hybridMultilevel"/>
    <w:tmpl w:val="A4D286F6"/>
    <w:lvl w:ilvl="0" w:tplc="5F64FB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74C5"/>
    <w:multiLevelType w:val="hybridMultilevel"/>
    <w:tmpl w:val="B5E00246"/>
    <w:lvl w:ilvl="0" w:tplc="F9C0F0D4">
      <w:start w:val="1"/>
      <w:numFmt w:val="decimal"/>
      <w:lvlText w:val="%1."/>
      <w:lvlJc w:val="left"/>
      <w:pPr>
        <w:ind w:left="678" w:hanging="546"/>
      </w:pPr>
      <w:rPr>
        <w:rFonts w:eastAsiaTheme="minorHAnsi"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4EED31A3"/>
    <w:multiLevelType w:val="hybridMultilevel"/>
    <w:tmpl w:val="C1C896FA"/>
    <w:lvl w:ilvl="0" w:tplc="EF8675C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4290EAA"/>
    <w:multiLevelType w:val="hybridMultilevel"/>
    <w:tmpl w:val="D18680C8"/>
    <w:lvl w:ilvl="0" w:tplc="E5489738">
      <w:start w:val="1"/>
      <w:numFmt w:val="decimal"/>
      <w:lvlText w:val="%1."/>
      <w:lvlJc w:val="left"/>
      <w:pPr>
        <w:ind w:left="678" w:hanging="546"/>
      </w:pPr>
      <w:rPr>
        <w:rFonts w:eastAsiaTheme="minorHAnsi"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7E7D6347"/>
    <w:multiLevelType w:val="hybridMultilevel"/>
    <w:tmpl w:val="DA4407EA"/>
    <w:lvl w:ilvl="0" w:tplc="B694E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F"/>
    <w:rsid w:val="00046D32"/>
    <w:rsid w:val="001A1946"/>
    <w:rsid w:val="00203D25"/>
    <w:rsid w:val="00773ECF"/>
    <w:rsid w:val="00851790"/>
    <w:rsid w:val="00C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49F2"/>
  <w15:chartTrackingRefBased/>
  <w15:docId w15:val="{36BC83CB-8FEE-4194-BEBC-0949C566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1946"/>
    <w:rPr>
      <w:b/>
      <w:bCs/>
    </w:rPr>
  </w:style>
  <w:style w:type="character" w:styleId="Emphasis">
    <w:name w:val="Emphasis"/>
    <w:basedOn w:val="DefaultParagraphFont"/>
    <w:uiPriority w:val="20"/>
    <w:qFormat/>
    <w:rsid w:val="001A1946"/>
    <w:rPr>
      <w:i/>
      <w:iCs/>
    </w:rPr>
  </w:style>
  <w:style w:type="paragraph" w:styleId="ListParagraph">
    <w:name w:val="List Paragraph"/>
    <w:basedOn w:val="Normal"/>
    <w:uiPriority w:val="34"/>
    <w:qFormat/>
    <w:rsid w:val="0020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2023-07-14T12:34:00Z</dcterms:created>
  <dcterms:modified xsi:type="dcterms:W3CDTF">2023-08-03T14:10:00Z</dcterms:modified>
</cp:coreProperties>
</file>