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B51DB" w14:textId="77777777"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r w:rsidRPr="00E04728">
        <w:rPr>
          <w:b/>
          <w:color w:val="000000" w:themeColor="text1"/>
          <w:lang w:val="en-US"/>
        </w:rPr>
        <w:drawing>
          <wp:inline distT="0" distB="0" distL="0" distR="0" wp14:anchorId="47257DAB" wp14:editId="0452D51A">
            <wp:extent cx="1078230" cy="957580"/>
            <wp:effectExtent l="19050" t="0" r="7620" b="0"/>
            <wp:docPr id="1" name="Picture 1" descr="Untitled-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11"/>
                    <pic:cNvPicPr>
                      <a:picLocks noChangeAspect="1" noChangeArrowheads="1"/>
                    </pic:cNvPicPr>
                  </pic:nvPicPr>
                  <pic:blipFill>
                    <a:blip r:embed="rId8" cstate="print"/>
                    <a:srcRect/>
                    <a:stretch>
                      <a:fillRect/>
                    </a:stretch>
                  </pic:blipFill>
                  <pic:spPr bwMode="auto">
                    <a:xfrm>
                      <a:off x="0" y="0"/>
                      <a:ext cx="1078230" cy="957580"/>
                    </a:xfrm>
                    <a:prstGeom prst="rect">
                      <a:avLst/>
                    </a:prstGeom>
                    <a:noFill/>
                    <a:ln w="9525">
                      <a:noFill/>
                      <a:miter lim="800000"/>
                      <a:headEnd/>
                      <a:tailEnd/>
                    </a:ln>
                  </pic:spPr>
                </pic:pic>
              </a:graphicData>
            </a:graphic>
          </wp:inline>
        </w:drawing>
      </w:r>
    </w:p>
    <w:p w14:paraId="1C472FE6" w14:textId="77777777" w:rsidR="00A04C22" w:rsidRPr="00E04728" w:rsidRDefault="00A04C22" w:rsidP="00FB46C4">
      <w:pPr>
        <w:tabs>
          <w:tab w:val="left" w:pos="284"/>
          <w:tab w:val="left" w:pos="426"/>
          <w:tab w:val="left" w:pos="709"/>
          <w:tab w:val="left" w:pos="993"/>
        </w:tabs>
        <w:spacing w:line="276" w:lineRule="auto"/>
        <w:contextualSpacing/>
        <w:jc w:val="center"/>
        <w:rPr>
          <w:b/>
          <w:color w:val="000000" w:themeColor="text1"/>
        </w:rPr>
      </w:pPr>
    </w:p>
    <w:p w14:paraId="4DD62E54" w14:textId="77777777" w:rsidR="00A04C22" w:rsidRPr="00E04728" w:rsidRDefault="00A04C22" w:rsidP="00FB46C4">
      <w:pPr>
        <w:tabs>
          <w:tab w:val="left" w:pos="284"/>
          <w:tab w:val="left" w:pos="426"/>
          <w:tab w:val="left" w:pos="709"/>
          <w:tab w:val="left" w:pos="993"/>
        </w:tabs>
        <w:spacing w:line="276" w:lineRule="auto"/>
        <w:contextualSpacing/>
        <w:jc w:val="center"/>
        <w:rPr>
          <w:b/>
          <w:color w:val="000000" w:themeColor="text1"/>
        </w:rPr>
      </w:pPr>
    </w:p>
    <w:p w14:paraId="1D603699" w14:textId="72053BDB"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r w:rsidRPr="00E04728">
        <w:rPr>
          <w:b/>
          <w:color w:val="000000" w:themeColor="text1"/>
        </w:rPr>
        <w:t>ՀԱՅԱՍՏԱՆԻ ՀԱՆՐԱՊԵՏՈՒԹՅԱՆ ԱՐԴԱՐԱԴԱՏՈՒԹՅԱՆ</w:t>
      </w:r>
    </w:p>
    <w:p w14:paraId="0F1B3EC3" w14:textId="77777777"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r w:rsidRPr="00E04728">
        <w:rPr>
          <w:b/>
          <w:color w:val="000000" w:themeColor="text1"/>
        </w:rPr>
        <w:t>ՆԱԽԱՐԱՐՈՒԹՅՈՒՆ</w:t>
      </w:r>
    </w:p>
    <w:p w14:paraId="234374A4" w14:textId="77777777"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p>
    <w:p w14:paraId="6DDE7B16" w14:textId="77777777"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p>
    <w:p w14:paraId="06A2EF50" w14:textId="77777777"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p>
    <w:p w14:paraId="6CF9498E" w14:textId="77777777"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p>
    <w:p w14:paraId="0B24EE16" w14:textId="391F3028"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r w:rsidRPr="00E04728">
        <w:rPr>
          <w:b/>
          <w:color w:val="000000" w:themeColor="text1"/>
        </w:rPr>
        <w:t>2023-2026 ԹՎԱԿԱՆՆԵՐԻ ՀԱԿԱԿՈՌՈՒՊՑԻՈՆ ՌԱԶՄԱՎԱՐՈՒԹՅԱՆ</w:t>
      </w:r>
    </w:p>
    <w:p w14:paraId="7C874273" w14:textId="5C0F2B8C" w:rsidR="00A04C22" w:rsidRPr="00E04728" w:rsidRDefault="00A04C22" w:rsidP="00FB46C4">
      <w:pPr>
        <w:tabs>
          <w:tab w:val="left" w:pos="284"/>
          <w:tab w:val="left" w:pos="426"/>
          <w:tab w:val="left" w:pos="709"/>
          <w:tab w:val="left" w:pos="993"/>
        </w:tabs>
        <w:spacing w:line="276" w:lineRule="auto"/>
        <w:ind w:firstLine="0"/>
        <w:contextualSpacing/>
        <w:jc w:val="center"/>
        <w:rPr>
          <w:b/>
          <w:color w:val="000000" w:themeColor="text1"/>
        </w:rPr>
      </w:pPr>
      <w:r w:rsidRPr="00E04728">
        <w:rPr>
          <w:b/>
          <w:color w:val="000000" w:themeColor="text1"/>
        </w:rPr>
        <w:t>ՆԱԽԱԳԻԾ</w:t>
      </w:r>
    </w:p>
    <w:p w14:paraId="22CE7578" w14:textId="77777777" w:rsidR="00A04C22" w:rsidRPr="00E04728" w:rsidRDefault="00A04C22" w:rsidP="00FB46C4">
      <w:pPr>
        <w:tabs>
          <w:tab w:val="left" w:pos="284"/>
          <w:tab w:val="left" w:pos="426"/>
          <w:tab w:val="left" w:pos="709"/>
          <w:tab w:val="left" w:pos="993"/>
        </w:tabs>
        <w:spacing w:line="276" w:lineRule="auto"/>
        <w:ind w:firstLine="0"/>
        <w:contextualSpacing/>
        <w:rPr>
          <w:b/>
          <w:color w:val="000000" w:themeColor="text1"/>
        </w:rPr>
      </w:pPr>
    </w:p>
    <w:p w14:paraId="3A845D1C" w14:textId="77777777" w:rsidR="007E2F0F" w:rsidRPr="00E04728" w:rsidRDefault="007E2F0F" w:rsidP="00FB46C4">
      <w:pPr>
        <w:shd w:val="clear" w:color="auto" w:fill="FFFFFF"/>
        <w:tabs>
          <w:tab w:val="left" w:pos="270"/>
        </w:tabs>
        <w:spacing w:line="276" w:lineRule="auto"/>
        <w:jc w:val="center"/>
        <w:rPr>
          <w:b/>
          <w:color w:val="000000" w:themeColor="text1"/>
        </w:rPr>
      </w:pPr>
    </w:p>
    <w:p w14:paraId="064BFDE0" w14:textId="77777777" w:rsidR="007E2F0F" w:rsidRPr="00E04728" w:rsidRDefault="007E2F0F" w:rsidP="00FB46C4">
      <w:pPr>
        <w:shd w:val="clear" w:color="auto" w:fill="FFFFFF"/>
        <w:tabs>
          <w:tab w:val="left" w:pos="270"/>
        </w:tabs>
        <w:spacing w:line="276" w:lineRule="auto"/>
        <w:jc w:val="center"/>
        <w:rPr>
          <w:b/>
          <w:color w:val="000000"/>
        </w:rPr>
      </w:pPr>
    </w:p>
    <w:p w14:paraId="2A07F006" w14:textId="77777777" w:rsidR="007E2F0F" w:rsidRPr="00E04728" w:rsidRDefault="007E2F0F" w:rsidP="00FB46C4">
      <w:pPr>
        <w:shd w:val="clear" w:color="auto" w:fill="FFFFFF"/>
        <w:tabs>
          <w:tab w:val="left" w:pos="270"/>
        </w:tabs>
        <w:spacing w:line="276" w:lineRule="auto"/>
        <w:jc w:val="center"/>
        <w:rPr>
          <w:b/>
          <w:color w:val="000000"/>
        </w:rPr>
      </w:pPr>
    </w:p>
    <w:p w14:paraId="6283D941" w14:textId="77777777" w:rsidR="007E2F0F" w:rsidRPr="00E04728" w:rsidRDefault="007E2F0F" w:rsidP="00FB46C4">
      <w:pPr>
        <w:shd w:val="clear" w:color="auto" w:fill="FFFFFF"/>
        <w:tabs>
          <w:tab w:val="left" w:pos="270"/>
        </w:tabs>
        <w:spacing w:line="276" w:lineRule="auto"/>
        <w:jc w:val="center"/>
        <w:rPr>
          <w:b/>
          <w:color w:val="000000"/>
        </w:rPr>
      </w:pPr>
    </w:p>
    <w:p w14:paraId="67757D4F" w14:textId="77777777" w:rsidR="007E2F0F" w:rsidRPr="00E04728" w:rsidRDefault="007E2F0F" w:rsidP="00FB46C4">
      <w:pPr>
        <w:shd w:val="clear" w:color="auto" w:fill="FFFFFF"/>
        <w:tabs>
          <w:tab w:val="left" w:pos="270"/>
        </w:tabs>
        <w:spacing w:line="276" w:lineRule="auto"/>
        <w:jc w:val="center"/>
        <w:rPr>
          <w:b/>
          <w:color w:val="000000"/>
        </w:rPr>
      </w:pPr>
    </w:p>
    <w:p w14:paraId="5A5402B3" w14:textId="77777777" w:rsidR="007E2F0F" w:rsidRPr="00E04728" w:rsidRDefault="007E2F0F" w:rsidP="00FB46C4">
      <w:pPr>
        <w:shd w:val="clear" w:color="auto" w:fill="FFFFFF"/>
        <w:tabs>
          <w:tab w:val="left" w:pos="270"/>
        </w:tabs>
        <w:spacing w:line="276" w:lineRule="auto"/>
        <w:jc w:val="center"/>
        <w:rPr>
          <w:b/>
          <w:color w:val="000000"/>
        </w:rPr>
      </w:pPr>
    </w:p>
    <w:p w14:paraId="4B4467AF" w14:textId="77777777" w:rsidR="007E2F0F" w:rsidRPr="00E04728" w:rsidRDefault="007E2F0F" w:rsidP="00FB46C4">
      <w:pPr>
        <w:shd w:val="clear" w:color="auto" w:fill="FFFFFF"/>
        <w:tabs>
          <w:tab w:val="left" w:pos="270"/>
        </w:tabs>
        <w:spacing w:line="276" w:lineRule="auto"/>
        <w:jc w:val="center"/>
        <w:rPr>
          <w:b/>
          <w:color w:val="000000"/>
        </w:rPr>
      </w:pPr>
    </w:p>
    <w:p w14:paraId="359E88AA" w14:textId="77777777" w:rsidR="007E2F0F" w:rsidRPr="00E04728" w:rsidRDefault="007E2F0F" w:rsidP="00FB46C4">
      <w:pPr>
        <w:shd w:val="clear" w:color="auto" w:fill="FFFFFF"/>
        <w:tabs>
          <w:tab w:val="left" w:pos="270"/>
        </w:tabs>
        <w:spacing w:line="276" w:lineRule="auto"/>
        <w:jc w:val="center"/>
        <w:rPr>
          <w:b/>
          <w:color w:val="000000"/>
        </w:rPr>
      </w:pPr>
    </w:p>
    <w:p w14:paraId="445F6CF6" w14:textId="77777777" w:rsidR="007E2F0F" w:rsidRPr="00E04728" w:rsidRDefault="007E2F0F" w:rsidP="00FB46C4">
      <w:pPr>
        <w:shd w:val="clear" w:color="auto" w:fill="FFFFFF"/>
        <w:tabs>
          <w:tab w:val="left" w:pos="270"/>
        </w:tabs>
        <w:spacing w:line="276" w:lineRule="auto"/>
        <w:jc w:val="center"/>
        <w:rPr>
          <w:b/>
          <w:color w:val="000000"/>
        </w:rPr>
      </w:pPr>
    </w:p>
    <w:p w14:paraId="12778F9F" w14:textId="77777777" w:rsidR="007E2F0F" w:rsidRPr="00E04728" w:rsidRDefault="007E2F0F" w:rsidP="00FB46C4">
      <w:pPr>
        <w:shd w:val="clear" w:color="auto" w:fill="FFFFFF"/>
        <w:tabs>
          <w:tab w:val="left" w:pos="270"/>
        </w:tabs>
        <w:spacing w:line="276" w:lineRule="auto"/>
        <w:jc w:val="center"/>
        <w:rPr>
          <w:b/>
          <w:color w:val="000000"/>
        </w:rPr>
      </w:pPr>
    </w:p>
    <w:p w14:paraId="57339AB6" w14:textId="77777777" w:rsidR="007E2F0F" w:rsidRPr="00E04728" w:rsidRDefault="007E2F0F" w:rsidP="00FB46C4">
      <w:pPr>
        <w:shd w:val="clear" w:color="auto" w:fill="FFFFFF"/>
        <w:tabs>
          <w:tab w:val="left" w:pos="270"/>
        </w:tabs>
        <w:spacing w:line="276" w:lineRule="auto"/>
        <w:jc w:val="center"/>
        <w:rPr>
          <w:b/>
          <w:color w:val="000000"/>
        </w:rPr>
      </w:pPr>
    </w:p>
    <w:p w14:paraId="67718930" w14:textId="77777777" w:rsidR="007E2F0F" w:rsidRPr="00E04728" w:rsidRDefault="007E2F0F" w:rsidP="00FB46C4">
      <w:pPr>
        <w:shd w:val="clear" w:color="auto" w:fill="FFFFFF"/>
        <w:tabs>
          <w:tab w:val="left" w:pos="270"/>
        </w:tabs>
        <w:spacing w:line="276" w:lineRule="auto"/>
        <w:jc w:val="center"/>
        <w:rPr>
          <w:b/>
          <w:color w:val="000000"/>
        </w:rPr>
      </w:pPr>
    </w:p>
    <w:p w14:paraId="2C8482E1" w14:textId="77777777" w:rsidR="007E2F0F" w:rsidRPr="00E04728" w:rsidRDefault="007E2F0F" w:rsidP="00FB46C4">
      <w:pPr>
        <w:shd w:val="clear" w:color="auto" w:fill="FFFFFF"/>
        <w:tabs>
          <w:tab w:val="left" w:pos="270"/>
        </w:tabs>
        <w:spacing w:line="276" w:lineRule="auto"/>
        <w:jc w:val="center"/>
        <w:rPr>
          <w:b/>
          <w:color w:val="000000"/>
        </w:rPr>
      </w:pPr>
    </w:p>
    <w:p w14:paraId="29AC090B" w14:textId="77777777" w:rsidR="007E2F0F" w:rsidRPr="00E04728" w:rsidRDefault="007E2F0F" w:rsidP="00FB46C4">
      <w:pPr>
        <w:shd w:val="clear" w:color="auto" w:fill="FFFFFF"/>
        <w:tabs>
          <w:tab w:val="left" w:pos="270"/>
        </w:tabs>
        <w:spacing w:line="276" w:lineRule="auto"/>
        <w:jc w:val="center"/>
        <w:rPr>
          <w:b/>
          <w:color w:val="000000"/>
        </w:rPr>
      </w:pPr>
    </w:p>
    <w:p w14:paraId="06D824DE" w14:textId="77777777" w:rsidR="007E2F0F" w:rsidRPr="00E04728" w:rsidRDefault="007E2F0F" w:rsidP="00FB46C4">
      <w:pPr>
        <w:shd w:val="clear" w:color="auto" w:fill="FFFFFF"/>
        <w:tabs>
          <w:tab w:val="left" w:pos="270"/>
        </w:tabs>
        <w:spacing w:line="276" w:lineRule="auto"/>
        <w:jc w:val="center"/>
        <w:rPr>
          <w:b/>
          <w:color w:val="000000"/>
        </w:rPr>
      </w:pPr>
    </w:p>
    <w:p w14:paraId="1CC8AEB2" w14:textId="77777777" w:rsidR="007E2F0F" w:rsidRPr="00E04728" w:rsidRDefault="007E2F0F" w:rsidP="00FB46C4">
      <w:pPr>
        <w:shd w:val="clear" w:color="auto" w:fill="FFFFFF"/>
        <w:tabs>
          <w:tab w:val="left" w:pos="270"/>
        </w:tabs>
        <w:spacing w:line="276" w:lineRule="auto"/>
        <w:jc w:val="center"/>
        <w:rPr>
          <w:b/>
          <w:color w:val="000000"/>
        </w:rPr>
      </w:pPr>
    </w:p>
    <w:p w14:paraId="65AF28DA" w14:textId="77777777" w:rsidR="007E2F0F" w:rsidRPr="00E04728" w:rsidRDefault="007E2F0F" w:rsidP="00FB46C4">
      <w:pPr>
        <w:shd w:val="clear" w:color="auto" w:fill="FFFFFF"/>
        <w:tabs>
          <w:tab w:val="left" w:pos="270"/>
        </w:tabs>
        <w:spacing w:line="276" w:lineRule="auto"/>
        <w:jc w:val="center"/>
        <w:rPr>
          <w:b/>
          <w:color w:val="000000"/>
        </w:rPr>
      </w:pPr>
    </w:p>
    <w:p w14:paraId="3BFF1CF5" w14:textId="77777777" w:rsidR="007E2F0F" w:rsidRPr="00E04728" w:rsidRDefault="007E2F0F" w:rsidP="00FB46C4">
      <w:pPr>
        <w:shd w:val="clear" w:color="auto" w:fill="FFFFFF"/>
        <w:tabs>
          <w:tab w:val="left" w:pos="270"/>
        </w:tabs>
        <w:spacing w:line="276" w:lineRule="auto"/>
        <w:jc w:val="center"/>
        <w:rPr>
          <w:b/>
          <w:color w:val="000000"/>
        </w:rPr>
      </w:pPr>
    </w:p>
    <w:p w14:paraId="45307693" w14:textId="77777777" w:rsidR="00A2382C" w:rsidRPr="00E04728" w:rsidRDefault="00A2382C" w:rsidP="00FB46C4">
      <w:pPr>
        <w:shd w:val="clear" w:color="auto" w:fill="FFFFFF"/>
        <w:tabs>
          <w:tab w:val="left" w:pos="270"/>
        </w:tabs>
        <w:spacing w:line="276" w:lineRule="auto"/>
        <w:jc w:val="center"/>
        <w:rPr>
          <w:b/>
          <w:color w:val="000000"/>
        </w:rPr>
      </w:pPr>
    </w:p>
    <w:p w14:paraId="4575802C" w14:textId="77777777" w:rsidR="00A2382C" w:rsidRPr="00E04728" w:rsidRDefault="00A2382C" w:rsidP="00FB46C4">
      <w:pPr>
        <w:shd w:val="clear" w:color="auto" w:fill="FFFFFF"/>
        <w:tabs>
          <w:tab w:val="left" w:pos="270"/>
        </w:tabs>
        <w:spacing w:line="276" w:lineRule="auto"/>
        <w:jc w:val="center"/>
        <w:rPr>
          <w:b/>
          <w:color w:val="000000"/>
        </w:rPr>
      </w:pPr>
    </w:p>
    <w:p w14:paraId="3E2F3A0A" w14:textId="6F41AC22" w:rsidR="007E2F0F" w:rsidRPr="00E04728" w:rsidRDefault="007E2F0F" w:rsidP="00FB46C4">
      <w:pPr>
        <w:shd w:val="clear" w:color="auto" w:fill="FFFFFF"/>
        <w:tabs>
          <w:tab w:val="left" w:pos="270"/>
        </w:tabs>
        <w:spacing w:line="276" w:lineRule="auto"/>
        <w:jc w:val="center"/>
        <w:rPr>
          <w:b/>
          <w:color w:val="000000"/>
        </w:rPr>
      </w:pPr>
      <w:r w:rsidRPr="00E04728">
        <w:rPr>
          <w:b/>
          <w:color w:val="000000"/>
        </w:rPr>
        <w:t>ԵՐԵՎԱՆ - 2023 թ.</w:t>
      </w:r>
    </w:p>
    <w:p w14:paraId="0ECA6696" w14:textId="741C3673" w:rsidR="00A04C22" w:rsidRPr="00E04728" w:rsidRDefault="00A04C22" w:rsidP="00FB46C4">
      <w:pPr>
        <w:spacing w:line="276" w:lineRule="auto"/>
        <w:jc w:val="left"/>
        <w:rPr>
          <w:b/>
          <w:color w:val="000000" w:themeColor="text1"/>
        </w:rPr>
      </w:pPr>
    </w:p>
    <w:p w14:paraId="561DCCEC" w14:textId="504B69FA" w:rsidR="007E2F0F" w:rsidRPr="00E04728" w:rsidRDefault="007E2F0F" w:rsidP="00FB46C4">
      <w:pPr>
        <w:spacing w:line="276" w:lineRule="auto"/>
        <w:jc w:val="left"/>
        <w:rPr>
          <w:b/>
          <w:color w:val="000000" w:themeColor="text1"/>
        </w:rPr>
      </w:pPr>
    </w:p>
    <w:p w14:paraId="613B6219" w14:textId="77777777" w:rsidR="007E2F0F" w:rsidRPr="00E04728" w:rsidRDefault="007E2F0F" w:rsidP="00FB46C4">
      <w:pPr>
        <w:spacing w:line="276" w:lineRule="auto"/>
        <w:jc w:val="left"/>
        <w:rPr>
          <w:b/>
          <w:color w:val="000000" w:themeColor="text1"/>
        </w:rPr>
      </w:pPr>
    </w:p>
    <w:p w14:paraId="0641C542" w14:textId="4D74D7CF" w:rsidR="00272737" w:rsidRPr="00E04728" w:rsidRDefault="00F247B0" w:rsidP="00F247B0">
      <w:pPr>
        <w:tabs>
          <w:tab w:val="left" w:pos="284"/>
          <w:tab w:val="left" w:pos="426"/>
          <w:tab w:val="left" w:pos="709"/>
          <w:tab w:val="left" w:pos="993"/>
          <w:tab w:val="left" w:pos="3975"/>
        </w:tabs>
        <w:spacing w:line="276" w:lineRule="auto"/>
        <w:contextualSpacing/>
        <w:rPr>
          <w:b/>
          <w:color w:val="000000" w:themeColor="text1"/>
        </w:rPr>
      </w:pPr>
      <w:r w:rsidRPr="00E04728">
        <w:rPr>
          <w:b/>
          <w:color w:val="000000" w:themeColor="text1"/>
        </w:rPr>
        <w:tab/>
      </w:r>
      <w:r w:rsidRPr="00E04728">
        <w:rPr>
          <w:b/>
          <w:color w:val="000000" w:themeColor="text1"/>
        </w:rPr>
        <w:tab/>
      </w:r>
      <w:r w:rsidRPr="00E04728">
        <w:rPr>
          <w:b/>
          <w:color w:val="000000" w:themeColor="text1"/>
        </w:rPr>
        <w:tab/>
      </w:r>
    </w:p>
    <w:p w14:paraId="7EBE0C22" w14:textId="77777777" w:rsidR="00272737" w:rsidRPr="00E04728" w:rsidRDefault="00272737" w:rsidP="00FB46C4">
      <w:pPr>
        <w:tabs>
          <w:tab w:val="left" w:pos="284"/>
          <w:tab w:val="left" w:pos="426"/>
          <w:tab w:val="left" w:pos="709"/>
          <w:tab w:val="left" w:pos="993"/>
        </w:tabs>
        <w:spacing w:line="276" w:lineRule="auto"/>
        <w:contextualSpacing/>
        <w:jc w:val="center"/>
        <w:rPr>
          <w:b/>
          <w:color w:val="000000" w:themeColor="text1"/>
        </w:rPr>
      </w:pPr>
    </w:p>
    <w:p w14:paraId="703EE7A4" w14:textId="48EF3DF9" w:rsidR="00EA70C4" w:rsidRPr="00E04728" w:rsidRDefault="00A04C22" w:rsidP="00FB46C4">
      <w:pPr>
        <w:tabs>
          <w:tab w:val="left" w:pos="284"/>
          <w:tab w:val="left" w:pos="426"/>
          <w:tab w:val="left" w:pos="709"/>
          <w:tab w:val="left" w:pos="993"/>
        </w:tabs>
        <w:spacing w:line="276" w:lineRule="auto"/>
        <w:contextualSpacing/>
        <w:jc w:val="center"/>
        <w:rPr>
          <w:b/>
          <w:color w:val="000000" w:themeColor="text1"/>
        </w:rPr>
      </w:pPr>
      <w:r w:rsidRPr="00E04728">
        <w:rPr>
          <w:b/>
          <w:color w:val="000000" w:themeColor="text1"/>
        </w:rPr>
        <w:lastRenderedPageBreak/>
        <w:t>ԲՈՎԱՆԴԱԿՈՒ</w:t>
      </w:r>
      <w:bookmarkStart w:id="0" w:name="_GoBack"/>
      <w:bookmarkEnd w:id="0"/>
      <w:r w:rsidRPr="00E04728">
        <w:rPr>
          <w:b/>
          <w:color w:val="000000" w:themeColor="text1"/>
        </w:rPr>
        <w:t>ԹՅՈՒՆ</w:t>
      </w:r>
    </w:p>
    <w:sdt>
      <w:sdtPr>
        <w:rPr>
          <w:rFonts w:ascii="GHEA Grapalat" w:eastAsiaTheme="minorHAnsi" w:hAnsi="GHEA Grapalat" w:cstheme="minorBidi"/>
          <w:b w:val="0"/>
          <w:bCs w:val="0"/>
          <w:noProof/>
          <w:color w:val="auto"/>
          <w:sz w:val="24"/>
          <w:szCs w:val="24"/>
          <w:lang w:val="hy-AM"/>
        </w:rPr>
        <w:id w:val="2111392248"/>
        <w:docPartObj>
          <w:docPartGallery w:val="Table of Contents"/>
          <w:docPartUnique/>
        </w:docPartObj>
      </w:sdtPr>
      <w:sdtContent>
        <w:p w14:paraId="38496EF9" w14:textId="399CAEF7" w:rsidR="00EA70C4" w:rsidRPr="00E04728" w:rsidRDefault="00EA70C4" w:rsidP="00FB46C4">
          <w:pPr>
            <w:pStyle w:val="TOCHeading"/>
            <w:spacing w:before="0"/>
            <w:ind w:firstLine="567"/>
            <w:rPr>
              <w:rFonts w:ascii="GHEA Grapalat" w:hAnsi="GHEA Grapalat"/>
              <w:sz w:val="24"/>
              <w:vertAlign w:val="superscript"/>
              <w:lang w:val="hy-AM"/>
            </w:rPr>
          </w:pPr>
        </w:p>
        <w:p w14:paraId="7131B807" w14:textId="47BB2872" w:rsidR="001720A3" w:rsidRPr="001720A3" w:rsidRDefault="00EA70C4" w:rsidP="006423D2">
          <w:pPr>
            <w:pStyle w:val="TOC1"/>
            <w:tabs>
              <w:tab w:val="right" w:leader="dot" w:pos="10195"/>
            </w:tabs>
            <w:ind w:firstLine="0"/>
            <w:rPr>
              <w:rFonts w:ascii="GHEA Grapalat" w:eastAsiaTheme="minorEastAsia" w:hAnsi="GHEA Grapalat"/>
              <w:b w:val="0"/>
              <w:bCs w:val="0"/>
              <w:i w:val="0"/>
              <w:iCs w:val="0"/>
              <w:sz w:val="22"/>
              <w:szCs w:val="22"/>
              <w:lang w:val="en-US"/>
            </w:rPr>
          </w:pPr>
          <w:r w:rsidRPr="00E04728">
            <w:rPr>
              <w:rFonts w:ascii="GHEA Grapalat" w:hAnsi="GHEA Grapalat"/>
              <w:b w:val="0"/>
              <w:i w:val="0"/>
              <w:sz w:val="22"/>
              <w:szCs w:val="22"/>
            </w:rPr>
            <w:fldChar w:fldCharType="begin"/>
          </w:r>
          <w:r w:rsidRPr="00E04728">
            <w:rPr>
              <w:rFonts w:ascii="GHEA Grapalat" w:hAnsi="GHEA Grapalat"/>
              <w:sz w:val="22"/>
              <w:szCs w:val="22"/>
            </w:rPr>
            <w:instrText xml:space="preserve"> TOC \o "1-3" \h \z \u </w:instrText>
          </w:r>
          <w:r w:rsidRPr="00E04728">
            <w:rPr>
              <w:rFonts w:ascii="GHEA Grapalat" w:hAnsi="GHEA Grapalat"/>
              <w:b w:val="0"/>
              <w:i w:val="0"/>
              <w:sz w:val="22"/>
              <w:szCs w:val="22"/>
            </w:rPr>
            <w:fldChar w:fldCharType="separate"/>
          </w:r>
          <w:hyperlink w:anchor="_Toc140181765" w:history="1">
            <w:r w:rsidR="001720A3" w:rsidRPr="001720A3">
              <w:rPr>
                <w:rStyle w:val="Hyperlink"/>
                <w:rFonts w:ascii="GHEA Grapalat" w:hAnsi="GHEA Grapalat"/>
                <w:i w:val="0"/>
                <w:sz w:val="22"/>
                <w:szCs w:val="22"/>
              </w:rPr>
              <w:t>ԲԱԺԻՆ I</w:t>
            </w:r>
            <w:r w:rsidR="001720A3" w:rsidRPr="001720A3">
              <w:rPr>
                <w:rStyle w:val="Hyperlink"/>
                <w:rFonts w:ascii="Cambria Math" w:eastAsia="MS Gothic" w:hAnsi="Cambria Math" w:cs="Cambria Math"/>
                <w:i w:val="0"/>
                <w:sz w:val="22"/>
                <w:szCs w:val="22"/>
              </w:rPr>
              <w:t>․</w:t>
            </w:r>
            <w:r w:rsidR="001720A3" w:rsidRPr="001720A3">
              <w:rPr>
                <w:rStyle w:val="Hyperlink"/>
                <w:rFonts w:ascii="GHEA Grapalat" w:hAnsi="GHEA Grapalat"/>
                <w:i w:val="0"/>
                <w:sz w:val="22"/>
                <w:szCs w:val="22"/>
              </w:rPr>
              <w:t xml:space="preserve"> ՀԱԿԱԿՈՌՈՒՊՑԻՈՆ ՔԱՂԱՔԱԿԱՆՈՒԹՅԱՆ ԸՆԹԱՑԻԿ ԻՐԱՎԻՃԱԿԸ</w:t>
            </w:r>
            <w:r w:rsidR="001720A3" w:rsidRPr="001720A3">
              <w:rPr>
                <w:rFonts w:ascii="GHEA Grapalat" w:hAnsi="GHEA Grapalat"/>
                <w:i w:val="0"/>
                <w:webHidden/>
                <w:sz w:val="22"/>
                <w:szCs w:val="22"/>
              </w:rPr>
              <w:tab/>
            </w:r>
            <w:r w:rsidR="001720A3" w:rsidRPr="001720A3">
              <w:rPr>
                <w:rFonts w:ascii="GHEA Grapalat" w:hAnsi="GHEA Grapalat"/>
                <w:i w:val="0"/>
                <w:webHidden/>
                <w:sz w:val="22"/>
                <w:szCs w:val="22"/>
              </w:rPr>
              <w:fldChar w:fldCharType="begin"/>
            </w:r>
            <w:r w:rsidR="001720A3" w:rsidRPr="001720A3">
              <w:rPr>
                <w:rFonts w:ascii="GHEA Grapalat" w:hAnsi="GHEA Grapalat"/>
                <w:i w:val="0"/>
                <w:webHidden/>
                <w:sz w:val="22"/>
                <w:szCs w:val="22"/>
              </w:rPr>
              <w:instrText xml:space="preserve"> PAGEREF _Toc140181765 \h </w:instrText>
            </w:r>
            <w:r w:rsidR="001720A3" w:rsidRPr="001720A3">
              <w:rPr>
                <w:rFonts w:ascii="GHEA Grapalat" w:hAnsi="GHEA Grapalat"/>
                <w:i w:val="0"/>
                <w:webHidden/>
                <w:sz w:val="22"/>
                <w:szCs w:val="22"/>
              </w:rPr>
            </w:r>
            <w:r w:rsidR="001720A3" w:rsidRPr="001720A3">
              <w:rPr>
                <w:rFonts w:ascii="GHEA Grapalat" w:hAnsi="GHEA Grapalat"/>
                <w:i w:val="0"/>
                <w:webHidden/>
                <w:sz w:val="22"/>
                <w:szCs w:val="22"/>
              </w:rPr>
              <w:fldChar w:fldCharType="separate"/>
            </w:r>
            <w:r w:rsidR="001720A3" w:rsidRPr="001720A3">
              <w:rPr>
                <w:rFonts w:ascii="GHEA Grapalat" w:hAnsi="GHEA Grapalat"/>
                <w:i w:val="0"/>
                <w:webHidden/>
                <w:sz w:val="22"/>
                <w:szCs w:val="22"/>
              </w:rPr>
              <w:t>3</w:t>
            </w:r>
            <w:r w:rsidR="001720A3" w:rsidRPr="001720A3">
              <w:rPr>
                <w:rFonts w:ascii="GHEA Grapalat" w:hAnsi="GHEA Grapalat"/>
                <w:i w:val="0"/>
                <w:webHidden/>
                <w:sz w:val="22"/>
                <w:szCs w:val="22"/>
              </w:rPr>
              <w:fldChar w:fldCharType="end"/>
            </w:r>
          </w:hyperlink>
        </w:p>
        <w:p w14:paraId="1B6DEA71" w14:textId="0BC0F74E" w:rsidR="001720A3" w:rsidRPr="001720A3" w:rsidRDefault="001720A3" w:rsidP="006423D2">
          <w:pPr>
            <w:pStyle w:val="TOC2"/>
            <w:tabs>
              <w:tab w:val="right" w:leader="dot" w:pos="10195"/>
            </w:tabs>
            <w:ind w:left="0" w:firstLine="0"/>
            <w:rPr>
              <w:rFonts w:ascii="GHEA Grapalat" w:eastAsiaTheme="minorEastAsia" w:hAnsi="GHEA Grapalat"/>
              <w:b w:val="0"/>
              <w:bCs w:val="0"/>
              <w:lang w:val="en-US"/>
            </w:rPr>
          </w:pPr>
          <w:hyperlink w:anchor="_Toc140181766" w:history="1">
            <w:r w:rsidRPr="001720A3">
              <w:rPr>
                <w:rStyle w:val="Hyperlink"/>
                <w:rFonts w:ascii="GHEA Grapalat" w:hAnsi="GHEA Grapalat"/>
              </w:rPr>
              <w:t>1. ԿՈՌՈՒՊՑԻԱՅԻ ԴԵՄ ՊԱՅՔԱՐԸ ՀԱՅԱՍՏԱՆԻ ՀԱՆՐԱՊԵՏՈՒԹՅՈՒՆՈՒՄ 2019-2022 ԹՎԱԿԱՆՆԵՐԻՆ, ԱՌԿԱ ՄԱՐՏԱՀՐԱՎԵՐՆԵՐԸ</w:t>
            </w:r>
            <w:r w:rsidRPr="001720A3">
              <w:rPr>
                <w:rFonts w:ascii="GHEA Grapalat" w:hAnsi="GHEA Grapalat"/>
                <w:webHidden/>
              </w:rPr>
              <w:tab/>
            </w:r>
            <w:r w:rsidRPr="001720A3">
              <w:rPr>
                <w:rFonts w:ascii="GHEA Grapalat" w:hAnsi="GHEA Grapalat"/>
                <w:webHidden/>
              </w:rPr>
              <w:fldChar w:fldCharType="begin"/>
            </w:r>
            <w:r w:rsidRPr="001720A3">
              <w:rPr>
                <w:rFonts w:ascii="GHEA Grapalat" w:hAnsi="GHEA Grapalat"/>
                <w:webHidden/>
              </w:rPr>
              <w:instrText xml:space="preserve"> PAGEREF _Toc140181766 \h </w:instrText>
            </w:r>
            <w:r w:rsidRPr="001720A3">
              <w:rPr>
                <w:rFonts w:ascii="GHEA Grapalat" w:hAnsi="GHEA Grapalat"/>
                <w:webHidden/>
              </w:rPr>
            </w:r>
            <w:r w:rsidRPr="001720A3">
              <w:rPr>
                <w:rFonts w:ascii="GHEA Grapalat" w:hAnsi="GHEA Grapalat"/>
                <w:webHidden/>
              </w:rPr>
              <w:fldChar w:fldCharType="separate"/>
            </w:r>
            <w:r w:rsidRPr="001720A3">
              <w:rPr>
                <w:rFonts w:ascii="GHEA Grapalat" w:hAnsi="GHEA Grapalat"/>
                <w:webHidden/>
              </w:rPr>
              <w:t>3</w:t>
            </w:r>
            <w:r w:rsidRPr="001720A3">
              <w:rPr>
                <w:rFonts w:ascii="GHEA Grapalat" w:hAnsi="GHEA Grapalat"/>
                <w:webHidden/>
              </w:rPr>
              <w:fldChar w:fldCharType="end"/>
            </w:r>
          </w:hyperlink>
        </w:p>
        <w:p w14:paraId="62C7BB4E" w14:textId="2E09F268" w:rsidR="001720A3" w:rsidRPr="001720A3" w:rsidRDefault="001720A3" w:rsidP="006423D2">
          <w:pPr>
            <w:pStyle w:val="TOC2"/>
            <w:tabs>
              <w:tab w:val="right" w:leader="dot" w:pos="10195"/>
            </w:tabs>
            <w:ind w:left="0" w:firstLine="0"/>
            <w:rPr>
              <w:rFonts w:ascii="GHEA Grapalat" w:eastAsiaTheme="minorEastAsia" w:hAnsi="GHEA Grapalat"/>
              <w:b w:val="0"/>
              <w:bCs w:val="0"/>
              <w:lang w:val="en-US"/>
            </w:rPr>
          </w:pPr>
          <w:hyperlink w:anchor="_Toc140181767" w:history="1">
            <w:r w:rsidRPr="001720A3">
              <w:rPr>
                <w:rStyle w:val="Hyperlink"/>
                <w:rFonts w:ascii="GHEA Grapalat" w:hAnsi="GHEA Grapalat"/>
              </w:rPr>
              <w:t>2. ՀԱԿԱԿՈՌՈՒՊՑԻՈՆ ՈԼՈՐՏՈՒՄ ՀԱՅԱՍՏԱՆԻ ՀԱՆՐԱՊԵՏՈՒԹՅԱՆ ՍՏԱՆՁՆԱԾ ՄԻՋԱԶԳԱՅԻՆ ՊԱՐՏԱՎՈՐՈՒԹՅՈՒՆՆԵՐԻ ԳՆԱՀԱՏԱԿԱՆԸ</w:t>
            </w:r>
            <w:r w:rsidRPr="001720A3">
              <w:rPr>
                <w:rFonts w:ascii="GHEA Grapalat" w:hAnsi="GHEA Grapalat"/>
                <w:webHidden/>
              </w:rPr>
              <w:tab/>
            </w:r>
            <w:r w:rsidRPr="001720A3">
              <w:rPr>
                <w:rFonts w:ascii="GHEA Grapalat" w:hAnsi="GHEA Grapalat"/>
                <w:webHidden/>
              </w:rPr>
              <w:fldChar w:fldCharType="begin"/>
            </w:r>
            <w:r w:rsidRPr="001720A3">
              <w:rPr>
                <w:rFonts w:ascii="GHEA Grapalat" w:hAnsi="GHEA Grapalat"/>
                <w:webHidden/>
              </w:rPr>
              <w:instrText xml:space="preserve"> PAGEREF _Toc140181767 \h </w:instrText>
            </w:r>
            <w:r w:rsidRPr="001720A3">
              <w:rPr>
                <w:rFonts w:ascii="GHEA Grapalat" w:hAnsi="GHEA Grapalat"/>
                <w:webHidden/>
              </w:rPr>
            </w:r>
            <w:r w:rsidRPr="001720A3">
              <w:rPr>
                <w:rFonts w:ascii="GHEA Grapalat" w:hAnsi="GHEA Grapalat"/>
                <w:webHidden/>
              </w:rPr>
              <w:fldChar w:fldCharType="separate"/>
            </w:r>
            <w:r w:rsidRPr="001720A3">
              <w:rPr>
                <w:rFonts w:ascii="GHEA Grapalat" w:hAnsi="GHEA Grapalat"/>
                <w:webHidden/>
              </w:rPr>
              <w:t>12</w:t>
            </w:r>
            <w:r w:rsidRPr="001720A3">
              <w:rPr>
                <w:rFonts w:ascii="GHEA Grapalat" w:hAnsi="GHEA Grapalat"/>
                <w:webHidden/>
              </w:rPr>
              <w:fldChar w:fldCharType="end"/>
            </w:r>
          </w:hyperlink>
        </w:p>
        <w:p w14:paraId="23697967" w14:textId="4B70AF15" w:rsidR="001720A3" w:rsidRPr="001720A3" w:rsidRDefault="001720A3" w:rsidP="006423D2">
          <w:pPr>
            <w:pStyle w:val="TOC2"/>
            <w:tabs>
              <w:tab w:val="right" w:leader="dot" w:pos="10195"/>
            </w:tabs>
            <w:ind w:left="0" w:firstLine="0"/>
            <w:rPr>
              <w:rFonts w:ascii="GHEA Grapalat" w:eastAsiaTheme="minorEastAsia" w:hAnsi="GHEA Grapalat"/>
              <w:b w:val="0"/>
              <w:bCs w:val="0"/>
              <w:lang w:val="en-US"/>
            </w:rPr>
          </w:pPr>
          <w:hyperlink w:anchor="_Toc140181768" w:history="1">
            <w:r w:rsidRPr="001720A3">
              <w:rPr>
                <w:rStyle w:val="Hyperlink"/>
                <w:rFonts w:ascii="GHEA Grapalat" w:hAnsi="GHEA Grapalat"/>
              </w:rPr>
              <w:t>3. ՀԱՅԱՍՏԱՆԻ ՀԱՆՐԱՊԵՏՈՒԹՅՈՒՆՈՒՄ ԿՈՌՈՒՊՑԻԱՅԻ ԸՆԿԱԼՈՒՄԸ ԵՎ ԻՐԱՎԻՃԱԿԻ ԳՆԱՀԱՏԱԿԱՆԸ</w:t>
            </w:r>
            <w:r w:rsidRPr="001720A3">
              <w:rPr>
                <w:rFonts w:ascii="GHEA Grapalat" w:hAnsi="GHEA Grapalat"/>
                <w:webHidden/>
              </w:rPr>
              <w:tab/>
            </w:r>
            <w:r w:rsidRPr="001720A3">
              <w:rPr>
                <w:rFonts w:ascii="GHEA Grapalat" w:hAnsi="GHEA Grapalat"/>
                <w:webHidden/>
              </w:rPr>
              <w:fldChar w:fldCharType="begin"/>
            </w:r>
            <w:r w:rsidRPr="001720A3">
              <w:rPr>
                <w:rFonts w:ascii="GHEA Grapalat" w:hAnsi="GHEA Grapalat"/>
                <w:webHidden/>
              </w:rPr>
              <w:instrText xml:space="preserve"> PAGEREF _Toc140181768 \h </w:instrText>
            </w:r>
            <w:r w:rsidRPr="001720A3">
              <w:rPr>
                <w:rFonts w:ascii="GHEA Grapalat" w:hAnsi="GHEA Grapalat"/>
                <w:webHidden/>
              </w:rPr>
            </w:r>
            <w:r w:rsidRPr="001720A3">
              <w:rPr>
                <w:rFonts w:ascii="GHEA Grapalat" w:hAnsi="GHEA Grapalat"/>
                <w:webHidden/>
              </w:rPr>
              <w:fldChar w:fldCharType="separate"/>
            </w:r>
            <w:r w:rsidRPr="001720A3">
              <w:rPr>
                <w:rFonts w:ascii="GHEA Grapalat" w:hAnsi="GHEA Grapalat"/>
                <w:webHidden/>
              </w:rPr>
              <w:t>18</w:t>
            </w:r>
            <w:r w:rsidRPr="001720A3">
              <w:rPr>
                <w:rFonts w:ascii="GHEA Grapalat" w:hAnsi="GHEA Grapalat"/>
                <w:webHidden/>
              </w:rPr>
              <w:fldChar w:fldCharType="end"/>
            </w:r>
          </w:hyperlink>
        </w:p>
        <w:p w14:paraId="206324A2" w14:textId="6FE6D171" w:rsidR="001720A3" w:rsidRPr="001720A3" w:rsidRDefault="001720A3" w:rsidP="006423D2">
          <w:pPr>
            <w:pStyle w:val="TOC1"/>
            <w:tabs>
              <w:tab w:val="right" w:leader="dot" w:pos="10195"/>
            </w:tabs>
            <w:ind w:firstLine="0"/>
            <w:rPr>
              <w:rFonts w:ascii="GHEA Grapalat" w:eastAsiaTheme="minorEastAsia" w:hAnsi="GHEA Grapalat"/>
              <w:b w:val="0"/>
              <w:bCs w:val="0"/>
              <w:i w:val="0"/>
              <w:iCs w:val="0"/>
              <w:sz w:val="22"/>
              <w:szCs w:val="22"/>
              <w:lang w:val="en-US"/>
            </w:rPr>
          </w:pPr>
          <w:hyperlink w:anchor="_Toc140181769" w:history="1">
            <w:r w:rsidRPr="001720A3">
              <w:rPr>
                <w:rStyle w:val="Hyperlink"/>
                <w:rFonts w:ascii="GHEA Grapalat" w:hAnsi="GHEA Grapalat"/>
                <w:i w:val="0"/>
                <w:sz w:val="22"/>
                <w:szCs w:val="22"/>
              </w:rPr>
              <w:t>ԲԱԺԻՆ II</w:t>
            </w:r>
            <w:r w:rsidRPr="001720A3">
              <w:rPr>
                <w:rStyle w:val="Hyperlink"/>
                <w:rFonts w:ascii="Cambria Math" w:eastAsia="MS Gothic" w:hAnsi="Cambria Math" w:cs="Cambria Math"/>
                <w:i w:val="0"/>
                <w:sz w:val="22"/>
                <w:szCs w:val="22"/>
              </w:rPr>
              <w:t>․</w:t>
            </w:r>
            <w:r w:rsidRPr="001720A3">
              <w:rPr>
                <w:rStyle w:val="Hyperlink"/>
                <w:rFonts w:ascii="GHEA Grapalat" w:hAnsi="GHEA Grapalat"/>
                <w:i w:val="0"/>
                <w:sz w:val="22"/>
                <w:szCs w:val="22"/>
              </w:rPr>
              <w:t xml:space="preserve"> ՀԱԿԱԿՈՌՈՒՊՑԻՈՆ ՔԱՂԱՔԱԿԱՆՈՒԹՅՈՒՆԸ 2023-2026 ԹՎԱԿԱՆՆԵՐԻՆ</w:t>
            </w:r>
            <w:r w:rsidRPr="001720A3">
              <w:rPr>
                <w:rStyle w:val="Hyperlink"/>
                <w:rFonts w:ascii="GHEA Grapalat" w:eastAsia="MS Mincho" w:hAnsi="GHEA Grapalat" w:cs="MS Mincho"/>
                <w:i w:val="0"/>
                <w:sz w:val="22"/>
                <w:szCs w:val="22"/>
              </w:rPr>
              <w:t>.</w:t>
            </w:r>
            <w:r w:rsidR="006423D2">
              <w:rPr>
                <w:rStyle w:val="Hyperlink"/>
                <w:rFonts w:ascii="GHEA Grapalat" w:eastAsia="MS Mincho" w:hAnsi="GHEA Grapalat" w:cs="MS Mincho"/>
                <w:i w:val="0"/>
                <w:sz w:val="22"/>
                <w:szCs w:val="22"/>
                <w:lang w:val="en-US"/>
              </w:rPr>
              <w:t xml:space="preserve"> </w:t>
            </w:r>
            <w:r w:rsidRPr="001720A3">
              <w:rPr>
                <w:rStyle w:val="Hyperlink"/>
                <w:rFonts w:ascii="GHEA Grapalat" w:hAnsi="GHEA Grapalat"/>
                <w:i w:val="0"/>
                <w:sz w:val="22"/>
                <w:szCs w:val="22"/>
              </w:rPr>
              <w:t xml:space="preserve">ՀԱԿԱԿՈՌՈՒՊՑԻՈՆ ՌԱԶՄԱՎԱՐՈՒԹՅԱՆ ՆՊԱՏԱԿՆԵՐԸ ԵՎ </w:t>
            </w:r>
            <w:r w:rsidRPr="001720A3">
              <w:rPr>
                <w:rStyle w:val="Hyperlink"/>
                <w:rFonts w:ascii="GHEA Grapalat" w:eastAsia="Calibri" w:hAnsi="GHEA Grapalat" w:cs="Arian AMU"/>
                <w:i w:val="0"/>
                <w:sz w:val="22"/>
                <w:szCs w:val="22"/>
              </w:rPr>
              <w:t>ՈՒՂՂՈՒԹՅՈՒՆՆԵՐԸ</w:t>
            </w:r>
            <w:r w:rsidRPr="001720A3">
              <w:rPr>
                <w:rFonts w:ascii="GHEA Grapalat" w:hAnsi="GHEA Grapalat"/>
                <w:i w:val="0"/>
                <w:webHidden/>
                <w:sz w:val="22"/>
                <w:szCs w:val="22"/>
              </w:rPr>
              <w:tab/>
            </w:r>
            <w:r w:rsidRPr="001720A3">
              <w:rPr>
                <w:rFonts w:ascii="GHEA Grapalat" w:hAnsi="GHEA Grapalat"/>
                <w:i w:val="0"/>
                <w:webHidden/>
                <w:sz w:val="22"/>
                <w:szCs w:val="22"/>
              </w:rPr>
              <w:fldChar w:fldCharType="begin"/>
            </w:r>
            <w:r w:rsidRPr="001720A3">
              <w:rPr>
                <w:rFonts w:ascii="GHEA Grapalat" w:hAnsi="GHEA Grapalat"/>
                <w:i w:val="0"/>
                <w:webHidden/>
                <w:sz w:val="22"/>
                <w:szCs w:val="22"/>
              </w:rPr>
              <w:instrText xml:space="preserve"> PAGEREF _Toc140181769 \h </w:instrText>
            </w:r>
            <w:r w:rsidRPr="001720A3">
              <w:rPr>
                <w:rFonts w:ascii="GHEA Grapalat" w:hAnsi="GHEA Grapalat"/>
                <w:i w:val="0"/>
                <w:webHidden/>
                <w:sz w:val="22"/>
                <w:szCs w:val="22"/>
              </w:rPr>
            </w:r>
            <w:r w:rsidRPr="001720A3">
              <w:rPr>
                <w:rFonts w:ascii="GHEA Grapalat" w:hAnsi="GHEA Grapalat"/>
                <w:i w:val="0"/>
                <w:webHidden/>
                <w:sz w:val="22"/>
                <w:szCs w:val="22"/>
              </w:rPr>
              <w:fldChar w:fldCharType="separate"/>
            </w:r>
            <w:r w:rsidRPr="001720A3">
              <w:rPr>
                <w:rFonts w:ascii="GHEA Grapalat" w:hAnsi="GHEA Grapalat"/>
                <w:i w:val="0"/>
                <w:webHidden/>
                <w:sz w:val="22"/>
                <w:szCs w:val="22"/>
              </w:rPr>
              <w:t>22</w:t>
            </w:r>
            <w:r w:rsidRPr="001720A3">
              <w:rPr>
                <w:rFonts w:ascii="GHEA Grapalat" w:hAnsi="GHEA Grapalat"/>
                <w:i w:val="0"/>
                <w:webHidden/>
                <w:sz w:val="22"/>
                <w:szCs w:val="22"/>
              </w:rPr>
              <w:fldChar w:fldCharType="end"/>
            </w:r>
          </w:hyperlink>
        </w:p>
        <w:p w14:paraId="168127E1" w14:textId="35EFA125" w:rsidR="001720A3" w:rsidRPr="001720A3" w:rsidRDefault="001720A3" w:rsidP="006423D2">
          <w:pPr>
            <w:pStyle w:val="TOC1"/>
            <w:tabs>
              <w:tab w:val="right" w:leader="dot" w:pos="10195"/>
            </w:tabs>
            <w:ind w:firstLine="0"/>
            <w:rPr>
              <w:rFonts w:ascii="GHEA Grapalat" w:eastAsiaTheme="minorEastAsia" w:hAnsi="GHEA Grapalat"/>
              <w:b w:val="0"/>
              <w:bCs w:val="0"/>
              <w:i w:val="0"/>
              <w:iCs w:val="0"/>
              <w:sz w:val="22"/>
              <w:szCs w:val="22"/>
              <w:lang w:val="en-US"/>
            </w:rPr>
          </w:pPr>
          <w:hyperlink w:anchor="_Toc140181770" w:history="1">
            <w:r w:rsidRPr="001720A3">
              <w:rPr>
                <w:rStyle w:val="Hyperlink"/>
                <w:rFonts w:ascii="GHEA Grapalat" w:hAnsi="GHEA Grapalat"/>
                <w:i w:val="0"/>
                <w:sz w:val="22"/>
                <w:szCs w:val="22"/>
              </w:rPr>
              <w:t>ՆՊԱՏԱԿ 1</w:t>
            </w:r>
            <w:r w:rsidRPr="001720A3">
              <w:rPr>
                <w:rStyle w:val="Hyperlink"/>
                <w:rFonts w:ascii="Cambria Math" w:eastAsia="MS Gothic" w:hAnsi="Cambria Math" w:cs="Cambria Math"/>
                <w:i w:val="0"/>
                <w:sz w:val="22"/>
                <w:szCs w:val="22"/>
              </w:rPr>
              <w:t>․</w:t>
            </w:r>
            <w:r w:rsidRPr="001720A3">
              <w:rPr>
                <w:rStyle w:val="Hyperlink"/>
                <w:rFonts w:ascii="GHEA Grapalat" w:hAnsi="GHEA Grapalat"/>
                <w:i w:val="0"/>
                <w:sz w:val="22"/>
                <w:szCs w:val="22"/>
              </w:rPr>
              <w:t xml:space="preserve"> ԿՈՌՈՒՊՑԻԱՅԻ ԿԱՆԽԱՐԳԵԼՈՒՄ</w:t>
            </w:r>
            <w:r w:rsidRPr="001720A3">
              <w:rPr>
                <w:rFonts w:ascii="GHEA Grapalat" w:hAnsi="GHEA Grapalat"/>
                <w:i w:val="0"/>
                <w:webHidden/>
                <w:sz w:val="22"/>
                <w:szCs w:val="22"/>
              </w:rPr>
              <w:tab/>
            </w:r>
            <w:r w:rsidRPr="001720A3">
              <w:rPr>
                <w:rFonts w:ascii="GHEA Grapalat" w:hAnsi="GHEA Grapalat"/>
                <w:i w:val="0"/>
                <w:webHidden/>
                <w:sz w:val="22"/>
                <w:szCs w:val="22"/>
              </w:rPr>
              <w:fldChar w:fldCharType="begin"/>
            </w:r>
            <w:r w:rsidRPr="001720A3">
              <w:rPr>
                <w:rFonts w:ascii="GHEA Grapalat" w:hAnsi="GHEA Grapalat"/>
                <w:i w:val="0"/>
                <w:webHidden/>
                <w:sz w:val="22"/>
                <w:szCs w:val="22"/>
              </w:rPr>
              <w:instrText xml:space="preserve"> PAGEREF _Toc140181770 \h </w:instrText>
            </w:r>
            <w:r w:rsidRPr="001720A3">
              <w:rPr>
                <w:rFonts w:ascii="GHEA Grapalat" w:hAnsi="GHEA Grapalat"/>
                <w:i w:val="0"/>
                <w:webHidden/>
                <w:sz w:val="22"/>
                <w:szCs w:val="22"/>
              </w:rPr>
            </w:r>
            <w:r w:rsidRPr="001720A3">
              <w:rPr>
                <w:rFonts w:ascii="GHEA Grapalat" w:hAnsi="GHEA Grapalat"/>
                <w:i w:val="0"/>
                <w:webHidden/>
                <w:sz w:val="22"/>
                <w:szCs w:val="22"/>
              </w:rPr>
              <w:fldChar w:fldCharType="separate"/>
            </w:r>
            <w:r w:rsidRPr="001720A3">
              <w:rPr>
                <w:rFonts w:ascii="GHEA Grapalat" w:hAnsi="GHEA Grapalat"/>
                <w:i w:val="0"/>
                <w:webHidden/>
                <w:sz w:val="22"/>
                <w:szCs w:val="22"/>
              </w:rPr>
              <w:t>22</w:t>
            </w:r>
            <w:r w:rsidRPr="001720A3">
              <w:rPr>
                <w:rFonts w:ascii="GHEA Grapalat" w:hAnsi="GHEA Grapalat"/>
                <w:i w:val="0"/>
                <w:webHidden/>
                <w:sz w:val="22"/>
                <w:szCs w:val="22"/>
              </w:rPr>
              <w:fldChar w:fldCharType="end"/>
            </w:r>
          </w:hyperlink>
        </w:p>
        <w:p w14:paraId="73E3B216" w14:textId="38E15C3A" w:rsidR="001720A3" w:rsidRPr="001720A3" w:rsidRDefault="001720A3" w:rsidP="006423D2">
          <w:pPr>
            <w:pStyle w:val="TOC1"/>
            <w:tabs>
              <w:tab w:val="right" w:leader="dot" w:pos="10195"/>
            </w:tabs>
            <w:ind w:firstLine="0"/>
            <w:rPr>
              <w:rFonts w:ascii="GHEA Grapalat" w:eastAsiaTheme="minorEastAsia" w:hAnsi="GHEA Grapalat"/>
              <w:b w:val="0"/>
              <w:bCs w:val="0"/>
              <w:i w:val="0"/>
              <w:iCs w:val="0"/>
              <w:sz w:val="22"/>
              <w:szCs w:val="22"/>
              <w:lang w:val="en-US"/>
            </w:rPr>
          </w:pPr>
          <w:hyperlink w:anchor="_Toc140181771" w:history="1">
            <w:r w:rsidRPr="001720A3">
              <w:rPr>
                <w:rStyle w:val="Hyperlink"/>
                <w:rFonts w:ascii="GHEA Grapalat" w:hAnsi="GHEA Grapalat"/>
                <w:i w:val="0"/>
                <w:sz w:val="22"/>
                <w:szCs w:val="22"/>
              </w:rPr>
              <w:t>ՆՊԱՏԱԿ 2. ԿՈՌՈՒՊՑԻԱՅԻ ՀԱԿԱԶԴՈՒՄ</w:t>
            </w:r>
            <w:r w:rsidRPr="001720A3">
              <w:rPr>
                <w:rFonts w:ascii="GHEA Grapalat" w:hAnsi="GHEA Grapalat"/>
                <w:i w:val="0"/>
                <w:webHidden/>
                <w:sz w:val="22"/>
                <w:szCs w:val="22"/>
              </w:rPr>
              <w:tab/>
            </w:r>
            <w:r w:rsidRPr="001720A3">
              <w:rPr>
                <w:rFonts w:ascii="GHEA Grapalat" w:hAnsi="GHEA Grapalat"/>
                <w:i w:val="0"/>
                <w:webHidden/>
                <w:sz w:val="22"/>
                <w:szCs w:val="22"/>
              </w:rPr>
              <w:fldChar w:fldCharType="begin"/>
            </w:r>
            <w:r w:rsidRPr="001720A3">
              <w:rPr>
                <w:rFonts w:ascii="GHEA Grapalat" w:hAnsi="GHEA Grapalat"/>
                <w:i w:val="0"/>
                <w:webHidden/>
                <w:sz w:val="22"/>
                <w:szCs w:val="22"/>
              </w:rPr>
              <w:instrText xml:space="preserve"> PAGEREF _Toc140181771 \h </w:instrText>
            </w:r>
            <w:r w:rsidRPr="001720A3">
              <w:rPr>
                <w:rFonts w:ascii="GHEA Grapalat" w:hAnsi="GHEA Grapalat"/>
                <w:i w:val="0"/>
                <w:webHidden/>
                <w:sz w:val="22"/>
                <w:szCs w:val="22"/>
              </w:rPr>
            </w:r>
            <w:r w:rsidRPr="001720A3">
              <w:rPr>
                <w:rFonts w:ascii="GHEA Grapalat" w:hAnsi="GHEA Grapalat"/>
                <w:i w:val="0"/>
                <w:webHidden/>
                <w:sz w:val="22"/>
                <w:szCs w:val="22"/>
              </w:rPr>
              <w:fldChar w:fldCharType="separate"/>
            </w:r>
            <w:r w:rsidRPr="001720A3">
              <w:rPr>
                <w:rFonts w:ascii="GHEA Grapalat" w:hAnsi="GHEA Grapalat"/>
                <w:i w:val="0"/>
                <w:webHidden/>
                <w:sz w:val="22"/>
                <w:szCs w:val="22"/>
              </w:rPr>
              <w:t>35</w:t>
            </w:r>
            <w:r w:rsidRPr="001720A3">
              <w:rPr>
                <w:rFonts w:ascii="GHEA Grapalat" w:hAnsi="GHEA Grapalat"/>
                <w:i w:val="0"/>
                <w:webHidden/>
                <w:sz w:val="22"/>
                <w:szCs w:val="22"/>
              </w:rPr>
              <w:fldChar w:fldCharType="end"/>
            </w:r>
          </w:hyperlink>
        </w:p>
        <w:p w14:paraId="0133DD8C" w14:textId="16E9FAEB" w:rsidR="001720A3" w:rsidRPr="001720A3" w:rsidRDefault="001720A3" w:rsidP="006423D2">
          <w:pPr>
            <w:pStyle w:val="TOC1"/>
            <w:tabs>
              <w:tab w:val="right" w:leader="dot" w:pos="10195"/>
            </w:tabs>
            <w:ind w:firstLine="0"/>
            <w:rPr>
              <w:rFonts w:ascii="GHEA Grapalat" w:eastAsiaTheme="minorEastAsia" w:hAnsi="GHEA Grapalat"/>
              <w:b w:val="0"/>
              <w:bCs w:val="0"/>
              <w:i w:val="0"/>
              <w:iCs w:val="0"/>
              <w:sz w:val="22"/>
              <w:szCs w:val="22"/>
              <w:lang w:val="en-US"/>
            </w:rPr>
          </w:pPr>
          <w:hyperlink w:anchor="_Toc140181772" w:history="1">
            <w:r w:rsidRPr="001720A3">
              <w:rPr>
                <w:rStyle w:val="Hyperlink"/>
                <w:rFonts w:ascii="GHEA Grapalat" w:eastAsia="Calibri" w:hAnsi="GHEA Grapalat" w:cs="Sylfaen"/>
                <w:i w:val="0"/>
                <w:sz w:val="22"/>
                <w:szCs w:val="22"/>
              </w:rPr>
              <w:t>ՆՊԱՏԱԿ 3</w:t>
            </w:r>
            <w:r w:rsidRPr="001720A3">
              <w:rPr>
                <w:rStyle w:val="Hyperlink"/>
                <w:rFonts w:ascii="Cambria Math" w:eastAsia="MS Gothic" w:hAnsi="Cambria Math" w:cs="Cambria Math"/>
                <w:i w:val="0"/>
                <w:sz w:val="22"/>
                <w:szCs w:val="22"/>
              </w:rPr>
              <w:t>․</w:t>
            </w:r>
            <w:r w:rsidRPr="001720A3">
              <w:rPr>
                <w:rStyle w:val="Hyperlink"/>
                <w:rFonts w:ascii="GHEA Grapalat" w:eastAsia="Calibri" w:hAnsi="GHEA Grapalat" w:cs="Sylfaen"/>
                <w:i w:val="0"/>
                <w:sz w:val="22"/>
                <w:szCs w:val="22"/>
              </w:rPr>
              <w:t xml:space="preserve"> ՀԱԿԱԿՈՌՈՒՊՑԻՈՆ ԿՐԹՈՒԹՅՈՒՆ ԵՎ  ՀԱՆՐԱՅԻՆ ԻՐԱԶԵԿՈՒՄ</w:t>
            </w:r>
            <w:r w:rsidRPr="001720A3">
              <w:rPr>
                <w:rFonts w:ascii="GHEA Grapalat" w:hAnsi="GHEA Grapalat"/>
                <w:i w:val="0"/>
                <w:webHidden/>
                <w:sz w:val="22"/>
                <w:szCs w:val="22"/>
              </w:rPr>
              <w:tab/>
            </w:r>
            <w:r w:rsidRPr="001720A3">
              <w:rPr>
                <w:rFonts w:ascii="GHEA Grapalat" w:hAnsi="GHEA Grapalat"/>
                <w:i w:val="0"/>
                <w:webHidden/>
                <w:sz w:val="22"/>
                <w:szCs w:val="22"/>
              </w:rPr>
              <w:fldChar w:fldCharType="begin"/>
            </w:r>
            <w:r w:rsidRPr="001720A3">
              <w:rPr>
                <w:rFonts w:ascii="GHEA Grapalat" w:hAnsi="GHEA Grapalat"/>
                <w:i w:val="0"/>
                <w:webHidden/>
                <w:sz w:val="22"/>
                <w:szCs w:val="22"/>
              </w:rPr>
              <w:instrText xml:space="preserve"> PAGEREF _Toc140181772 \h </w:instrText>
            </w:r>
            <w:r w:rsidRPr="001720A3">
              <w:rPr>
                <w:rFonts w:ascii="GHEA Grapalat" w:hAnsi="GHEA Grapalat"/>
                <w:i w:val="0"/>
                <w:webHidden/>
                <w:sz w:val="22"/>
                <w:szCs w:val="22"/>
              </w:rPr>
            </w:r>
            <w:r w:rsidRPr="001720A3">
              <w:rPr>
                <w:rFonts w:ascii="GHEA Grapalat" w:hAnsi="GHEA Grapalat"/>
                <w:i w:val="0"/>
                <w:webHidden/>
                <w:sz w:val="22"/>
                <w:szCs w:val="22"/>
              </w:rPr>
              <w:fldChar w:fldCharType="separate"/>
            </w:r>
            <w:r w:rsidRPr="001720A3">
              <w:rPr>
                <w:rFonts w:ascii="GHEA Grapalat" w:hAnsi="GHEA Grapalat"/>
                <w:i w:val="0"/>
                <w:webHidden/>
                <w:sz w:val="22"/>
                <w:szCs w:val="22"/>
              </w:rPr>
              <w:t>47</w:t>
            </w:r>
            <w:r w:rsidRPr="001720A3">
              <w:rPr>
                <w:rFonts w:ascii="GHEA Grapalat" w:hAnsi="GHEA Grapalat"/>
                <w:i w:val="0"/>
                <w:webHidden/>
                <w:sz w:val="22"/>
                <w:szCs w:val="22"/>
              </w:rPr>
              <w:fldChar w:fldCharType="end"/>
            </w:r>
          </w:hyperlink>
        </w:p>
        <w:p w14:paraId="3DC6F889" w14:textId="2B33F77B" w:rsidR="001720A3" w:rsidRPr="001720A3" w:rsidRDefault="001720A3" w:rsidP="006423D2">
          <w:pPr>
            <w:pStyle w:val="TOC1"/>
            <w:tabs>
              <w:tab w:val="right" w:leader="dot" w:pos="10195"/>
            </w:tabs>
            <w:ind w:firstLine="0"/>
            <w:rPr>
              <w:rFonts w:ascii="GHEA Grapalat" w:eastAsiaTheme="minorEastAsia" w:hAnsi="GHEA Grapalat"/>
              <w:b w:val="0"/>
              <w:bCs w:val="0"/>
              <w:i w:val="0"/>
              <w:iCs w:val="0"/>
              <w:sz w:val="22"/>
              <w:szCs w:val="22"/>
              <w:lang w:val="en-US"/>
            </w:rPr>
          </w:pPr>
          <w:hyperlink w:anchor="_Toc140181773" w:history="1">
            <w:r w:rsidRPr="001720A3">
              <w:rPr>
                <w:rStyle w:val="Hyperlink"/>
                <w:rFonts w:ascii="GHEA Grapalat" w:hAnsi="GHEA Grapalat"/>
                <w:i w:val="0"/>
                <w:sz w:val="22"/>
                <w:szCs w:val="22"/>
              </w:rPr>
              <w:t xml:space="preserve">ՆՊԱՏԱԿ 4. </w:t>
            </w:r>
            <w:r w:rsidRPr="001720A3">
              <w:rPr>
                <w:rStyle w:val="Hyperlink"/>
                <w:rFonts w:ascii="GHEA Grapalat" w:hAnsi="GHEA Grapalat"/>
                <w:i w:val="0"/>
                <w:position w:val="1"/>
                <w:sz w:val="22"/>
                <w:szCs w:val="22"/>
              </w:rPr>
              <w:t xml:space="preserve"> </w:t>
            </w:r>
            <w:r w:rsidRPr="001720A3">
              <w:rPr>
                <w:rStyle w:val="Hyperlink"/>
                <w:rFonts w:ascii="GHEA Grapalat" w:hAnsi="GHEA Grapalat"/>
                <w:i w:val="0"/>
                <w:sz w:val="22"/>
                <w:szCs w:val="22"/>
              </w:rPr>
              <w:t xml:space="preserve">ԳՈՐԾԱՐԱՐ </w:t>
            </w:r>
            <w:r w:rsidRPr="001720A3">
              <w:rPr>
                <w:rStyle w:val="Hyperlink"/>
                <w:rFonts w:ascii="GHEA Grapalat" w:hAnsi="GHEA Grapalat"/>
                <w:i w:val="0"/>
                <w:sz w:val="22"/>
                <w:szCs w:val="22"/>
                <w:lang w:val="x-none"/>
              </w:rPr>
              <w:t>ԲԱՐԵՎԱՐՔՈՒԹՅՈՒՆ,  ԳՈՐԾԱՐԱՐ ԻՐԱՎՈՒՆՔՆԵՐԻ ՊԱՇՏՊԱՆՈՒԹՅՈՒՆ ԵՎ ՊԵՏՈՒԹՅՈՒՆ-ԳՈՐԾԱՐԱՐ ՎԱՐՉԱՐԱՐՈԻԹՅԱՆ ԴՅՈՒՐԱՑՈՒՄ</w:t>
            </w:r>
            <w:r w:rsidRPr="001720A3">
              <w:rPr>
                <w:rFonts w:ascii="GHEA Grapalat" w:hAnsi="GHEA Grapalat"/>
                <w:i w:val="0"/>
                <w:webHidden/>
                <w:sz w:val="22"/>
                <w:szCs w:val="22"/>
              </w:rPr>
              <w:tab/>
            </w:r>
            <w:r w:rsidRPr="001720A3">
              <w:rPr>
                <w:rFonts w:ascii="GHEA Grapalat" w:hAnsi="GHEA Grapalat"/>
                <w:i w:val="0"/>
                <w:webHidden/>
                <w:sz w:val="22"/>
                <w:szCs w:val="22"/>
              </w:rPr>
              <w:fldChar w:fldCharType="begin"/>
            </w:r>
            <w:r w:rsidRPr="001720A3">
              <w:rPr>
                <w:rFonts w:ascii="GHEA Grapalat" w:hAnsi="GHEA Grapalat"/>
                <w:i w:val="0"/>
                <w:webHidden/>
                <w:sz w:val="22"/>
                <w:szCs w:val="22"/>
              </w:rPr>
              <w:instrText xml:space="preserve"> PAGEREF _Toc140181773 \h </w:instrText>
            </w:r>
            <w:r w:rsidRPr="001720A3">
              <w:rPr>
                <w:rFonts w:ascii="GHEA Grapalat" w:hAnsi="GHEA Grapalat"/>
                <w:i w:val="0"/>
                <w:webHidden/>
                <w:sz w:val="22"/>
                <w:szCs w:val="22"/>
              </w:rPr>
            </w:r>
            <w:r w:rsidRPr="001720A3">
              <w:rPr>
                <w:rFonts w:ascii="GHEA Grapalat" w:hAnsi="GHEA Grapalat"/>
                <w:i w:val="0"/>
                <w:webHidden/>
                <w:sz w:val="22"/>
                <w:szCs w:val="22"/>
              </w:rPr>
              <w:fldChar w:fldCharType="separate"/>
            </w:r>
            <w:r w:rsidRPr="001720A3">
              <w:rPr>
                <w:rFonts w:ascii="GHEA Grapalat" w:hAnsi="GHEA Grapalat"/>
                <w:i w:val="0"/>
                <w:webHidden/>
                <w:sz w:val="22"/>
                <w:szCs w:val="22"/>
              </w:rPr>
              <w:t>54</w:t>
            </w:r>
            <w:r w:rsidRPr="001720A3">
              <w:rPr>
                <w:rFonts w:ascii="GHEA Grapalat" w:hAnsi="GHEA Grapalat"/>
                <w:i w:val="0"/>
                <w:webHidden/>
                <w:sz w:val="22"/>
                <w:szCs w:val="22"/>
              </w:rPr>
              <w:fldChar w:fldCharType="end"/>
            </w:r>
          </w:hyperlink>
        </w:p>
        <w:p w14:paraId="15396DD9" w14:textId="14216934" w:rsidR="001720A3" w:rsidRPr="001720A3" w:rsidRDefault="001720A3" w:rsidP="006423D2">
          <w:pPr>
            <w:pStyle w:val="TOC1"/>
            <w:tabs>
              <w:tab w:val="right" w:leader="dot" w:pos="10195"/>
            </w:tabs>
            <w:ind w:firstLine="0"/>
            <w:rPr>
              <w:rFonts w:ascii="GHEA Grapalat" w:eastAsiaTheme="minorEastAsia" w:hAnsi="GHEA Grapalat"/>
              <w:b w:val="0"/>
              <w:bCs w:val="0"/>
              <w:i w:val="0"/>
              <w:iCs w:val="0"/>
              <w:sz w:val="22"/>
              <w:szCs w:val="22"/>
              <w:lang w:val="en-US"/>
            </w:rPr>
          </w:pPr>
          <w:hyperlink w:anchor="_Toc140181774" w:history="1">
            <w:r w:rsidRPr="001720A3">
              <w:rPr>
                <w:rStyle w:val="Hyperlink"/>
                <w:rFonts w:ascii="GHEA Grapalat" w:hAnsi="GHEA Grapalat"/>
                <w:i w:val="0"/>
                <w:sz w:val="22"/>
                <w:szCs w:val="22"/>
              </w:rPr>
              <w:t>ՆՊԱՏԱԿ 5</w:t>
            </w:r>
            <w:r w:rsidRPr="001720A3">
              <w:rPr>
                <w:rStyle w:val="Hyperlink"/>
                <w:rFonts w:ascii="Cambria Math" w:eastAsia="MS Gothic" w:hAnsi="Cambria Math" w:cs="Cambria Math"/>
                <w:i w:val="0"/>
                <w:sz w:val="22"/>
                <w:szCs w:val="22"/>
              </w:rPr>
              <w:t>․</w:t>
            </w:r>
            <w:r w:rsidRPr="001720A3">
              <w:rPr>
                <w:rStyle w:val="Hyperlink"/>
                <w:rFonts w:ascii="GHEA Grapalat" w:hAnsi="GHEA Grapalat"/>
                <w:i w:val="0"/>
                <w:sz w:val="22"/>
                <w:szCs w:val="22"/>
              </w:rPr>
              <w:t xml:space="preserve"> ՀԱԿԱԿՈՌՈՒՊՑԻՈՆ ՄՈՆԻԹՈՐԻՆԳԻ ԵՎ ԳՆԱՀԱՏՄԱՆ ՀԱՄԱԿԱՐԳԻ ԿԱՏԱՐԵԼԱԳՈՐԾՈՒՄ</w:t>
            </w:r>
            <w:r w:rsidRPr="001720A3">
              <w:rPr>
                <w:rFonts w:ascii="GHEA Grapalat" w:hAnsi="GHEA Grapalat"/>
                <w:i w:val="0"/>
                <w:webHidden/>
                <w:sz w:val="22"/>
                <w:szCs w:val="22"/>
              </w:rPr>
              <w:tab/>
            </w:r>
            <w:r w:rsidRPr="001720A3">
              <w:rPr>
                <w:rFonts w:ascii="GHEA Grapalat" w:hAnsi="GHEA Grapalat"/>
                <w:i w:val="0"/>
                <w:webHidden/>
                <w:sz w:val="22"/>
                <w:szCs w:val="22"/>
              </w:rPr>
              <w:fldChar w:fldCharType="begin"/>
            </w:r>
            <w:r w:rsidRPr="001720A3">
              <w:rPr>
                <w:rFonts w:ascii="GHEA Grapalat" w:hAnsi="GHEA Grapalat"/>
                <w:i w:val="0"/>
                <w:webHidden/>
                <w:sz w:val="22"/>
                <w:szCs w:val="22"/>
              </w:rPr>
              <w:instrText xml:space="preserve"> PAGEREF _Toc140181774 \h </w:instrText>
            </w:r>
            <w:r w:rsidRPr="001720A3">
              <w:rPr>
                <w:rFonts w:ascii="GHEA Grapalat" w:hAnsi="GHEA Grapalat"/>
                <w:i w:val="0"/>
                <w:webHidden/>
                <w:sz w:val="22"/>
                <w:szCs w:val="22"/>
              </w:rPr>
            </w:r>
            <w:r w:rsidRPr="001720A3">
              <w:rPr>
                <w:rFonts w:ascii="GHEA Grapalat" w:hAnsi="GHEA Grapalat"/>
                <w:i w:val="0"/>
                <w:webHidden/>
                <w:sz w:val="22"/>
                <w:szCs w:val="22"/>
              </w:rPr>
              <w:fldChar w:fldCharType="separate"/>
            </w:r>
            <w:r w:rsidRPr="001720A3">
              <w:rPr>
                <w:rFonts w:ascii="GHEA Grapalat" w:hAnsi="GHEA Grapalat"/>
                <w:i w:val="0"/>
                <w:webHidden/>
                <w:sz w:val="22"/>
                <w:szCs w:val="22"/>
              </w:rPr>
              <w:t>68</w:t>
            </w:r>
            <w:r w:rsidRPr="001720A3">
              <w:rPr>
                <w:rFonts w:ascii="GHEA Grapalat" w:hAnsi="GHEA Grapalat"/>
                <w:i w:val="0"/>
                <w:webHidden/>
                <w:sz w:val="22"/>
                <w:szCs w:val="22"/>
              </w:rPr>
              <w:fldChar w:fldCharType="end"/>
            </w:r>
          </w:hyperlink>
        </w:p>
        <w:p w14:paraId="5737E71C" w14:textId="6CB5AD4E" w:rsidR="001720A3" w:rsidRDefault="001720A3" w:rsidP="006423D2">
          <w:pPr>
            <w:pStyle w:val="TOC1"/>
            <w:tabs>
              <w:tab w:val="right" w:leader="dot" w:pos="10195"/>
            </w:tabs>
            <w:ind w:firstLine="0"/>
            <w:rPr>
              <w:rFonts w:eastAsiaTheme="minorEastAsia"/>
              <w:b w:val="0"/>
              <w:bCs w:val="0"/>
              <w:i w:val="0"/>
              <w:iCs w:val="0"/>
              <w:sz w:val="22"/>
              <w:szCs w:val="22"/>
              <w:lang w:val="en-US"/>
            </w:rPr>
          </w:pPr>
          <w:hyperlink w:anchor="_Toc140181775" w:history="1">
            <w:r w:rsidRPr="001720A3">
              <w:rPr>
                <w:rStyle w:val="Hyperlink"/>
                <w:rFonts w:ascii="GHEA Grapalat" w:hAnsi="GHEA Grapalat"/>
                <w:i w:val="0"/>
                <w:sz w:val="22"/>
                <w:szCs w:val="22"/>
              </w:rPr>
              <w:t>ԲԱԺԻՆ IV</w:t>
            </w:r>
            <w:r w:rsidRPr="001720A3">
              <w:rPr>
                <w:rStyle w:val="Hyperlink"/>
                <w:rFonts w:ascii="Cambria Math" w:eastAsia="MS Gothic" w:hAnsi="Cambria Math" w:cs="Cambria Math"/>
                <w:i w:val="0"/>
                <w:sz w:val="22"/>
                <w:szCs w:val="22"/>
              </w:rPr>
              <w:t>․</w:t>
            </w:r>
            <w:r w:rsidRPr="001720A3">
              <w:rPr>
                <w:rStyle w:val="Hyperlink"/>
                <w:rFonts w:ascii="GHEA Grapalat" w:hAnsi="GHEA Grapalat"/>
                <w:i w:val="0"/>
                <w:sz w:val="22"/>
                <w:szCs w:val="22"/>
              </w:rPr>
              <w:t xml:space="preserve"> ՀԱԿԱԿՈՌՈՒՊՑԻՈՆ ՌԱԶՄԱՎԱՐՈՒԹՅԱՆ ԵՎ ԻՐԱԿԱՆԱՑՄԱՆ 2023-2026ԹԹ</w:t>
            </w:r>
            <w:r w:rsidRPr="001720A3">
              <w:rPr>
                <w:rStyle w:val="Hyperlink"/>
                <w:rFonts w:ascii="Cambria Math" w:eastAsia="MS Gothic" w:hAnsi="Cambria Math" w:cs="Cambria Math"/>
                <w:i w:val="0"/>
                <w:sz w:val="22"/>
                <w:szCs w:val="22"/>
              </w:rPr>
              <w:t>․</w:t>
            </w:r>
            <w:r w:rsidRPr="001720A3">
              <w:rPr>
                <w:rStyle w:val="Hyperlink"/>
                <w:rFonts w:ascii="GHEA Grapalat" w:hAnsi="GHEA Grapalat"/>
                <w:i w:val="0"/>
                <w:sz w:val="22"/>
                <w:szCs w:val="22"/>
              </w:rPr>
              <w:t xml:space="preserve"> ՄԻՋՈՑԱՌՈՒՄՆԵՐԻ ԾՐԱԳՐԻ ԾԱԽՍԵՐԻ ՖԻՆԱՆՍԱԿԱՆ ԳՆԱՀԱՏԱԿԱՆԸ</w:t>
            </w:r>
            <w:r w:rsidRPr="001720A3">
              <w:rPr>
                <w:rFonts w:ascii="GHEA Grapalat" w:hAnsi="GHEA Grapalat"/>
                <w:i w:val="0"/>
                <w:webHidden/>
                <w:sz w:val="22"/>
                <w:szCs w:val="22"/>
              </w:rPr>
              <w:tab/>
            </w:r>
            <w:r w:rsidRPr="001720A3">
              <w:rPr>
                <w:rFonts w:ascii="GHEA Grapalat" w:hAnsi="GHEA Grapalat"/>
                <w:i w:val="0"/>
                <w:webHidden/>
                <w:sz w:val="22"/>
                <w:szCs w:val="22"/>
              </w:rPr>
              <w:fldChar w:fldCharType="begin"/>
            </w:r>
            <w:r w:rsidRPr="001720A3">
              <w:rPr>
                <w:rFonts w:ascii="GHEA Grapalat" w:hAnsi="GHEA Grapalat"/>
                <w:i w:val="0"/>
                <w:webHidden/>
                <w:sz w:val="22"/>
                <w:szCs w:val="22"/>
              </w:rPr>
              <w:instrText xml:space="preserve"> PAGEREF _Toc140181775 \h </w:instrText>
            </w:r>
            <w:r w:rsidRPr="001720A3">
              <w:rPr>
                <w:rFonts w:ascii="GHEA Grapalat" w:hAnsi="GHEA Grapalat"/>
                <w:i w:val="0"/>
                <w:webHidden/>
                <w:sz w:val="22"/>
                <w:szCs w:val="22"/>
              </w:rPr>
            </w:r>
            <w:r w:rsidRPr="001720A3">
              <w:rPr>
                <w:rFonts w:ascii="GHEA Grapalat" w:hAnsi="GHEA Grapalat"/>
                <w:i w:val="0"/>
                <w:webHidden/>
                <w:sz w:val="22"/>
                <w:szCs w:val="22"/>
              </w:rPr>
              <w:fldChar w:fldCharType="separate"/>
            </w:r>
            <w:r w:rsidRPr="001720A3">
              <w:rPr>
                <w:rFonts w:ascii="GHEA Grapalat" w:hAnsi="GHEA Grapalat"/>
                <w:i w:val="0"/>
                <w:webHidden/>
                <w:sz w:val="22"/>
                <w:szCs w:val="22"/>
              </w:rPr>
              <w:t>81</w:t>
            </w:r>
            <w:r w:rsidRPr="001720A3">
              <w:rPr>
                <w:rFonts w:ascii="GHEA Grapalat" w:hAnsi="GHEA Grapalat"/>
                <w:i w:val="0"/>
                <w:webHidden/>
                <w:sz w:val="22"/>
                <w:szCs w:val="22"/>
              </w:rPr>
              <w:fldChar w:fldCharType="end"/>
            </w:r>
          </w:hyperlink>
        </w:p>
        <w:p w14:paraId="74330B9D" w14:textId="5A790E98" w:rsidR="00EA70C4" w:rsidRPr="00E04728" w:rsidRDefault="00EA70C4" w:rsidP="00FB46C4">
          <w:pPr>
            <w:spacing w:line="276" w:lineRule="auto"/>
            <w:jc w:val="left"/>
          </w:pPr>
          <w:r w:rsidRPr="00E04728">
            <w:rPr>
              <w:b/>
              <w:sz w:val="22"/>
              <w:szCs w:val="22"/>
            </w:rPr>
            <w:fldChar w:fldCharType="end"/>
          </w:r>
        </w:p>
      </w:sdtContent>
    </w:sdt>
    <w:p w14:paraId="6A8C99B8" w14:textId="1E314F12" w:rsidR="00A04C22" w:rsidRPr="00E04728" w:rsidRDefault="00EA70C4" w:rsidP="00FB46C4">
      <w:pPr>
        <w:spacing w:line="276" w:lineRule="auto"/>
        <w:jc w:val="left"/>
        <w:rPr>
          <w:b/>
          <w:color w:val="000000" w:themeColor="text1"/>
        </w:rPr>
      </w:pPr>
      <w:r w:rsidRPr="00E04728">
        <w:rPr>
          <w:b/>
          <w:color w:val="000000" w:themeColor="text1"/>
        </w:rPr>
        <w:br w:type="page"/>
      </w:r>
    </w:p>
    <w:p w14:paraId="6593F8DC" w14:textId="426361B4" w:rsidR="00691560" w:rsidRPr="00E04728" w:rsidRDefault="00A04C22" w:rsidP="00C876F5">
      <w:pPr>
        <w:pStyle w:val="Heading1"/>
        <w:jc w:val="center"/>
        <w:rPr>
          <w:rFonts w:ascii="GHEA Grapalat" w:hAnsi="GHEA Grapalat"/>
          <w:b/>
          <w:color w:val="000000" w:themeColor="text1"/>
          <w:sz w:val="24"/>
          <w:szCs w:val="24"/>
        </w:rPr>
      </w:pPr>
      <w:bookmarkStart w:id="1" w:name="_Toc135078487"/>
      <w:bookmarkStart w:id="2" w:name="_Toc140181765"/>
      <w:r w:rsidRPr="00E04728">
        <w:rPr>
          <w:rFonts w:ascii="GHEA Grapalat" w:hAnsi="GHEA Grapalat"/>
          <w:b/>
          <w:color w:val="000000" w:themeColor="text1"/>
          <w:sz w:val="24"/>
          <w:szCs w:val="24"/>
        </w:rPr>
        <w:lastRenderedPageBreak/>
        <w:t>ԲԱԺԻՆ I</w:t>
      </w:r>
      <w:r w:rsidRPr="00E04728">
        <w:rPr>
          <w:rFonts w:ascii="MS Mincho" w:eastAsia="MS Mincho" w:hAnsi="MS Mincho" w:cs="MS Mincho" w:hint="eastAsia"/>
          <w:b/>
          <w:color w:val="000000" w:themeColor="text1"/>
          <w:sz w:val="24"/>
          <w:szCs w:val="24"/>
        </w:rPr>
        <w:t>․</w:t>
      </w:r>
      <w:r w:rsidRPr="00E04728">
        <w:rPr>
          <w:rFonts w:ascii="GHEA Grapalat" w:hAnsi="GHEA Grapalat"/>
          <w:b/>
          <w:color w:val="000000" w:themeColor="text1"/>
          <w:sz w:val="24"/>
          <w:szCs w:val="24"/>
        </w:rPr>
        <w:t xml:space="preserve"> ՀԱԿԱԿՈՌՈՒՊՑԻՈՆ ՔԱՂԱՔԱԿԱՆՈՒԹՅԱՆ ԸՆԹԱՑԻԿ ԻՐԱՎԻՃԱԿԸ</w:t>
      </w:r>
      <w:bookmarkEnd w:id="1"/>
      <w:bookmarkEnd w:id="2"/>
    </w:p>
    <w:p w14:paraId="79A80FA1" w14:textId="77777777" w:rsidR="00CD0E7D" w:rsidRPr="00E04728" w:rsidRDefault="00CD0E7D" w:rsidP="005A7586">
      <w:pPr>
        <w:spacing w:line="276" w:lineRule="auto"/>
        <w:jc w:val="center"/>
        <w:rPr>
          <w:b/>
        </w:rPr>
      </w:pPr>
    </w:p>
    <w:p w14:paraId="1D624BB1" w14:textId="1A729D13" w:rsidR="00A2382C" w:rsidRPr="00E04728" w:rsidRDefault="00B61B59" w:rsidP="00B61B59">
      <w:pPr>
        <w:spacing w:line="276" w:lineRule="auto"/>
      </w:pPr>
      <w:r>
        <w:t>Կ</w:t>
      </w:r>
      <w:r w:rsidR="00A2382C" w:rsidRPr="00E04728">
        <w:t>ոռուպցիայի նկատմամբ հասարակական անհանդուրժողականությունն ամրապնդելու, իրավունքի գերակայությամբ, մարդու իրավունքների պաշտպանության երաշխիքներով ապահովված երկիր ունենալու շարժառիթը պահանջում է կոռուպցիայի դեմ պայքարը որպես գերակա ուղղություն հռչակելու հաստատապես ձևակերպված կամք և վճռականություն:</w:t>
      </w:r>
    </w:p>
    <w:p w14:paraId="11B2F34C" w14:textId="110FAD9F" w:rsidR="00272737" w:rsidRPr="00E04728" w:rsidRDefault="00A2382C" w:rsidP="00FB46C4">
      <w:pPr>
        <w:spacing w:line="276" w:lineRule="auto"/>
      </w:pPr>
      <w:r w:rsidRPr="00E04728">
        <w:t>Վերոգրյալ հրամայականների արդյունքում ՀՀ Կառավարությունը 2019 թվականի հոկտեմբերի 3-ին հաստատեց ՀՀ հակակոռուպցիոն ռազմավարությունը և դրա իրականացման 2019-2022 թվականների միջոցառումների ծրագիրը, որի հիմնական նպատակը կոռուպցիայի դեմ պայքարի ոլորտում ՀՀ Կառավարության հռչակած հայեցակարգային կանխադրույթների ու սկզբունքների հետևողական կենսագործումն էր</w:t>
      </w:r>
      <w:r w:rsidR="00272737" w:rsidRPr="00E04728">
        <w:t>:</w:t>
      </w:r>
    </w:p>
    <w:p w14:paraId="40A60A49" w14:textId="77EEE862" w:rsidR="00737428" w:rsidRPr="00E04728" w:rsidRDefault="00737428" w:rsidP="00FB46C4">
      <w:pPr>
        <w:spacing w:line="276" w:lineRule="auto"/>
      </w:pPr>
      <w:r w:rsidRPr="00E04728">
        <w:t>Հավատարիմ մնալով վերոնշյալ նպատակների իրականացմանը ՀՀ կառավարությունը իր գործունեության 2021-2026թթ</w:t>
      </w:r>
      <w:r w:rsidRPr="00E04728">
        <w:rPr>
          <w:rFonts w:ascii="MS Mincho" w:eastAsia="MS Mincho" w:hAnsi="MS Mincho" w:cs="MS Mincho" w:hint="eastAsia"/>
        </w:rPr>
        <w:t>․</w:t>
      </w:r>
      <w:r w:rsidRPr="00E04728">
        <w:t xml:space="preserve"> ծրագրի շրջանակներում վճռական է բոլոր շահագրգիռ կողմերի ներգրավմամբ անզիջում պայքար մղելու կոռուպցիայի դեմ՝ վերջնականապես արմատախիլ անելու կոռուպցիոն հիմնական դրսևորումները</w:t>
      </w:r>
      <w:r w:rsidRPr="00E04728">
        <w:rPr>
          <w:rStyle w:val="FootnoteReference"/>
        </w:rPr>
        <w:footnoteReference w:id="2"/>
      </w:r>
      <w:r w:rsidRPr="00E04728">
        <w:t>։</w:t>
      </w:r>
    </w:p>
    <w:p w14:paraId="7D621B0B" w14:textId="77777777" w:rsidR="00CD0E7D" w:rsidRPr="00E04728" w:rsidRDefault="00CD0E7D" w:rsidP="00FB46C4">
      <w:pPr>
        <w:pStyle w:val="Heading2"/>
        <w:spacing w:before="0" w:line="276" w:lineRule="auto"/>
        <w:rPr>
          <w:rFonts w:ascii="GHEA Grapalat" w:hAnsi="GHEA Grapalat"/>
          <w:b/>
          <w:color w:val="auto"/>
          <w:sz w:val="24"/>
        </w:rPr>
      </w:pPr>
      <w:bookmarkStart w:id="3" w:name="_Toc135081419"/>
    </w:p>
    <w:p w14:paraId="15D80BE2" w14:textId="63E28F72" w:rsidR="00A2382C" w:rsidRPr="00E04728" w:rsidRDefault="00A2382C" w:rsidP="00FB46C4">
      <w:pPr>
        <w:pStyle w:val="Heading2"/>
        <w:spacing w:before="0" w:line="276" w:lineRule="auto"/>
        <w:rPr>
          <w:rFonts w:ascii="GHEA Grapalat" w:hAnsi="GHEA Grapalat"/>
          <w:b/>
          <w:color w:val="auto"/>
          <w:sz w:val="24"/>
        </w:rPr>
      </w:pPr>
      <w:bookmarkStart w:id="4" w:name="_Toc140181766"/>
      <w:r w:rsidRPr="00E04728">
        <w:rPr>
          <w:rFonts w:ascii="GHEA Grapalat" w:hAnsi="GHEA Grapalat"/>
          <w:b/>
          <w:color w:val="auto"/>
          <w:sz w:val="24"/>
        </w:rPr>
        <w:t xml:space="preserve">1. </w:t>
      </w:r>
      <w:r w:rsidR="00C876F5" w:rsidRPr="00E04728">
        <w:rPr>
          <w:rFonts w:ascii="GHEA Grapalat" w:hAnsi="GHEA Grapalat"/>
          <w:b/>
          <w:color w:val="auto"/>
          <w:sz w:val="24"/>
        </w:rPr>
        <w:t>ԿՈՌՈՒՊՑԻԱՅԻ ԴԵՄ ՊԱՅՔԱՐԸ ՀԱՅԱՍՏԱՆԻ ՀԱՆՐԱՊԵՏՈՒԹՅՈՒՆՈՒՄ 2019-2022 ԹՎԱԿԱՆՆԵՐԻՆ, ԱՌԿԱ ՄԱՐՏԱՀՐԱՎԵՐՆԵՐԸ</w:t>
      </w:r>
      <w:bookmarkEnd w:id="3"/>
      <w:bookmarkEnd w:id="4"/>
    </w:p>
    <w:p w14:paraId="1C4C9321" w14:textId="77777777" w:rsidR="00A2382C" w:rsidRPr="00E04728" w:rsidRDefault="00A2382C" w:rsidP="00FB46C4">
      <w:pPr>
        <w:tabs>
          <w:tab w:val="left" w:pos="284"/>
          <w:tab w:val="left" w:pos="426"/>
          <w:tab w:val="left" w:pos="709"/>
          <w:tab w:val="left" w:pos="993"/>
        </w:tabs>
        <w:spacing w:line="276" w:lineRule="auto"/>
        <w:rPr>
          <w:b/>
        </w:rPr>
      </w:pPr>
    </w:p>
    <w:p w14:paraId="40B50B0A" w14:textId="5D9F64A9" w:rsidR="00A2382C" w:rsidRPr="00E04728" w:rsidRDefault="00A2382C" w:rsidP="00FB46C4">
      <w:pPr>
        <w:tabs>
          <w:tab w:val="left" w:pos="284"/>
          <w:tab w:val="left" w:pos="426"/>
          <w:tab w:val="left" w:pos="709"/>
          <w:tab w:val="left" w:pos="993"/>
        </w:tabs>
        <w:spacing w:line="276" w:lineRule="auto"/>
      </w:pPr>
      <w:r w:rsidRPr="00E04728">
        <w:t xml:space="preserve">Հայաստանի Հանրապետությունում հակակոռուպցիոն նոր ռազմավարության առաջնայնություններն ու խնդիրները նախանշելու, Հայաստանի Հանրապետության արդեն իսկ կայացած հակակոռուպցիոն մարմինների ինստիտուցիոնալ համակարգի շարունակական կատարելագործման, ինչպես նաև հակակոռուպցիոն ոլորտում Հայաստանի Հանրապետության կառավարության ծրագրային քաղաքականության կենսագործման նպատակների իրականացման համար էականորեն կարևորվում է Հայաստանի Հանրապետության կառավարության 2019 թվականի հոկտեմբերի 3-ի թիվ 1332-Ն որոշմամբ հաստատված Հայաստանի Հանրապետության հակակոռուպցիոն ռազմավարության և դրա իրականացման 2019-2022 թվականների միջոցառումների ծրագրի արդյունքների գնահատումը: </w:t>
      </w:r>
    </w:p>
    <w:p w14:paraId="7C75655B" w14:textId="3586A8C8" w:rsidR="00A2382C" w:rsidRPr="00E04728" w:rsidRDefault="00A2382C" w:rsidP="00D67B29">
      <w:pPr>
        <w:tabs>
          <w:tab w:val="left" w:pos="709"/>
          <w:tab w:val="left" w:pos="851"/>
        </w:tabs>
        <w:spacing w:line="276" w:lineRule="auto"/>
      </w:pPr>
      <w:r w:rsidRPr="00E04728">
        <w:t xml:space="preserve">2019-2022թթ. հակակոռուպցիոն քաղաքականությունն իրականացվել է Հայաստանի Հանրապետության հակակոռուպցիոն ռազմավարության և դրա իրականացման 2019-2022 թվականների միջոցառումների ծրագրի շրջանակներում (այսուհետ նաև՝ 2019-2022թթ. հակակոռուպցիոն ռազմավարություն) սահմանված հետևյալ ուղղությունների հիման վրա՝ </w:t>
      </w:r>
    </w:p>
    <w:p w14:paraId="3EBE5563" w14:textId="54B75B62" w:rsidR="00A2382C" w:rsidRPr="00E04728" w:rsidRDefault="00A2382C" w:rsidP="00D67B29">
      <w:pPr>
        <w:numPr>
          <w:ilvl w:val="0"/>
          <w:numId w:val="29"/>
        </w:numPr>
        <w:tabs>
          <w:tab w:val="left" w:pos="709"/>
          <w:tab w:val="left" w:pos="851"/>
        </w:tabs>
        <w:spacing w:line="276" w:lineRule="auto"/>
        <w:ind w:left="0" w:firstLine="567"/>
        <w:contextualSpacing/>
      </w:pPr>
      <w:r w:rsidRPr="00E04728">
        <w:t>Հակակոռուպցիոն ինստիտուցիոնալ համակարգի ձևավորում</w:t>
      </w:r>
      <w:r w:rsidR="00B4565E" w:rsidRPr="00E04728">
        <w:t>,</w:t>
      </w:r>
    </w:p>
    <w:p w14:paraId="26DE7E39" w14:textId="37BE5D9A" w:rsidR="00A2382C" w:rsidRPr="00E04728" w:rsidRDefault="00A2382C" w:rsidP="00D67B29">
      <w:pPr>
        <w:numPr>
          <w:ilvl w:val="0"/>
          <w:numId w:val="29"/>
        </w:numPr>
        <w:tabs>
          <w:tab w:val="left" w:pos="709"/>
          <w:tab w:val="left" w:pos="851"/>
        </w:tabs>
        <w:spacing w:line="276" w:lineRule="auto"/>
        <w:ind w:left="0" w:firstLine="567"/>
        <w:contextualSpacing/>
      </w:pPr>
      <w:r w:rsidRPr="00E04728">
        <w:t>Կոռուպցիայի կանխարգելում</w:t>
      </w:r>
      <w:r w:rsidR="00B4565E" w:rsidRPr="00E04728">
        <w:t>,</w:t>
      </w:r>
    </w:p>
    <w:p w14:paraId="409D2095" w14:textId="1176F077" w:rsidR="00A2382C" w:rsidRPr="00E04728" w:rsidRDefault="00A2382C" w:rsidP="00D67B29">
      <w:pPr>
        <w:numPr>
          <w:ilvl w:val="0"/>
          <w:numId w:val="29"/>
        </w:numPr>
        <w:tabs>
          <w:tab w:val="left" w:pos="709"/>
          <w:tab w:val="left" w:pos="851"/>
        </w:tabs>
        <w:spacing w:line="276" w:lineRule="auto"/>
        <w:ind w:left="0" w:firstLine="567"/>
        <w:contextualSpacing/>
      </w:pPr>
      <w:r w:rsidRPr="00E04728">
        <w:t>Կոռուպցիոն հանցագործությունների բացահայտում</w:t>
      </w:r>
      <w:r w:rsidR="00B4565E" w:rsidRPr="00E04728">
        <w:t>,</w:t>
      </w:r>
    </w:p>
    <w:p w14:paraId="66F7BFBB" w14:textId="34A64437" w:rsidR="00A2382C" w:rsidRPr="00E04728" w:rsidRDefault="00A2382C" w:rsidP="00D67B29">
      <w:pPr>
        <w:numPr>
          <w:ilvl w:val="0"/>
          <w:numId w:val="29"/>
        </w:numPr>
        <w:tabs>
          <w:tab w:val="left" w:pos="709"/>
          <w:tab w:val="left" w:pos="851"/>
        </w:tabs>
        <w:spacing w:line="276" w:lineRule="auto"/>
        <w:ind w:left="0" w:firstLine="567"/>
        <w:contextualSpacing/>
      </w:pPr>
      <w:r w:rsidRPr="00E04728">
        <w:lastRenderedPageBreak/>
        <w:t>Հակակոռուպցիոն կրթություն և իրազեկում</w:t>
      </w:r>
      <w:r w:rsidR="00B4565E" w:rsidRPr="00E04728">
        <w:t>,</w:t>
      </w:r>
    </w:p>
    <w:p w14:paraId="49834D56" w14:textId="77777777" w:rsidR="00A2382C" w:rsidRPr="00E04728" w:rsidRDefault="00A2382C" w:rsidP="00D67B29">
      <w:pPr>
        <w:numPr>
          <w:ilvl w:val="0"/>
          <w:numId w:val="29"/>
        </w:numPr>
        <w:tabs>
          <w:tab w:val="left" w:pos="709"/>
          <w:tab w:val="left" w:pos="851"/>
        </w:tabs>
        <w:spacing w:line="276" w:lineRule="auto"/>
        <w:ind w:left="0" w:firstLine="567"/>
        <w:contextualSpacing/>
      </w:pPr>
      <w:r w:rsidRPr="00E04728">
        <w:t>Մոնիթորինգ և գնահատում։</w:t>
      </w:r>
    </w:p>
    <w:p w14:paraId="4D3AC55E" w14:textId="52D0FC48" w:rsidR="00A2382C" w:rsidRPr="00E04728" w:rsidRDefault="00A2382C" w:rsidP="00C876F5">
      <w:pPr>
        <w:tabs>
          <w:tab w:val="left" w:pos="709"/>
          <w:tab w:val="left" w:pos="851"/>
        </w:tabs>
        <w:spacing w:line="276" w:lineRule="auto"/>
        <w:ind w:firstLine="540"/>
      </w:pPr>
      <w:r w:rsidRPr="00E04728">
        <w:t xml:space="preserve">2019-2022թթ. հակակոռուպցիոն ռազմավարության ընդունումից՝ 2019 թվականից ի վեր իրականացված հակակոռուպցիոն բարեփոխումների արդյունքում փաստացի գրանցված արդյունքների, </w:t>
      </w:r>
      <w:r w:rsidR="00341268" w:rsidRPr="00E04728">
        <w:t>մոնիթորինգ</w:t>
      </w:r>
      <w:r w:rsidR="00681CB3" w:rsidRPr="00E04728">
        <w:t>ի</w:t>
      </w:r>
      <w:r w:rsidR="00341268" w:rsidRPr="00E04728">
        <w:t xml:space="preserve"> և գնահատման արդյունքների, </w:t>
      </w:r>
      <w:r w:rsidRPr="00E04728">
        <w:t xml:space="preserve">վիճակագրական տվյալների, ոլորտային քաղաքացիական հասարակության կազմակերպությունների կողմից կատարված աշխատանքների, ինչպես նաև ոլորտային միջազգային կազմակերպությունների կողմից Հայաստանի Հանրապետության գնահատման արդյունքների մասին խոսելիս՝ որպես </w:t>
      </w:r>
      <w:r w:rsidR="00AC0C71" w:rsidRPr="00E04728">
        <w:t>համապետական և ռազմավարական ձեռքբերումներ</w:t>
      </w:r>
      <w:r w:rsidR="00246AAD" w:rsidRPr="00E04728">
        <w:t xml:space="preserve"> </w:t>
      </w:r>
      <w:r w:rsidRPr="00E04728">
        <w:t xml:space="preserve"> անհրաժեշտ է առանձնացնել ստորև նշվածները</w:t>
      </w:r>
      <w:r w:rsidRPr="00E04728">
        <w:rPr>
          <w:rFonts w:ascii="MS Mincho" w:eastAsia="MS Mincho" w:hAnsi="MS Mincho" w:cs="MS Mincho" w:hint="eastAsia"/>
        </w:rPr>
        <w:t>․</w:t>
      </w:r>
    </w:p>
    <w:p w14:paraId="6F3B980D" w14:textId="7DF98EFA" w:rsidR="00C876F5" w:rsidRPr="00E04728" w:rsidRDefault="00A2382C" w:rsidP="00C876F5">
      <w:pPr>
        <w:pStyle w:val="ListParagraph"/>
        <w:numPr>
          <w:ilvl w:val="0"/>
          <w:numId w:val="54"/>
        </w:numPr>
        <w:tabs>
          <w:tab w:val="left" w:pos="993"/>
        </w:tabs>
        <w:spacing w:line="276" w:lineRule="auto"/>
        <w:ind w:left="0" w:firstLine="450"/>
        <w:rPr>
          <w:shd w:val="clear" w:color="auto" w:fill="FFFFFF"/>
        </w:rPr>
      </w:pPr>
      <w:r w:rsidRPr="00E04728">
        <w:t>2019 թվականի նոյեմբերին ձևավորվել է Կոռուպցիայի կանխարգելման հանձնաժողովը</w:t>
      </w:r>
      <w:r w:rsidR="00097F63" w:rsidRPr="00BA6EE5">
        <w:t xml:space="preserve"> </w:t>
      </w:r>
      <w:r w:rsidR="00097F63" w:rsidRPr="006E1B12">
        <w:t>(</w:t>
      </w:r>
      <w:r w:rsidR="00097F63">
        <w:t>այսուհետ նաև` ԿԿՀ</w:t>
      </w:r>
      <w:r w:rsidR="00097F63" w:rsidRPr="006E1B12">
        <w:t>)</w:t>
      </w:r>
      <w:r w:rsidRPr="00E04728">
        <w:t xml:space="preserve">՝ որպես կոռուպցիայի կանխարգելման մասնագիտացված ինքնավար մարմին՝ համապատասխան անկախության երաշխիքներով։ 2019-2022 թվականներին ընդունված օրենսդրական փոփոխությունների արդյունքում էականորեն ընդլայնվել են </w:t>
      </w:r>
      <w:r w:rsidR="00097F63">
        <w:t>ԿԿՀ-ի</w:t>
      </w:r>
      <w:r w:rsidRPr="00E04728">
        <w:t xml:space="preserve"> իրավասությունների շրջանակը և գործիքակազմը։ Մասնավորապես, իրավասությունների ընդլայնման արդյունքում Կոռուպցիայի կանխարգելման հանձնաժողովին են վերապահվել օրենքով նախատեսված դեպքերում բ</w:t>
      </w:r>
      <w:r w:rsidRPr="00E04728">
        <w:rPr>
          <w:shd w:val="clear" w:color="auto" w:fill="FFFFFF"/>
        </w:rPr>
        <w:t>արեվարքության ուսումնասիրության իրականացման</w:t>
      </w:r>
      <w:r w:rsidRPr="00E04728">
        <w:t xml:space="preserve">, կուսակցությունների ընթացիկ ֆինանսական գործունեության, </w:t>
      </w:r>
      <w:r w:rsidRPr="00E04728">
        <w:rPr>
          <w:shd w:val="clear" w:color="auto" w:fill="FFFFFF"/>
        </w:rPr>
        <w:t xml:space="preserve">նախընտրական հիմնադրամներ կատարվող նվիրատվությունների, ծախսերի և դրանց հաշվարկման նկատմամբ </w:t>
      </w:r>
      <w:r w:rsidRPr="00E04728">
        <w:t>վերահսկողության իրականացման և իրավախախտումների դեպքում համապատասխան վարչական պատասխանատվության միջոցների կիրառման</w:t>
      </w:r>
      <w:r w:rsidRPr="00E04728">
        <w:rPr>
          <w:shd w:val="clear" w:color="auto" w:fill="FFFFFF"/>
        </w:rPr>
        <w:t xml:space="preserve">, </w:t>
      </w:r>
      <w:r w:rsidRPr="00E04728">
        <w:t xml:space="preserve">ինչպես նաև գույքի մասին տարեկան հաշվետվությունների ստուգման, կուսակցությունների ղեկավար մարմինների անդամների կողմից ներկայացվող հայտարարագրերի ստուգումը և վերլուծությունը, ապօրինի ծագում ունեցող գույքի բռնագանձման ուսումնասիրության շրջանակներում հայտարարագրի վերլուծության իրավասությունները, իսկ գործիքակազմի ընդլայնման արդյունքում Կոռուպցիայի կանխարգելման հանձնաժողովին օրենսդրական հիմքով հասանելիություն է տրվել պետական տվյալների շտեմարաններին, ինչպես նաև ֆինանսական, այդ թվում՝ բանկային գաղտնիք կազմող տեղեկություններին, </w:t>
      </w:r>
      <w:r w:rsidRPr="00E04728">
        <w:rPr>
          <w:shd w:val="clear" w:color="auto" w:fill="FFFFFF"/>
        </w:rPr>
        <w:t>արժեթղթերի հետ կապված գործարքների վերաբերյալ տեղեկություններին, ապահովագրական գաղտնիք կազմող տեղեկություններին, վարկային տեղեկատվությանը:</w:t>
      </w:r>
    </w:p>
    <w:p w14:paraId="59D1081E" w14:textId="000CA0F6" w:rsidR="00A2382C" w:rsidRPr="00E04728" w:rsidRDefault="00C876F5" w:rsidP="005D41E6">
      <w:pPr>
        <w:numPr>
          <w:ilvl w:val="0"/>
          <w:numId w:val="37"/>
        </w:numPr>
        <w:tabs>
          <w:tab w:val="left" w:pos="993"/>
        </w:tabs>
        <w:spacing w:line="276" w:lineRule="auto"/>
        <w:ind w:left="0" w:firstLine="567"/>
        <w:contextualSpacing/>
      </w:pPr>
      <w:r w:rsidRPr="00E04728">
        <w:rPr>
          <w:color w:val="000000" w:themeColor="text1"/>
        </w:rPr>
        <w:t xml:space="preserve">Կոռուպցիայի կանխարգելման հանձնաժողովի ձևավորումը և երեք և ավելի տարիների գործունեությունը </w:t>
      </w:r>
      <w:r w:rsidR="00547692" w:rsidRPr="00E04728">
        <w:rPr>
          <w:color w:val="000000" w:themeColor="text1"/>
        </w:rPr>
        <w:t>վկայում է</w:t>
      </w:r>
      <w:r w:rsidRPr="00E04728">
        <w:rPr>
          <w:color w:val="000000" w:themeColor="text1"/>
        </w:rPr>
        <w:t xml:space="preserve">, որ քաղաքական կամքի տեսանկյունից ջանքերն արդարացվել են: Նշվածի վերաբերյալ արձագանքներ ձևավորվել են նաև միջազգային մակարդակում, </w:t>
      </w:r>
      <w:r w:rsidR="00097F63">
        <w:rPr>
          <w:color w:val="000000" w:themeColor="text1"/>
        </w:rPr>
        <w:t>ինչպես օրինակ,</w:t>
      </w:r>
      <w:r w:rsidRPr="00E04728">
        <w:rPr>
          <w:color w:val="000000" w:themeColor="text1"/>
        </w:rPr>
        <w:t xml:space="preserve"> Եվրոպայի խորհրդի խորհրդարանական վեհաժողով</w:t>
      </w:r>
      <w:r w:rsidR="00097F63">
        <w:rPr>
          <w:color w:val="000000" w:themeColor="text1"/>
        </w:rPr>
        <w:t>ի</w:t>
      </w:r>
      <w:r w:rsidRPr="00E04728">
        <w:rPr>
          <w:color w:val="000000" w:themeColor="text1"/>
        </w:rPr>
        <w:t xml:space="preserve"> Հայաստանում ժողովրդավարական ինստիտուտների գնահատման վերաբերյալ զեկույցում</w:t>
      </w:r>
      <w:r w:rsidR="00097F63">
        <w:rPr>
          <w:color w:val="000000" w:themeColor="text1"/>
        </w:rPr>
        <w:t>:</w:t>
      </w:r>
      <w:r w:rsidRPr="00E04728">
        <w:rPr>
          <w:color w:val="000000" w:themeColor="text1"/>
        </w:rPr>
        <w:t xml:space="preserve"> </w:t>
      </w:r>
      <w:r w:rsidR="006522CE" w:rsidRPr="00E04728">
        <w:t xml:space="preserve">2021 </w:t>
      </w:r>
      <w:r w:rsidR="005D41E6" w:rsidRPr="00E04728">
        <w:t>թվականի հոկտեմբերին</w:t>
      </w:r>
      <w:r w:rsidR="006522CE" w:rsidRPr="00E04728">
        <w:t xml:space="preserve"> ս</w:t>
      </w:r>
      <w:r w:rsidR="00661127" w:rsidRPr="00E04728">
        <w:t>տ</w:t>
      </w:r>
      <w:r w:rsidR="00A2382C" w:rsidRPr="00E04728">
        <w:rPr>
          <w:shd w:val="clear" w:color="auto" w:fill="FFFFFF"/>
        </w:rPr>
        <w:t xml:space="preserve">եղծվել է Հակակոռուպցիոն կոմիտեն՝ որպես կոռուպցիոն հանցագործությունների գործերով մասնագիտացված և անկախության երաշխիքներ ունեցող </w:t>
      </w:r>
      <w:r w:rsidR="00A2382C" w:rsidRPr="00E04728">
        <w:rPr>
          <w:shd w:val="clear" w:color="auto" w:fill="FFFFFF"/>
        </w:rPr>
        <w:lastRenderedPageBreak/>
        <w:t>քննչական մարմին, որը իր լիազորությունների շրջանակներում իրականացնում է օպերատիվ-հետախուզական գործունեություն: Հակակոռուպցիոն կոմիտեին տրամադրվել է առանձին տարածք, բյուջետային ինքնուրույն ֆինանսավորում, գործառույթների իրականացման համար անհրաժեշտ գործիքակազմ:</w:t>
      </w:r>
      <w:r w:rsidR="006522CE" w:rsidRPr="00E04728">
        <w:rPr>
          <w:shd w:val="clear" w:color="auto" w:fill="FFFFFF"/>
        </w:rPr>
        <w:t xml:space="preserve"> Հակակոռուպցիոն կոմիտեի հիմնակ</w:t>
      </w:r>
      <w:r w:rsidR="00661127" w:rsidRPr="00E04728">
        <w:rPr>
          <w:shd w:val="clear" w:color="auto" w:fill="FFFFFF"/>
        </w:rPr>
        <w:t>ա</w:t>
      </w:r>
      <w:r w:rsidR="006522CE" w:rsidRPr="00E04728">
        <w:rPr>
          <w:shd w:val="clear" w:color="auto" w:fill="FFFFFF"/>
        </w:rPr>
        <w:t>ն կազմը համալրվել է</w:t>
      </w:r>
      <w:r w:rsidR="00E265EF" w:rsidRPr="00E04728">
        <w:rPr>
          <w:shd w:val="clear" w:color="auto" w:fill="FFFFFF"/>
        </w:rPr>
        <w:t xml:space="preserve">, </w:t>
      </w:r>
      <w:r w:rsidR="006522CE" w:rsidRPr="00E04728">
        <w:rPr>
          <w:shd w:val="clear" w:color="auto" w:fill="FFFFFF"/>
        </w:rPr>
        <w:t>շարունակական հիմունքներով ընթաց</w:t>
      </w:r>
      <w:r w:rsidR="00445062">
        <w:rPr>
          <w:shd w:val="clear" w:color="auto" w:fill="FFFFFF"/>
        </w:rPr>
        <w:t>ք</w:t>
      </w:r>
      <w:r w:rsidR="006522CE" w:rsidRPr="00E04728">
        <w:rPr>
          <w:shd w:val="clear" w:color="auto" w:fill="FFFFFF"/>
        </w:rPr>
        <w:t xml:space="preserve">ի մեջ են թափուր հաստիքների համալրման </w:t>
      </w:r>
      <w:r w:rsidR="000B168F">
        <w:rPr>
          <w:shd w:val="clear" w:color="auto" w:fill="FFFFFF"/>
        </w:rPr>
        <w:t xml:space="preserve">և </w:t>
      </w:r>
      <w:r w:rsidR="000B168F" w:rsidRPr="00E04728">
        <w:rPr>
          <w:shd w:val="clear" w:color="auto" w:fill="FFFFFF"/>
        </w:rPr>
        <w:t>կոմիտեի գործունեության իրավական դաշտ</w:t>
      </w:r>
      <w:r w:rsidR="000B168F">
        <w:rPr>
          <w:shd w:val="clear" w:color="auto" w:fill="FFFFFF"/>
        </w:rPr>
        <w:t xml:space="preserve">ի կատարելագործման </w:t>
      </w:r>
      <w:r w:rsidR="006522CE" w:rsidRPr="00E04728">
        <w:rPr>
          <w:shd w:val="clear" w:color="auto" w:fill="FFFFFF"/>
        </w:rPr>
        <w:t>գործընթացները։</w:t>
      </w:r>
      <w:r w:rsidR="00E265EF" w:rsidRPr="00E04728">
        <w:rPr>
          <w:shd w:val="clear" w:color="auto" w:fill="FFFFFF"/>
        </w:rPr>
        <w:t xml:space="preserve"> </w:t>
      </w:r>
    </w:p>
    <w:p w14:paraId="195834C4" w14:textId="4C8CD365" w:rsidR="00661127" w:rsidRPr="00E04728" w:rsidRDefault="00661127" w:rsidP="00661127">
      <w:pPr>
        <w:spacing w:line="276" w:lineRule="auto"/>
        <w:ind w:firstLine="540"/>
      </w:pPr>
      <w:r w:rsidRPr="00E04728">
        <w:t>Հակակոռուպցիոն կոմիտեն իր գործունեությունն իրականացնում է անկախության սկզբունքի հիման վրա՝ պահպանելով իր քաղաքական չեզոքությունը, թափանցիկությունը և հանրության առջև հաշվետվողականությունը։ Ձևավորումից ի վեր, կարճ ժամանակահատվածում, Կոմիտեն ծավալել է բավականին լայն և արդյունավետ գործունեություն՝ ձեռք բերելով հասարակության մեծամասնության վստահությունը։  Կոմիտեի գործունեության մեկնարկից ի վեր իրականացվել են լայնածավալ լուսաբանման աշխատանքներ կառույցի ընթացիկ գործունեության և օրենքով վերապահված հիմնական գործառույթների իրազեկման վերաբերյալ, գործարկվել է Կոմիտեի` www.anticorruption.am եռալեզու պաշտոնական կայքէջը հայերեն, ռուսերեն, անգլերեն, որում զետեղվում է ինչպես քրեական վարույթների ընթացքի վերաբերյալ հրապարակվող հաղորդագրությունների թարմացվող լրահոսը, այնպես էլ տեղեկություններ կառույցի գործունեության, օրենսդրության, միջազգային համագործակցության, անձնակազմի և մրցույթների անցկացման կարգի վերաբերյալ:</w:t>
      </w:r>
    </w:p>
    <w:p w14:paraId="4E3CAB6C" w14:textId="24AA518D" w:rsidR="002A0EC9" w:rsidRPr="00E04728" w:rsidRDefault="00661127" w:rsidP="005D41E6">
      <w:pPr>
        <w:spacing w:line="276" w:lineRule="auto"/>
        <w:ind w:firstLine="540"/>
      </w:pPr>
      <w:r w:rsidRPr="00E04728">
        <w:t>Հակակոռուպցիոն կոմիտեն համագործակցում է տարբեր պետական մարմինների և պետական կառավարման համակարգի մարմինների հետ՝ լիարժեք իրականացնելով իր առջև դրված խնդիրները։</w:t>
      </w:r>
      <w:r w:rsidR="000B168F">
        <w:t xml:space="preserve"> </w:t>
      </w:r>
      <w:r w:rsidR="005D41E6" w:rsidRPr="00E04728">
        <w:t xml:space="preserve">Իր գործունեության մոտ մեկ ու կես տարվա ընթացքում Կոմիտե մուտքագրվել է 25.05.2023 դրությամբ 4467 դիմում-հաղորդում, նախապատրաստվել է 706 նյութ, իսկ կոռուպցիոն բնույթի հանցագործություններով քննվել է 1792 քրեական վարույթ, որից 1138-ի վերաբերյալ նախաքննությունն ավարտվել է, իսկ 169 քրեական վարույթ 343 անձի վերաբերյալ մեղադրական եզրակացությամբ ուղարկվել է դատարան: </w:t>
      </w:r>
    </w:p>
    <w:p w14:paraId="05EF6472" w14:textId="7B5158F3" w:rsidR="00A2382C" w:rsidRPr="00E04728" w:rsidRDefault="00A2382C" w:rsidP="004A25F7">
      <w:pPr>
        <w:pStyle w:val="ListParagraph"/>
        <w:numPr>
          <w:ilvl w:val="0"/>
          <w:numId w:val="30"/>
        </w:numPr>
        <w:tabs>
          <w:tab w:val="left" w:pos="851"/>
        </w:tabs>
        <w:spacing w:line="276" w:lineRule="auto"/>
        <w:ind w:left="0" w:firstLine="630"/>
        <w:rPr>
          <w:shd w:val="clear" w:color="auto" w:fill="FFFFFF"/>
        </w:rPr>
      </w:pPr>
      <w:r w:rsidRPr="00E04728">
        <w:rPr>
          <w:shd w:val="clear" w:color="auto" w:fill="FFFFFF"/>
        </w:rPr>
        <w:t>Գլխավոր դատախազության կազմում 2021 թվականի նոյեմբերի 22-ին ստեղծվել է ՀՀ հակակոռուպցիոն կոմիտեում մինչդատական վարույթի օրինականության նկատմամբ հսկողության վարչությունը</w:t>
      </w:r>
      <w:r w:rsidR="00563A60" w:rsidRPr="00E04728">
        <w:rPr>
          <w:shd w:val="clear" w:color="auto" w:fill="FFFFFF"/>
        </w:rPr>
        <w:t>, որի կազմը անցել է բարեվարքության ուսումնասիրություն</w:t>
      </w:r>
      <w:r w:rsidRPr="00E04728">
        <w:rPr>
          <w:shd w:val="clear" w:color="auto" w:fill="FFFFFF"/>
        </w:rPr>
        <w:t>։</w:t>
      </w:r>
    </w:p>
    <w:p w14:paraId="310DEF7D" w14:textId="6DD2B15A" w:rsidR="00444A0A" w:rsidRPr="00E04728" w:rsidRDefault="00B22D93" w:rsidP="0078348B">
      <w:pPr>
        <w:numPr>
          <w:ilvl w:val="0"/>
          <w:numId w:val="30"/>
        </w:numPr>
        <w:tabs>
          <w:tab w:val="left" w:pos="993"/>
        </w:tabs>
        <w:spacing w:line="276" w:lineRule="auto"/>
        <w:ind w:left="0" w:firstLine="567"/>
        <w:contextualSpacing/>
        <w:rPr>
          <w:shd w:val="clear" w:color="auto" w:fill="FFFFFF"/>
        </w:rPr>
      </w:pPr>
      <w:r w:rsidRPr="00E04728">
        <w:rPr>
          <w:shd w:val="clear" w:color="auto" w:fill="FFFFFF"/>
        </w:rPr>
        <w:t xml:space="preserve">2022 թվականի հուլիսին ստեղծվել է </w:t>
      </w:r>
      <w:r w:rsidR="00A2382C" w:rsidRPr="00E04728">
        <w:rPr>
          <w:shd w:val="clear" w:color="auto" w:fill="FFFFFF"/>
        </w:rPr>
        <w:t>Հակակոռուպցիոն դատարանը</w:t>
      </w:r>
      <w:r w:rsidRPr="00E04728">
        <w:rPr>
          <w:shd w:val="clear" w:color="auto" w:fill="FFFFFF"/>
        </w:rPr>
        <w:t xml:space="preserve">, այնուհետև՝ </w:t>
      </w:r>
      <w:r w:rsidR="00CA684C" w:rsidRPr="00E04728">
        <w:rPr>
          <w:shd w:val="clear" w:color="auto" w:fill="FFFFFF"/>
        </w:rPr>
        <w:t xml:space="preserve">վերաքննիչ քրեական և քաղաքացիական դատարաններում նշանակվել են </w:t>
      </w:r>
      <w:r w:rsidR="00712073" w:rsidRPr="00E04728">
        <w:rPr>
          <w:shd w:val="clear" w:color="auto" w:fill="FFFFFF"/>
        </w:rPr>
        <w:t>կոռուպցիոն հանցագործությունների և հակակոռուպցիոն քաղաքացիական գործերով կայացված ակտերի՝ վերաքննության կարգով վերանայումն իրականացնող</w:t>
      </w:r>
      <w:r w:rsidR="00CA684C" w:rsidRPr="00E04728">
        <w:rPr>
          <w:shd w:val="clear" w:color="auto" w:fill="FFFFFF"/>
        </w:rPr>
        <w:t xml:space="preserve"> դատավորներ, Վճռաբեկ դատարանի կազմում ստեղծվել է Հակակոռուպցիոն պալատ</w:t>
      </w:r>
      <w:r w:rsidR="00A2382C" w:rsidRPr="00E04728">
        <w:rPr>
          <w:shd w:val="clear" w:color="auto" w:fill="FFFFFF"/>
        </w:rPr>
        <w:t>։</w:t>
      </w:r>
      <w:r w:rsidR="00CA684C" w:rsidRPr="00E04728">
        <w:rPr>
          <w:shd w:val="clear" w:color="auto" w:fill="FFFFFF"/>
        </w:rPr>
        <w:t xml:space="preserve"> </w:t>
      </w:r>
      <w:r w:rsidR="00712073" w:rsidRPr="00E04728">
        <w:rPr>
          <w:shd w:val="clear" w:color="auto" w:fill="FFFFFF"/>
        </w:rPr>
        <w:t>2024 թվական հունվարի 1-ից կստեղծվի Վերաքննիչ հակակոռուպցիոն դատարանը, որը</w:t>
      </w:r>
      <w:r w:rsidR="0078348B" w:rsidRPr="00E04728">
        <w:rPr>
          <w:shd w:val="clear" w:color="auto" w:fill="FFFFFF"/>
        </w:rPr>
        <w:t xml:space="preserve"> իրականացնելու է նշյալ գործերով վերաքննության կարգով քննությունը։ </w:t>
      </w:r>
      <w:r w:rsidR="00444A0A" w:rsidRPr="00E04728">
        <w:t xml:space="preserve">Նշված դատավորների բարեվարքությունը </w:t>
      </w:r>
      <w:r w:rsidR="0078348B" w:rsidRPr="00E04728">
        <w:t xml:space="preserve">ևս </w:t>
      </w:r>
      <w:r w:rsidR="00444A0A" w:rsidRPr="00E04728">
        <w:t>օրենքով սահմանված կարգով ստուգվել է։</w:t>
      </w:r>
    </w:p>
    <w:p w14:paraId="76997437" w14:textId="12CF2CB9" w:rsidR="00A2382C" w:rsidRPr="00E04728" w:rsidRDefault="00A2382C" w:rsidP="0078348B">
      <w:pPr>
        <w:numPr>
          <w:ilvl w:val="0"/>
          <w:numId w:val="37"/>
        </w:numPr>
        <w:tabs>
          <w:tab w:val="left" w:pos="450"/>
          <w:tab w:val="left" w:pos="567"/>
          <w:tab w:val="left" w:pos="900"/>
          <w:tab w:val="left" w:pos="1080"/>
        </w:tabs>
        <w:spacing w:line="276" w:lineRule="auto"/>
        <w:ind w:left="0" w:firstLine="567"/>
      </w:pPr>
      <w:r w:rsidRPr="00E04728">
        <w:lastRenderedPageBreak/>
        <w:t>Կոռուպցիոն հանցագործությունների բացահայտման արդյունավետությունը բարձրացնելու և կոռուպցիայի հակազդումը կատարելագործելու նպատակով 2021 թվականի մայիսի 5-ին ընդունված նոր Քրեական օրենսգրքի շրջանակներում վերանայվել են կոռուպցիոն հանցագործությունների հանցակազմերը</w:t>
      </w:r>
      <w:r w:rsidR="00001010">
        <w:t>:</w:t>
      </w:r>
      <w:r w:rsidRPr="00E04728">
        <w:t>Միևնույն ժամանակ</w:t>
      </w:r>
      <w:r w:rsidR="0055659A" w:rsidRPr="00E04728">
        <w:t>,</w:t>
      </w:r>
      <w:r w:rsidRPr="00E04728">
        <w:t xml:space="preserve"> նոր Քրեական օրենսգրքով ներդրվել է իրավաբանական անձանց քրեական պատասխանատվության ինստիտուտը</w:t>
      </w:r>
      <w:r w:rsidRPr="00E04728">
        <w:rPr>
          <w:vertAlign w:val="superscript"/>
        </w:rPr>
        <w:footnoteReference w:id="3"/>
      </w:r>
      <w:r w:rsidRPr="00E04728">
        <w:t xml:space="preserve">: </w:t>
      </w:r>
    </w:p>
    <w:p w14:paraId="0D871DC1" w14:textId="5D2F3AFF" w:rsidR="00A2382C" w:rsidRPr="00E04728" w:rsidRDefault="00A2382C" w:rsidP="00FB46C4">
      <w:pPr>
        <w:numPr>
          <w:ilvl w:val="0"/>
          <w:numId w:val="37"/>
        </w:numPr>
        <w:tabs>
          <w:tab w:val="left" w:pos="426"/>
          <w:tab w:val="left" w:pos="851"/>
          <w:tab w:val="left" w:pos="1134"/>
        </w:tabs>
        <w:spacing w:line="276" w:lineRule="auto"/>
        <w:ind w:left="0" w:firstLine="567"/>
        <w:contextualSpacing/>
      </w:pPr>
      <w:r w:rsidRPr="00E04728">
        <w:rPr>
          <w:shd w:val="clear" w:color="auto" w:fill="FFFFFF"/>
        </w:rPr>
        <w:t>2</w:t>
      </w:r>
      <w:r w:rsidRPr="00E04728">
        <w:t>022 թվականի</w:t>
      </w:r>
      <w:r w:rsidR="00834375" w:rsidRPr="00E04728">
        <w:t xml:space="preserve">ն </w:t>
      </w:r>
      <w:r w:rsidRPr="00E04728">
        <w:t>«Հանրային ծառայության մասին» օրենքում և հարակից օրենքներում փոփոխություններ</w:t>
      </w:r>
      <w:r w:rsidR="00834375" w:rsidRPr="00E04728">
        <w:t xml:space="preserve">ի արդյունքում </w:t>
      </w:r>
      <w:r w:rsidRPr="00E04728">
        <w:t xml:space="preserve">կատարելագործվել են շահերի բախման, անհամատեղելիության պահանջների վերաբերյալ առկա օրենսդրական </w:t>
      </w:r>
      <w:r w:rsidR="00797123" w:rsidRPr="00E04728">
        <w:t xml:space="preserve">կարգավորումները, օրենսդրական մակարդակում կարգավորվել են </w:t>
      </w:r>
      <w:r w:rsidRPr="00E04728">
        <w:t xml:space="preserve">հանրային պաշտոն զբաղեցնող անձանց և հանրային ծառայողների պաշտոնական պարտականությունների իրականացման հետ կապված նվերների ինստիտուտի և նվերների հաշվառման գործընթացի նկատմամբ վերահսկողության գործիքակազմի սահմանմանն ուղղված հիմնահարցերը: Թույլատրելի նվերի արժեք է սահմանվել քառասուն հազար ՀՀ դրամը: </w:t>
      </w:r>
    </w:p>
    <w:p w14:paraId="138D2A64" w14:textId="30F37546" w:rsidR="00A2382C" w:rsidRPr="00E04728" w:rsidRDefault="00F6601E" w:rsidP="00FB46C4">
      <w:pPr>
        <w:numPr>
          <w:ilvl w:val="0"/>
          <w:numId w:val="32"/>
        </w:numPr>
        <w:tabs>
          <w:tab w:val="left" w:pos="284"/>
          <w:tab w:val="left" w:pos="993"/>
        </w:tabs>
        <w:spacing w:line="276" w:lineRule="auto"/>
        <w:ind w:left="0" w:firstLine="567"/>
        <w:contextualSpacing/>
      </w:pPr>
      <w:r w:rsidRPr="00E04728">
        <w:t>Պետական գնումների բողոքարկման փուլում անկախության երաշխիքների ապահովման նպատակով</w:t>
      </w:r>
      <w:r w:rsidR="00B716A3" w:rsidRPr="00E04728">
        <w:t xml:space="preserve"> Ֆինանսերի նախարարության ենթակայությամբ գործող բողոք քննող անձանց ինստիտուտը վերացվել է</w:t>
      </w:r>
      <w:r w:rsidR="00554146" w:rsidRPr="00E04728">
        <w:t xml:space="preserve">, </w:t>
      </w:r>
      <w:r w:rsidR="00B716A3" w:rsidRPr="00E04728">
        <w:t xml:space="preserve">գնումների բողոքարկման գործերի քննությունը վերապահվել է ընդհանուր իրավասության </w:t>
      </w:r>
      <w:r w:rsidR="00554146" w:rsidRPr="00E04728">
        <w:t>դատարանին և սահմանվել է</w:t>
      </w:r>
      <w:r w:rsidR="00C05F67" w:rsidRPr="00E04728">
        <w:t xml:space="preserve"> հատուկ հայցային վարույթի </w:t>
      </w:r>
      <w:r w:rsidR="00554146" w:rsidRPr="00E04728">
        <w:t>շրջանակում գործերի քննության կառուցակարգեր։</w:t>
      </w:r>
    </w:p>
    <w:p w14:paraId="5741836A" w14:textId="7C6DF08E" w:rsidR="00A2382C" w:rsidRPr="00E04728" w:rsidRDefault="0045266B" w:rsidP="00AD2FB0">
      <w:pPr>
        <w:numPr>
          <w:ilvl w:val="0"/>
          <w:numId w:val="32"/>
        </w:numPr>
        <w:tabs>
          <w:tab w:val="left" w:pos="426"/>
          <w:tab w:val="left" w:pos="993"/>
        </w:tabs>
        <w:spacing w:line="276" w:lineRule="auto"/>
        <w:ind w:left="0" w:firstLine="567"/>
        <w:contextualSpacing/>
      </w:pPr>
      <w:r w:rsidRPr="00E04728">
        <w:t>Մասնավոր հատվածում</w:t>
      </w:r>
      <w:r w:rsidR="00A2382C" w:rsidRPr="00E04728">
        <w:t xml:space="preserve"> թափանցիկության բարձրացման նպատակով</w:t>
      </w:r>
      <w:r w:rsidR="00A066FB" w:rsidRPr="00E04728">
        <w:t xml:space="preserve"> ընդունվել են</w:t>
      </w:r>
      <w:r w:rsidR="00A2382C" w:rsidRPr="00E04728">
        <w:t xml:space="preserve"> իրավաբանական անձանց իրական շահառուների համատարած բացահայտմանն ուղղված, ինչպես նաև բաց և հանրամատչելի ռեեստրի կարգավորումները սահմանող օրենսդրական ակտեր</w:t>
      </w:r>
      <w:r w:rsidR="00A066FB" w:rsidRPr="00E04728">
        <w:t>ը</w:t>
      </w:r>
      <w:r w:rsidR="00A2382C" w:rsidRPr="00E04728">
        <w:t>։ 2023 թվականի հունվարից իրական շահառուների</w:t>
      </w:r>
      <w:r w:rsidR="00001010">
        <w:t>ն</w:t>
      </w:r>
      <w:r w:rsidR="00A2382C" w:rsidRPr="00E04728">
        <w:t xml:space="preserve"> հայտարարագրելու պահանջը տարածվել է բոլոր իրավաբանական անձանց համար</w:t>
      </w:r>
      <w:r w:rsidR="00001010">
        <w:t>:</w:t>
      </w:r>
      <w:r w:rsidR="00A2382C" w:rsidRPr="00E04728">
        <w:t>Հայտարարագրման պահանջը չկատարելու, ոչ պատշաճ կատարելու համար սահմանված են քրեական և վարչական պատասխանատվության միջոցներ։</w:t>
      </w:r>
      <w:r w:rsidR="001A160C" w:rsidRPr="00E04728">
        <w:t xml:space="preserve"> </w:t>
      </w:r>
      <w:r w:rsidR="00A2382C" w:rsidRPr="00E04728">
        <w:t>Միևնույն ժամանակ, գործարկվել է իրավաբանական անձանց իրական շահառուների գրանցամատյանի էլեկտրոնային հարթակը:</w:t>
      </w:r>
    </w:p>
    <w:p w14:paraId="075B63D6" w14:textId="63DB7D35" w:rsidR="00A2382C" w:rsidRPr="00E04728" w:rsidRDefault="00971E06" w:rsidP="00FB46C4">
      <w:pPr>
        <w:numPr>
          <w:ilvl w:val="0"/>
          <w:numId w:val="36"/>
        </w:numPr>
        <w:tabs>
          <w:tab w:val="left" w:pos="993"/>
        </w:tabs>
        <w:spacing w:line="276" w:lineRule="auto"/>
        <w:ind w:left="0" w:right="-54" w:firstLine="567"/>
        <w:contextualSpacing/>
      </w:pPr>
      <w:r w:rsidRPr="00E04728">
        <w:t xml:space="preserve">Կատարելագործվել է </w:t>
      </w:r>
      <w:r w:rsidR="00A2382C" w:rsidRPr="00E04728">
        <w:t xml:space="preserve">տնտեսական մրցակցության </w:t>
      </w:r>
      <w:r w:rsidRPr="00E04728">
        <w:t>օրենսդրությունը, որի արդյունքում</w:t>
      </w:r>
      <w:r w:rsidR="00A2382C" w:rsidRPr="00E04728">
        <w:t xml:space="preserve"> ի թիվս այլնի, բարելավվել են Մրցակցության պաշտպանության հանձնաժողովի (այսուհետ նաև՝ ՄՊՀ) կողմից վարչական վարույթի իրականացման</w:t>
      </w:r>
      <w:r w:rsidR="006021FA" w:rsidRPr="00E04728">
        <w:t xml:space="preserve"> ընթացակարգերը և</w:t>
      </w:r>
      <w:r w:rsidR="00A2382C" w:rsidRPr="00E04728">
        <w:t xml:space="preserve"> և սահմանվել են առանձնահատկությունները, սահմանվել են վարույթի մասնակիցների իրավունքները և պարտականությունները, նախատեսվել են օպերատիվ-հետախուզական գործունեություն իրականացնող մարմինների հետ համագործակցության և ՄՊՀ-ին </w:t>
      </w:r>
      <w:r w:rsidR="00A2382C" w:rsidRPr="00E04728">
        <w:lastRenderedPageBreak/>
        <w:t>օպերատիվ տվյալներ տրամադրելու մեխանիզմներ</w:t>
      </w:r>
      <w:r w:rsidR="001A160C" w:rsidRPr="00E04728">
        <w:t>ը՝</w:t>
      </w:r>
      <w:r w:rsidR="006021FA" w:rsidRPr="00E04728">
        <w:t xml:space="preserve"> տնտեսական մրցակցության բնագավառում</w:t>
      </w:r>
      <w:r w:rsidR="00A2382C" w:rsidRPr="00E04728">
        <w:t xml:space="preserve">: </w:t>
      </w:r>
    </w:p>
    <w:p w14:paraId="0D3B51D4" w14:textId="3B4BA98C" w:rsidR="00B66BFD" w:rsidRPr="00E04728" w:rsidRDefault="006938EE" w:rsidP="006938EE">
      <w:pPr>
        <w:numPr>
          <w:ilvl w:val="0"/>
          <w:numId w:val="32"/>
        </w:numPr>
        <w:tabs>
          <w:tab w:val="left" w:pos="0"/>
          <w:tab w:val="left" w:pos="993"/>
        </w:tabs>
        <w:spacing w:line="276" w:lineRule="auto"/>
        <w:ind w:left="0" w:right="-1" w:firstLine="567"/>
        <w:contextualSpacing/>
      </w:pPr>
      <w:r w:rsidRPr="00E04728">
        <w:t>Կ</w:t>
      </w:r>
      <w:r w:rsidR="00A2382C" w:rsidRPr="00E04728">
        <w:t>ատարելագործվել են ազդարարման համակարգի իրավական մեխանիզմները, ընդլայնվել են ազդարարման տեսակները, սահմանվել է ազդարարման նոր տեսակ՝ «ազդարարում հանրությանը»: Այսուհետ ազդարարման էլեկտրոնային հարթակի (azdararir.am) միջոցով հնարավոր է ազդարարել նաև շահերի բախման կամ վարքագծի կանոնների կամ անհամատեղելիության պահանջների կամ այլ սահմանափակումների կամ հայտարարագրման հետ կապված խախտման մասին: Իրականացված փոփոխություններով ազդարարման հետ կապված հարաբերությունները տարածվել են նաև մասնավոր ոլորտի առևտրային և ոչ առևտրային, ինչպես նաև համայնքային կազմակերպությունների վրա: Հստակեցվել են նաև ազդարարներին տրվող պաշտպանության մեխանիզմները:</w:t>
      </w:r>
      <w:r w:rsidR="00B66BFD" w:rsidRPr="00E04728">
        <w:t xml:space="preserve"> Հստակեցվել են նաև ազդարարներին տրվող պաշտպանության մեխանիզմները: Միաժամանակ, սահմանվել է նաև, որ Մարդու իրավունքների պաշտպանը (</w:t>
      </w:r>
      <w:r w:rsidR="00001010">
        <w:t xml:space="preserve">այսուհետ նաև` </w:t>
      </w:r>
      <w:r w:rsidR="00B66BFD" w:rsidRPr="00E04728">
        <w:t>ՄԻՊ) հանդիսանում է իրավասու մարմին, որը կհավաք</w:t>
      </w:r>
      <w:r w:rsidR="00001010">
        <w:t>ագր</w:t>
      </w:r>
      <w:r w:rsidR="00B66BFD" w:rsidRPr="00E04728">
        <w:t>ի պետական մարմինների կողմից ստացված վիճակագրությունը, և որը ենթակա կլինի հրապարակման:</w:t>
      </w:r>
      <w:r w:rsidRPr="00E04728">
        <w:t xml:space="preserve"> </w:t>
      </w:r>
      <w:r w:rsidR="00B66BFD" w:rsidRPr="00E04728">
        <w:t>Բացի այդ, ՄԻՊ-ին են վերապահվել ազդարարների պաշտպանության իրականացմանը հետևելու, ազդարարների պաշտպանության վերաբերյալ տվյալների հավաքագրման և այլ լիազորություններ:</w:t>
      </w:r>
    </w:p>
    <w:p w14:paraId="39FBB2B3" w14:textId="7C502395" w:rsidR="00A2382C" w:rsidRPr="00E04728" w:rsidRDefault="00F06F7B" w:rsidP="00CD0E7D">
      <w:pPr>
        <w:numPr>
          <w:ilvl w:val="0"/>
          <w:numId w:val="32"/>
        </w:numPr>
        <w:tabs>
          <w:tab w:val="left" w:pos="0"/>
          <w:tab w:val="left" w:pos="450"/>
          <w:tab w:val="left" w:pos="900"/>
        </w:tabs>
        <w:spacing w:line="276" w:lineRule="auto"/>
        <w:ind w:left="0" w:right="-1" w:firstLine="567"/>
        <w:contextualSpacing/>
        <w:rPr>
          <w:shd w:val="clear" w:color="auto" w:fill="FFFFFF"/>
        </w:rPr>
      </w:pPr>
      <w:r>
        <w:rPr>
          <w:shd w:val="clear" w:color="auto" w:fill="FFFFFF"/>
        </w:rPr>
        <w:t>ԿԿՀ-</w:t>
      </w:r>
      <w:r w:rsidR="00A2382C" w:rsidRPr="00E04728">
        <w:rPr>
          <w:shd w:val="clear" w:color="auto" w:fill="FFFFFF"/>
        </w:rPr>
        <w:t>ի իրավական գործիքակազմի կատարելագործման նպատակով 2019-2022 թվականներին կատարված օրենսդրական փոփոխությունների արդյունքում իրականացվել են հետևյալ բարեփոխումները.</w:t>
      </w:r>
    </w:p>
    <w:p w14:paraId="080350F3" w14:textId="5FEEB620" w:rsidR="00A2382C" w:rsidRPr="00E04728" w:rsidRDefault="00A2382C" w:rsidP="00D67B29">
      <w:pPr>
        <w:numPr>
          <w:ilvl w:val="0"/>
          <w:numId w:val="33"/>
        </w:numPr>
        <w:tabs>
          <w:tab w:val="left" w:pos="0"/>
          <w:tab w:val="left" w:pos="450"/>
          <w:tab w:val="left" w:pos="900"/>
          <w:tab w:val="left" w:pos="1134"/>
        </w:tabs>
        <w:spacing w:line="276" w:lineRule="auto"/>
        <w:ind w:left="0" w:right="-1" w:firstLine="567"/>
        <w:contextualSpacing/>
      </w:pPr>
      <w:r w:rsidRPr="00E04728">
        <w:rPr>
          <w:shd w:val="clear" w:color="auto" w:fill="FFFFFF"/>
        </w:rPr>
        <w:t>Սահմանվել է դ</w:t>
      </w:r>
      <w:r w:rsidRPr="00E04728">
        <w:t xml:space="preserve">ատավորների, այդ թվում՝ Սահմանադրական դատարանի, Բարձրագույն դատական խորհրդի անդամների թեկնածուների, դատախազների (այդ թվում՝ գլխավոր դատախազի և նրա տեղակալների) և քննիչների (Հակակոռուպցիոն կոմիտեի քննիչների) թեկնածության հավակնորդների/թեկնածուների բարեվարքության ստուգման պահանջ և ներդրվել են համապատասխան կառուցակարգերը, իսկ բարեվարքության ստուգման իրավասությունը վերապահվել է </w:t>
      </w:r>
      <w:r w:rsidR="00001010">
        <w:t>ԿԿՀ-ին</w:t>
      </w:r>
      <w:r w:rsidRPr="00E04728">
        <w:t>։</w:t>
      </w:r>
    </w:p>
    <w:p w14:paraId="02453E8B" w14:textId="77777777" w:rsidR="00A2382C" w:rsidRPr="00E04728" w:rsidRDefault="00A2382C" w:rsidP="00D67B29">
      <w:pPr>
        <w:numPr>
          <w:ilvl w:val="0"/>
          <w:numId w:val="33"/>
        </w:numPr>
        <w:tabs>
          <w:tab w:val="left" w:pos="0"/>
          <w:tab w:val="left" w:pos="450"/>
          <w:tab w:val="left" w:pos="900"/>
          <w:tab w:val="left" w:pos="1134"/>
        </w:tabs>
        <w:spacing w:line="276" w:lineRule="auto"/>
        <w:ind w:left="0" w:right="-1" w:firstLine="567"/>
        <w:contextualSpacing/>
      </w:pPr>
      <w:r w:rsidRPr="00E04728">
        <w:t>Զուգահեռաբար, Կոռուպցիայի կանխարգելման հանձնաժողովի կողմից ստուգվել է Բարձրագույն դատական խորհրդի անդամների, Սահմանադրական դատարանի դատավորների, մյուս դատավորների գույքային դրությունը՝ համաձայն օրենքով սահմանված ժամկետների և կարգի։</w:t>
      </w:r>
    </w:p>
    <w:p w14:paraId="357CF9D1" w14:textId="1A4B489A" w:rsidR="00A2382C" w:rsidRPr="00E04728" w:rsidRDefault="00A2382C" w:rsidP="00D67B29">
      <w:pPr>
        <w:numPr>
          <w:ilvl w:val="0"/>
          <w:numId w:val="33"/>
        </w:numPr>
        <w:tabs>
          <w:tab w:val="left" w:pos="0"/>
          <w:tab w:val="left" w:pos="450"/>
          <w:tab w:val="left" w:pos="900"/>
          <w:tab w:val="left" w:pos="1134"/>
        </w:tabs>
        <w:spacing w:line="276" w:lineRule="auto"/>
        <w:ind w:left="0" w:right="-1" w:firstLine="567"/>
        <w:contextualSpacing/>
      </w:pPr>
      <w:r w:rsidRPr="00E04728">
        <w:t xml:space="preserve">Վերանայվել է հայտարարագրման համակարգը: Ներդրվել է նոր՝ ծախսերի հայտարարագրման ինստիտուտը: Այս ինստիտուտի շրջանակում հայտարարատուի համար պարտականություն է սահմանվել հայտարարագրելու հանգստի համար կատարված ճանապարհածախսը (ավիատոմս, գնացքի, ավտոբուսի, նավի տոմսեր), կեցության ծախսը, շարժական կամ անշարժ գույքի վարձակալության համար վճարվող վարձավճարը, ուսման կամ այլ դասընթացների համար վճարվող վարձավճարը, գյուղատնտեսական գործունեության իրականացման հետ կապված ծախսերը, վարկի մարմանն ուղղված վճարումները, անշարժ գույքի վերանորոգման համար կատարված ծախսերը, բացի այդ, ցանկացած այլ ծախս, այդ թվում՝ որպես նվիրատվություն տրված գույք, որի միանվագ </w:t>
      </w:r>
      <w:r w:rsidRPr="00E04728">
        <w:lastRenderedPageBreak/>
        <w:t xml:space="preserve">արժեքը հաշվետու ժամանակահատվածում գերազանցում է երկու միլիոն ՀՀ դրամը կամ դրան համարժեք արտարժույթը: </w:t>
      </w:r>
      <w:r w:rsidRPr="00E04728">
        <w:rPr>
          <w:shd w:val="clear" w:color="auto" w:fill="FFFFFF"/>
        </w:rPr>
        <w:t xml:space="preserve">Նշված կարգավորումների արդյունքում </w:t>
      </w:r>
      <w:r w:rsidR="00001010">
        <w:rPr>
          <w:shd w:val="clear" w:color="auto" w:fill="FFFFFF"/>
        </w:rPr>
        <w:t>ԿԿՀ-ն</w:t>
      </w:r>
      <w:r w:rsidRPr="00E04728">
        <w:rPr>
          <w:shd w:val="clear" w:color="auto" w:fill="FFFFFF"/>
        </w:rPr>
        <w:t xml:space="preserve"> հնարավորություն ունի ստանալու ամբողջական տեղեկատվություն հայտարարատու պաշտոնատար անձի ֆինանսական դրության վերաբերյալ, ինչը կնպաստի հնարավոր խախտումների բացահայտմանը։ </w:t>
      </w:r>
    </w:p>
    <w:p w14:paraId="16889DEC" w14:textId="513D9C92" w:rsidR="00A2382C" w:rsidRPr="00E04728" w:rsidRDefault="00A2382C" w:rsidP="00D67B29">
      <w:pPr>
        <w:numPr>
          <w:ilvl w:val="0"/>
          <w:numId w:val="34"/>
        </w:numPr>
        <w:tabs>
          <w:tab w:val="left" w:pos="0"/>
        </w:tabs>
        <w:spacing w:line="276" w:lineRule="auto"/>
        <w:ind w:left="0" w:right="-1" w:firstLine="567"/>
        <w:contextualSpacing/>
        <w:rPr>
          <w:shd w:val="clear" w:color="auto" w:fill="FFFFFF"/>
        </w:rPr>
      </w:pPr>
      <w:r w:rsidRPr="00E04728">
        <w:rPr>
          <w:shd w:val="clear" w:color="auto" w:fill="FFFFFF"/>
        </w:rPr>
        <w:t xml:space="preserve"> Օրենսդրական փոփոխությունների արդյունքում 2022 թվականին ներկայացվող՝ 2021 թվականի տարեկան հայտարարագրերում առաջին անգամ տեղեկություններ են ներկայացվել հայտարարատուի կողմից տվյալ տարվա ընթացքում 90 և ավելի օր փաստացի տիրապետվող անշարժ գույքի (գույքերի) կամ հայտարարատուի անունից, օգտին կամ հաշվին ձեռք բերված, երրորդ անձին սեփականության իրավունքով պատկանող անշարժ գույքի (գույքերի), կամ անշարժ գույքի (գույքերի), որից (որոնցից) փաստացի օգուտ է ստանում կամ այն տնօրինում է հայտարարատուն:</w:t>
      </w:r>
    </w:p>
    <w:p w14:paraId="121F2CCC" w14:textId="77777777" w:rsidR="00A2382C" w:rsidRPr="00E04728" w:rsidRDefault="00A2382C" w:rsidP="00D67B29">
      <w:pPr>
        <w:numPr>
          <w:ilvl w:val="0"/>
          <w:numId w:val="31"/>
        </w:numPr>
        <w:tabs>
          <w:tab w:val="left" w:pos="0"/>
        </w:tabs>
        <w:spacing w:line="276" w:lineRule="auto"/>
        <w:ind w:left="0" w:right="-1" w:firstLine="567"/>
        <w:contextualSpacing/>
      </w:pPr>
      <w:r w:rsidRPr="00E04728">
        <w:rPr>
          <w:shd w:val="clear" w:color="auto" w:fill="FFFFFF"/>
        </w:rPr>
        <w:t xml:space="preserve"> Նվազեցվել է օրենքով սահմանված հայտարարագրման ենթակա թանկարժեք գույքի դրամական շեմը՝ 8 միլիոնի փոխարեն սահմանելով 4 միլիոն ՀՀ դրամ կամ դրան համարժեք </w:t>
      </w:r>
      <w:r w:rsidRPr="00E04728">
        <w:t>արժույթ։</w:t>
      </w:r>
    </w:p>
    <w:p w14:paraId="59B920C1" w14:textId="77777777" w:rsidR="00E5655A" w:rsidRPr="00E04728" w:rsidRDefault="00A2382C" w:rsidP="00D67B29">
      <w:pPr>
        <w:numPr>
          <w:ilvl w:val="0"/>
          <w:numId w:val="31"/>
        </w:numPr>
        <w:tabs>
          <w:tab w:val="left" w:pos="0"/>
        </w:tabs>
        <w:spacing w:line="276" w:lineRule="auto"/>
        <w:ind w:left="0" w:right="-1" w:firstLine="567"/>
        <w:contextualSpacing/>
        <w:rPr>
          <w:shd w:val="clear" w:color="auto" w:fill="FFFFFF"/>
        </w:rPr>
      </w:pPr>
      <w:r w:rsidRPr="00E04728">
        <w:rPr>
          <w:shd w:val="clear" w:color="auto" w:fill="FFFFFF"/>
        </w:rPr>
        <w:t xml:space="preserve"> Ներդրվել է </w:t>
      </w:r>
      <w:r w:rsidRPr="00E04728">
        <w:t>գույքի և եկամուտների իրավիճակային հայտարարագիր</w:t>
      </w:r>
      <w:r w:rsidR="00E5655A" w:rsidRPr="00E04728">
        <w:t xml:space="preserve"> ներկայացնելու պահանջը</w:t>
      </w:r>
      <w:r w:rsidRPr="00E04728">
        <w:rPr>
          <w:shd w:val="clear" w:color="auto" w:fill="FFFFFF"/>
        </w:rPr>
        <w:t xml:space="preserve">։ </w:t>
      </w:r>
    </w:p>
    <w:p w14:paraId="66B17D7C" w14:textId="37B3365D" w:rsidR="004C48FF" w:rsidRPr="00E04728" w:rsidRDefault="00A2382C" w:rsidP="004C48FF">
      <w:pPr>
        <w:numPr>
          <w:ilvl w:val="0"/>
          <w:numId w:val="31"/>
        </w:numPr>
        <w:tabs>
          <w:tab w:val="left" w:pos="0"/>
        </w:tabs>
        <w:spacing w:line="276" w:lineRule="auto"/>
        <w:ind w:left="0" w:right="-1" w:firstLine="567"/>
        <w:contextualSpacing/>
        <w:rPr>
          <w:shd w:val="clear" w:color="auto" w:fill="FFFFFF"/>
        </w:rPr>
      </w:pPr>
      <w:r w:rsidRPr="00E04728">
        <w:rPr>
          <w:shd w:val="clear" w:color="auto" w:fill="FFFFFF"/>
        </w:rPr>
        <w:t xml:space="preserve">Ընդլայնվել է </w:t>
      </w:r>
      <w:r w:rsidRPr="00E04728">
        <w:t>հայտարարատու պաշտոնատար անձանց շրջանակը</w:t>
      </w:r>
      <w:r w:rsidR="004C48FF" w:rsidRPr="00E04728">
        <w:t>, որի արդյունքում հայտարարագրման պահանջ է սահմանված կոռուպցիայի տես</w:t>
      </w:r>
      <w:r w:rsidR="00AA7F54">
        <w:t>ա</w:t>
      </w:r>
      <w:r w:rsidR="004C48FF" w:rsidRPr="00E04728">
        <w:t>նկյունից զգայուն բոլոր պաշտոնատար անձանց համար</w:t>
      </w:r>
      <w:r w:rsidRPr="00E04728">
        <w:t>։</w:t>
      </w:r>
      <w:r w:rsidRPr="00E04728">
        <w:rPr>
          <w:vertAlign w:val="superscript"/>
        </w:rPr>
        <w:footnoteReference w:id="4"/>
      </w:r>
      <w:r w:rsidR="004C48FF" w:rsidRPr="00E04728">
        <w:rPr>
          <w:shd w:val="clear" w:color="auto" w:fill="FFFFFF"/>
        </w:rPr>
        <w:t xml:space="preserve"> </w:t>
      </w:r>
    </w:p>
    <w:p w14:paraId="771A9427" w14:textId="6785A7D8" w:rsidR="00A2382C" w:rsidRPr="00E04728" w:rsidRDefault="00E03688" w:rsidP="006F7AB5">
      <w:pPr>
        <w:numPr>
          <w:ilvl w:val="0"/>
          <w:numId w:val="31"/>
        </w:numPr>
        <w:tabs>
          <w:tab w:val="left" w:pos="0"/>
        </w:tabs>
        <w:spacing w:line="276" w:lineRule="auto"/>
        <w:ind w:left="0" w:right="-1" w:firstLine="567"/>
        <w:contextualSpacing/>
        <w:rPr>
          <w:shd w:val="clear" w:color="auto" w:fill="FFFFFF"/>
        </w:rPr>
      </w:pPr>
      <w:r w:rsidRPr="00E04728">
        <w:rPr>
          <w:shd w:val="clear" w:color="auto" w:fill="FFFFFF"/>
        </w:rPr>
        <w:t>2024 թվականի հունվարի 1-ից պ</w:t>
      </w:r>
      <w:r w:rsidR="004C48FF" w:rsidRPr="00E04728">
        <w:rPr>
          <w:shd w:val="clear" w:color="auto" w:fill="FFFFFF"/>
        </w:rPr>
        <w:t xml:space="preserve">ետական և համայնքային ոչ առևտրային կազմակերպությունների, պետության կողմից հիմնադրած հիմնադրամների, 50 և ավելի տոկոս Հայաստանի Հանրապետության և համայնքի մասնակցությամբ առևտրային կազմակերպության գործադիր մարմնի </w:t>
      </w:r>
      <w:r w:rsidRPr="00E04728">
        <w:rPr>
          <w:shd w:val="clear" w:color="auto" w:fill="FFFFFF"/>
        </w:rPr>
        <w:t xml:space="preserve">ղեկավարները պարտավոր կլինեն ներկայացնելու իրավիճակային հայտարարագիր՝ </w:t>
      </w:r>
      <w:r w:rsidR="004C48FF" w:rsidRPr="00E04728">
        <w:rPr>
          <w:shd w:val="clear" w:color="auto" w:fill="FFFFFF"/>
        </w:rPr>
        <w:t>Կոռուպցիայի կանխարգելման հանձնաժողովի պահանջի հիման վրա</w:t>
      </w:r>
      <w:r w:rsidRPr="00E04728">
        <w:rPr>
          <w:shd w:val="clear" w:color="auto" w:fill="FFFFFF"/>
        </w:rPr>
        <w:t>։</w:t>
      </w:r>
    </w:p>
    <w:p w14:paraId="51B2A0F1" w14:textId="77777777" w:rsidR="00A2382C" w:rsidRPr="00E04728" w:rsidRDefault="00A2382C" w:rsidP="00D67B29">
      <w:pPr>
        <w:numPr>
          <w:ilvl w:val="0"/>
          <w:numId w:val="31"/>
        </w:numPr>
        <w:tabs>
          <w:tab w:val="left" w:pos="0"/>
        </w:tabs>
        <w:spacing w:line="276" w:lineRule="auto"/>
        <w:ind w:left="0" w:right="-1" w:firstLine="567"/>
        <w:contextualSpacing/>
      </w:pPr>
      <w:r w:rsidRPr="00E04728">
        <w:t xml:space="preserve"> 2023 թվականի փետրվարի 1-ից Կոռուպցիայի կանխարգելման հանձնաժողովը գործարկել է հայտարարագրերի ներկայացման նոր էլեկտրոնային համակարգը, որի արդյունքում 2022թ. տարեկան հայտարարագրերի ներկայացման պարտականություն ունեցող հայտարարատուները (պաշտոնատար անձ և ընտանիքի անդամ) հայտարարագիր կներկայացնեն արդեն նոր կատարելագործված համակարգի միջոցով:</w:t>
      </w:r>
    </w:p>
    <w:p w14:paraId="252BB1CC" w14:textId="713968BF" w:rsidR="00A2382C" w:rsidRPr="00E04728" w:rsidRDefault="006F7AB5" w:rsidP="006F7AB5">
      <w:pPr>
        <w:tabs>
          <w:tab w:val="left" w:pos="0"/>
          <w:tab w:val="left" w:pos="990"/>
        </w:tabs>
        <w:spacing w:line="276" w:lineRule="auto"/>
        <w:ind w:right="-1" w:firstLine="540"/>
      </w:pPr>
      <w:r w:rsidRPr="00E04728">
        <w:t xml:space="preserve">Անդրադառնալով </w:t>
      </w:r>
      <w:r w:rsidR="00A2382C" w:rsidRPr="00E04728">
        <w:t>2019-2022</w:t>
      </w:r>
      <w:r w:rsidR="003F1188" w:rsidRPr="00E04728">
        <w:t xml:space="preserve"> թվականների </w:t>
      </w:r>
      <w:r w:rsidR="00A2382C" w:rsidRPr="00E04728">
        <w:t xml:space="preserve"> հակակոռուպցիոն ռազմավարության</w:t>
      </w:r>
      <w:r w:rsidRPr="00E04728">
        <w:t xml:space="preserve"> կատարողականին</w:t>
      </w:r>
      <w:r w:rsidR="009D009F">
        <w:t>`</w:t>
      </w:r>
      <w:r w:rsidRPr="00E04728">
        <w:t xml:space="preserve"> հարկ է նշել, որ </w:t>
      </w:r>
      <w:r w:rsidR="00A2382C" w:rsidRPr="00E04728">
        <w:t xml:space="preserve"> </w:t>
      </w:r>
      <w:r w:rsidR="006220B5" w:rsidRPr="00E04728">
        <w:t>այն</w:t>
      </w:r>
      <w:r w:rsidR="00A2382C" w:rsidRPr="00E04728">
        <w:t xml:space="preserve"> 80, 2%-ով իրականացվել է</w:t>
      </w:r>
      <w:r w:rsidR="006220B5" w:rsidRPr="00E04728">
        <w:rPr>
          <w:rFonts w:ascii="MS Mincho" w:eastAsia="MS Mincho" w:hAnsi="MS Mincho" w:cs="MS Mincho" w:hint="eastAsia"/>
        </w:rPr>
        <w:t>․</w:t>
      </w:r>
      <w:r w:rsidR="00A2382C" w:rsidRPr="00E04728">
        <w:t xml:space="preserve"> 2022 թվականին նախատեսված է եղել ավարտել բոլոր 43 միջոցառումների կատարումը, սակայն փաստացի ամբողջությամբ կատարվել է 25 միջոցառում, մեծ մասամբ՝ 8 միջոցառում, մասնակի՝ 7 միջոցառում, չի կատարվել 3 միջոցառում։</w:t>
      </w:r>
    </w:p>
    <w:p w14:paraId="18509DD4" w14:textId="402FF77B" w:rsidR="00A2382C" w:rsidRPr="00E04728" w:rsidRDefault="009D009F" w:rsidP="00FB46C4">
      <w:pPr>
        <w:tabs>
          <w:tab w:val="left" w:pos="990"/>
        </w:tabs>
        <w:spacing w:line="276" w:lineRule="auto"/>
        <w:rPr>
          <w:b/>
        </w:rPr>
      </w:pPr>
      <w:r>
        <w:lastRenderedPageBreak/>
        <w:t>Հ</w:t>
      </w:r>
      <w:r w:rsidR="00A2382C" w:rsidRPr="00E04728">
        <w:t>իմնականում ամբողջությամբ կատարված են այն միջոցառումները, որոնք միտված էին օրենսդրական փոփոխությունների իրականացմանը (օրինակ, հայտարարագրման համակարգի բարելավմանը և ծախսերի հայտարարագրման պահանջի սահմանմանն ուղղված օրենսդրական ակտերի ընդունումը, գնումների ոլորտի բալերավման նպատակով օրենսդրական փոփոխությունները, տնտեսական մրցակցության պաշտպանության օրենսդրության բարելավմանն ուղղված օրենսդրական ակտերի ընդունումը, նվերների, անհամատեղելիության պահանջների և շահերի բախման կարգավորումների բարելավումներ, նոր Քրեական օրենսգրքի և նոր Քրեական դատավարության օրենսգրքի ընդունումը, բանկային հաշիվների ստեղծմանն ուղղված օրենսդրական փոփոխությունը և այլն) կամ նոր մարմինների ստեղծմանը (այսպես</w:t>
      </w:r>
      <w:r w:rsidR="008D2B28" w:rsidRPr="00E04728">
        <w:t>,</w:t>
      </w:r>
      <w:r w:rsidR="00A2382C" w:rsidRPr="00E04728">
        <w:t xml:space="preserve"> օրինակ</w:t>
      </w:r>
      <w:r w:rsidR="008D2B28" w:rsidRPr="00E04728">
        <w:t>՝</w:t>
      </w:r>
      <w:r w:rsidR="00A2382C" w:rsidRPr="00E04728">
        <w:t xml:space="preserve"> Կոռուպցիայի կանխարգելման հանձնաժողովի, Հակակոռուպցիոն կոմիտեի, հակակոռուպցիոն դատարանների ձևավորումը)։ Ընդ որում, մի շարք ամբողջությամբ կատարված միջոցառումների (օրինակ,</w:t>
      </w:r>
      <w:r w:rsidR="00DA420F" w:rsidRPr="00E04728">
        <w:t xml:space="preserve"> հյատարարգրմանն առնչվող բարեփոխումները, տնտեսական մրցակցության պաշտպանության մասին օրենսդրության կատարելագործումը և այլն</w:t>
      </w:r>
      <w:r w:rsidR="00A2382C" w:rsidRPr="00E04728">
        <w:t>) դեպքում առաջընթաց է գրանցվել այն առումով, որ վերջիններս ավարտվել են նախատեսված ժամկետներից առավել վաղ ժամկետներում, ինչը հնարավորություն է տվել որոշ դեպքերում իրավակիրառ փորձ ունենալ մինչ հաշվետու ժամանակահատածի ավարտը։</w:t>
      </w:r>
      <w:r w:rsidR="00A2382C" w:rsidRPr="00E04728">
        <w:rPr>
          <w:b/>
        </w:rPr>
        <w:t xml:space="preserve"> </w:t>
      </w:r>
    </w:p>
    <w:p w14:paraId="67C382C3" w14:textId="068867A9" w:rsidR="00A2382C" w:rsidRPr="00E04728" w:rsidRDefault="00A2382C" w:rsidP="006220B5">
      <w:pPr>
        <w:tabs>
          <w:tab w:val="left" w:pos="990"/>
        </w:tabs>
        <w:spacing w:line="276" w:lineRule="auto"/>
        <w:ind w:firstLine="540"/>
      </w:pPr>
      <w:r w:rsidRPr="00E04728">
        <w:t xml:space="preserve">Մեծ մասամբ կատարված միջոցառումների ամբողջական կատարմանը հիմնականում խոչընդոտել են </w:t>
      </w:r>
      <w:r w:rsidR="00595607" w:rsidRPr="00E04728">
        <w:t>այնպիսի հանգամանքներ, ինչպիսի</w:t>
      </w:r>
      <w:r w:rsidR="00D12E7E" w:rsidRPr="00E04728">
        <w:t>ք են օրինակ՝</w:t>
      </w:r>
      <w:r w:rsidRPr="00E04728">
        <w:t xml:space="preserve"> Ազգային ժողովի կողմից ընդունված օրենքների՝ Հանրապետության նախագահի կողմից սահմանադրականության վիճարկման հիմքով այդ օրենքների ուշ ուժի մեջ մտնելը և դրա արդյունքում վերապատարստումների հետաձգումը (օրինակ՝ </w:t>
      </w:r>
      <w:r w:rsidR="00CB3DBA" w:rsidRPr="00E04728">
        <w:t>Հակակոռուպցիոն դատարանի ստեղծմ</w:t>
      </w:r>
      <w:r w:rsidR="009D009F">
        <w:t>ա</w:t>
      </w:r>
      <w:r w:rsidR="00CB3DBA" w:rsidRPr="00E04728">
        <w:t>նն առնչվող միջոցառումը</w:t>
      </w:r>
      <w:r w:rsidRPr="00E04728">
        <w:t xml:space="preserve">) և դրա հետևանքով, օրինակ, մարմինների ուշ ձևավորումը (օրինակ՝ </w:t>
      </w:r>
      <w:r w:rsidR="00CB3DBA" w:rsidRPr="00E04728">
        <w:t>Հակակոռուպցիոն կոմիտեի ձևավորումը</w:t>
      </w:r>
      <w:r w:rsidRPr="00E04728">
        <w:t>), օրենսդրական կարգավորումների՝ ուշ ուժի մեջ մտնելու արդյունքում վերապատրաստումների ձգձգումը։</w:t>
      </w:r>
    </w:p>
    <w:p w14:paraId="527C6E3F" w14:textId="47A4F642" w:rsidR="00A2382C" w:rsidRPr="00E04728" w:rsidRDefault="00A2382C" w:rsidP="006220B5">
      <w:pPr>
        <w:tabs>
          <w:tab w:val="left" w:pos="990"/>
        </w:tabs>
        <w:spacing w:line="276" w:lineRule="auto"/>
        <w:ind w:firstLine="540"/>
      </w:pPr>
      <w:r w:rsidRPr="00E04728">
        <w:t>Մասնակի կատարված միջոցառումների դեպքում հիմնական խոչընդոտ է հանդիսացել ռեսուրսների անբավարարությունը (</w:t>
      </w:r>
      <w:r w:rsidR="009D009F">
        <w:t xml:space="preserve">ԿԿՀ-ի </w:t>
      </w:r>
      <w:r w:rsidRPr="00E04728">
        <w:t xml:space="preserve">կողմից կատարման ենթակա միջոցառումների դեպքում) կամ Ազգային </w:t>
      </w:r>
      <w:r w:rsidR="00C508D4" w:rsidRPr="00E04728">
        <w:t>ժողովում իրավական ակտերի նախագծերի քննարկման երկարատև գործընթացի</w:t>
      </w:r>
      <w:r w:rsidRPr="00E04728">
        <w:t xml:space="preserve"> կամ Հակակոռուպցիոն ռազմավարությամբ սահմանված ժամկետներում նման մեծածավալ բարեփոխումը ամբողջական ավարտին հասցնելու անհնարինությունը։</w:t>
      </w:r>
    </w:p>
    <w:p w14:paraId="0A9E46F3" w14:textId="3DF21B95" w:rsidR="00A2382C" w:rsidRPr="00E04728" w:rsidRDefault="00A2382C" w:rsidP="00705A70">
      <w:pPr>
        <w:tabs>
          <w:tab w:val="left" w:pos="990"/>
        </w:tabs>
        <w:spacing w:line="276" w:lineRule="auto"/>
        <w:ind w:firstLine="540"/>
        <w:rPr>
          <w:shd w:val="clear" w:color="auto" w:fill="FFFFFF"/>
        </w:rPr>
      </w:pPr>
      <w:r w:rsidRPr="00E04728">
        <w:rPr>
          <w:shd w:val="clear" w:color="auto" w:fill="FFFFFF"/>
        </w:rPr>
        <w:t>Չկատարված միջոցառումների (</w:t>
      </w:r>
      <w:r w:rsidR="00CB3DBA" w:rsidRPr="00E04728">
        <w:rPr>
          <w:shd w:val="clear" w:color="auto" w:fill="FFFFFF"/>
        </w:rPr>
        <w:t xml:space="preserve">պատգամավորների վարքագծի կանոնների սահմանում, միջազգային իրավական փոխօգնության մասին միասնական օրենքի </w:t>
      </w:r>
      <w:r w:rsidR="00705A70" w:rsidRPr="00E04728">
        <w:rPr>
          <w:shd w:val="clear" w:color="auto" w:fill="FFFFFF"/>
        </w:rPr>
        <w:t>ընդունում</w:t>
      </w:r>
      <w:r w:rsidR="00CB3DBA" w:rsidRPr="00E04728">
        <w:rPr>
          <w:shd w:val="clear" w:color="auto" w:fill="FFFFFF"/>
        </w:rPr>
        <w:t>,</w:t>
      </w:r>
      <w:r w:rsidR="00705A70" w:rsidRPr="00E04728">
        <w:t xml:space="preserve"> էթիկայի հանձնաժողովների և բարեվարքության հարցերով կազմակերպիչների ինստիտուտների ամբողջական գործարկում</w:t>
      </w:r>
      <w:r w:rsidRPr="00E04728">
        <w:rPr>
          <w:shd w:val="clear" w:color="auto" w:fill="FFFFFF"/>
        </w:rPr>
        <w:t xml:space="preserve">) առնչությամբ հարկ է նշել, որ այդ միջոցառումների շրջանակներում ևս որոշակի աշխատանքներ իրականացվել են, սակայն, ըստ էության, չեն ապահովվել մասնակի կատարված համարվելու համար սահմանված 30% և ավելի շեմը, կամ կատարված աշխատանքներն ըստ էության համահունչ չեն ռազմավարական նպատակի իրագործմանը, ուստի սահմանված մեթոդաբանությանը </w:t>
      </w:r>
      <w:r w:rsidRPr="00E04728">
        <w:rPr>
          <w:shd w:val="clear" w:color="auto" w:fill="FFFFFF"/>
        </w:rPr>
        <w:lastRenderedPageBreak/>
        <w:t>համապատասխան՝ այդ միջոցառումները գնահատվել են չկատարված։</w:t>
      </w:r>
      <w:r w:rsidR="009D009F">
        <w:rPr>
          <w:shd w:val="clear" w:color="auto" w:fill="FFFFFF"/>
        </w:rPr>
        <w:t xml:space="preserve"> Հատկանշական է, որ չկատարված միջոցառումները տեղ են գտել սույն ռազմավարության մեջ:</w:t>
      </w:r>
    </w:p>
    <w:p w14:paraId="75148681" w14:textId="62A61C7D" w:rsidR="00A2382C" w:rsidRPr="00E04728" w:rsidRDefault="00C81054" w:rsidP="00FB46C4">
      <w:pPr>
        <w:tabs>
          <w:tab w:val="left" w:pos="0"/>
        </w:tabs>
        <w:spacing w:line="276" w:lineRule="auto"/>
      </w:pPr>
      <w:r>
        <w:rPr>
          <w:shd w:val="clear" w:color="auto" w:fill="FFFFFF"/>
        </w:rPr>
        <w:t>Վ</w:t>
      </w:r>
      <w:r w:rsidR="00A2382C" w:rsidRPr="00E04728">
        <w:t>երոգրյալի հաշվառմամբ, կարելի է փաստել, որ 2019-2022թթ. հակակոռուպցիոն ռազմավարության իրականացման արդյունքում</w:t>
      </w:r>
      <w:r w:rsidR="00CB3DBA" w:rsidRPr="00E04728">
        <w:rPr>
          <w:vertAlign w:val="superscript"/>
        </w:rPr>
        <w:footnoteReference w:id="5"/>
      </w:r>
      <w:r w:rsidR="00A2382C" w:rsidRPr="00E04728">
        <w:t xml:space="preserve"> ապահովվել </w:t>
      </w:r>
      <w:r w:rsidR="004017E4" w:rsidRPr="00E04728">
        <w:t>է</w:t>
      </w:r>
      <w:r w:rsidR="00CB3DBA" w:rsidRPr="00E04728">
        <w:t>՝</w:t>
      </w:r>
      <w:r w:rsidR="004017E4" w:rsidRPr="00E04728">
        <w:t xml:space="preserve"> </w:t>
      </w:r>
    </w:p>
    <w:p w14:paraId="2F7905D7" w14:textId="17A9C735" w:rsidR="00A2382C" w:rsidRPr="00E04728" w:rsidRDefault="00A2382C" w:rsidP="00FB46C4">
      <w:pPr>
        <w:numPr>
          <w:ilvl w:val="0"/>
          <w:numId w:val="39"/>
        </w:numPr>
        <w:tabs>
          <w:tab w:val="left" w:pos="284"/>
          <w:tab w:val="left" w:pos="360"/>
          <w:tab w:val="left" w:pos="426"/>
          <w:tab w:val="left" w:pos="709"/>
          <w:tab w:val="left" w:pos="993"/>
        </w:tabs>
        <w:spacing w:line="276" w:lineRule="auto"/>
        <w:ind w:left="0" w:firstLine="567"/>
        <w:contextualSpacing/>
      </w:pPr>
      <w:r w:rsidRPr="00E04728">
        <w:t xml:space="preserve">Հայաստանի </w:t>
      </w:r>
      <w:r w:rsidR="004017E4" w:rsidRPr="00E04728">
        <w:t xml:space="preserve">Հանրապետության </w:t>
      </w:r>
      <w:r w:rsidRPr="00E04728">
        <w:t>հակակոռուպցիոն ինստիտուցիոնալ համակարգի ձևավորում</w:t>
      </w:r>
      <w:r w:rsidRPr="00E04728">
        <w:rPr>
          <w:rFonts w:ascii="MS Mincho" w:eastAsia="MS Mincho" w:hAnsi="MS Mincho" w:cs="MS Mincho" w:hint="eastAsia"/>
        </w:rPr>
        <w:t>․</w:t>
      </w:r>
      <w:r w:rsidRPr="00E04728">
        <w:t xml:space="preserve"> ստեղծվել են մասնագիտացված հակակոռուպցիոն կառույցներ</w:t>
      </w:r>
      <w:r w:rsidR="001500CC" w:rsidRPr="00E04728">
        <w:t>,</w:t>
      </w:r>
    </w:p>
    <w:p w14:paraId="50E1D010" w14:textId="77777777" w:rsidR="00A2382C" w:rsidRPr="00E04728" w:rsidRDefault="00A2382C" w:rsidP="00FB46C4">
      <w:pPr>
        <w:numPr>
          <w:ilvl w:val="0"/>
          <w:numId w:val="39"/>
        </w:numPr>
        <w:tabs>
          <w:tab w:val="left" w:pos="360"/>
          <w:tab w:val="left" w:pos="709"/>
        </w:tabs>
        <w:spacing w:line="276" w:lineRule="auto"/>
        <w:ind w:left="0" w:firstLine="567"/>
        <w:contextualSpacing/>
      </w:pPr>
      <w:r w:rsidRPr="00E04728">
        <w:t xml:space="preserve">Դատավորների, դատախազների, Հակակոռուպցիոն կոմիտեի քննիչների թեկնածուների/թեկնածուների հավակնորդների համար բարեվարքության ուսումնասիրությունների/ստուգման իրականացումը, </w:t>
      </w:r>
    </w:p>
    <w:p w14:paraId="01F7D02E" w14:textId="674C0DB3" w:rsidR="00A2382C" w:rsidRPr="00E04728" w:rsidRDefault="001500CC" w:rsidP="00FB46C4">
      <w:pPr>
        <w:numPr>
          <w:ilvl w:val="0"/>
          <w:numId w:val="39"/>
        </w:numPr>
        <w:tabs>
          <w:tab w:val="left" w:pos="360"/>
          <w:tab w:val="left" w:pos="709"/>
        </w:tabs>
        <w:spacing w:line="276" w:lineRule="auto"/>
        <w:ind w:left="0" w:firstLine="567"/>
        <w:contextualSpacing/>
      </w:pPr>
      <w:r w:rsidRPr="00E04728">
        <w:t>Հ</w:t>
      </w:r>
      <w:r w:rsidR="00A2382C" w:rsidRPr="00E04728">
        <w:t>այտարարագրման պարտականություն ունեցող հանրային պաշտոն զբաղեցնող անձանց և ծառայողների շրջանակի ընդլայնումը, հայտարարատուների ծախսերի և նրանց կողմից փաստացի տիրապետվող գույքի հայտարարագրումը, իրավիճակային հայտարարագրի ինստիտուտի ներդրումը, հայտարարագրերը հանրությանը մատչելի դարձնելը,</w:t>
      </w:r>
      <w:r w:rsidR="00A2382C" w:rsidRPr="00E04728">
        <w:rPr>
          <w:vertAlign w:val="superscript"/>
        </w:rPr>
        <w:footnoteReference w:id="6"/>
      </w:r>
    </w:p>
    <w:p w14:paraId="1AFA2A70" w14:textId="199FC6A6" w:rsidR="00A2382C" w:rsidRPr="00E04728" w:rsidRDefault="00A2382C" w:rsidP="00FB46C4">
      <w:pPr>
        <w:numPr>
          <w:ilvl w:val="0"/>
          <w:numId w:val="39"/>
        </w:numPr>
        <w:tabs>
          <w:tab w:val="left" w:pos="360"/>
          <w:tab w:val="left" w:pos="709"/>
        </w:tabs>
        <w:spacing w:line="276" w:lineRule="auto"/>
        <w:ind w:left="0" w:firstLine="567"/>
        <w:contextualSpacing/>
      </w:pPr>
      <w:r w:rsidRPr="00E04728">
        <w:t>ՀՀ քրեական և քրեա</w:t>
      </w:r>
      <w:r w:rsidR="00556DF3" w:rsidRPr="00E04728">
        <w:t xml:space="preserve">կան </w:t>
      </w:r>
      <w:r w:rsidRPr="00E04728">
        <w:t>դատավար</w:t>
      </w:r>
      <w:r w:rsidR="00556DF3" w:rsidRPr="00E04728">
        <w:t xml:space="preserve">ության </w:t>
      </w:r>
      <w:r w:rsidRPr="00E04728">
        <w:t xml:space="preserve"> նոր օրենսգրքերի շրջանակներում կոռուպցիոն հանցագործությունների շրջանակի </w:t>
      </w:r>
      <w:r w:rsidR="00F06F7B">
        <w:t>նախատեսումը</w:t>
      </w:r>
      <w:r w:rsidRPr="00E04728">
        <w:t>, այդ թվում՝ կոռուպցիոն հանցագործություններով ներգրավված իրավաբանական անձանց պատասխանատվության ապահովումը,</w:t>
      </w:r>
    </w:p>
    <w:p w14:paraId="0A3AC73C" w14:textId="51FB49F6" w:rsidR="00A2382C" w:rsidRPr="00E04728" w:rsidRDefault="00556DF3" w:rsidP="00FB46C4">
      <w:pPr>
        <w:numPr>
          <w:ilvl w:val="0"/>
          <w:numId w:val="39"/>
        </w:numPr>
        <w:tabs>
          <w:tab w:val="left" w:pos="360"/>
          <w:tab w:val="left" w:pos="709"/>
        </w:tabs>
        <w:spacing w:line="276" w:lineRule="auto"/>
        <w:ind w:left="0" w:firstLine="567"/>
        <w:contextualSpacing/>
      </w:pPr>
      <w:r w:rsidRPr="00E04728">
        <w:t>Գ</w:t>
      </w:r>
      <w:r w:rsidR="00A2382C" w:rsidRPr="00E04728">
        <w:t xml:space="preserve">նումների և տնտեսական մրցակցության պաշտպանության ոլորտներում օրենսդրության բարելավումը, </w:t>
      </w:r>
    </w:p>
    <w:p w14:paraId="3F5AD4FE" w14:textId="60FADBE3" w:rsidR="006A58D4" w:rsidRPr="00631B5E" w:rsidRDefault="00556DF3" w:rsidP="00631B5E">
      <w:pPr>
        <w:numPr>
          <w:ilvl w:val="0"/>
          <w:numId w:val="39"/>
        </w:numPr>
        <w:tabs>
          <w:tab w:val="left" w:pos="360"/>
          <w:tab w:val="left" w:pos="709"/>
        </w:tabs>
        <w:spacing w:line="276" w:lineRule="auto"/>
        <w:ind w:left="0" w:firstLine="567"/>
        <w:contextualSpacing/>
      </w:pPr>
      <w:r w:rsidRPr="00E04728">
        <w:t>Ա</w:t>
      </w:r>
      <w:r w:rsidR="00A2382C" w:rsidRPr="00E04728">
        <w:t>պօրինի ծագում ունեցող գույքի վերադարձման կառուցակարգերի ներդրումը։</w:t>
      </w:r>
    </w:p>
    <w:p w14:paraId="126962EC" w14:textId="56EFE061" w:rsidR="00A2382C" w:rsidRPr="00E04728" w:rsidRDefault="00A2382C" w:rsidP="006A58D4">
      <w:pPr>
        <w:spacing w:line="276" w:lineRule="auto"/>
        <w:ind w:firstLine="540"/>
      </w:pPr>
      <w:r w:rsidRPr="00E04728">
        <w:rPr>
          <w:shd w:val="clear" w:color="auto" w:fill="FFFFFF"/>
        </w:rPr>
        <w:t xml:space="preserve">Հակակոռուպցիոն ռազմավարության իրականացման 4 տարիների մոնիթորինգը ցույց է տվել, որ, ըստ </w:t>
      </w:r>
      <w:r w:rsidRPr="00E04728">
        <w:t>էության, Հայաստանի Հանրապետությունում նոր կորոնավիրուսային հիվանդության համավարակի պատճառով հայտարարված արտակարգ դրության և Հայաստանի Հանրապետության կառավարության 2020 թվականի սեպտեմբերի 27-ի «Հայաստանի Հանրապետությունում ռազմական դրություն հայտարարելու մասին»</w:t>
      </w:r>
      <w:r w:rsidR="00D46411" w:rsidRPr="00E04728">
        <w:t xml:space="preserve"> </w:t>
      </w:r>
      <w:r w:rsidRPr="00E04728">
        <w:t>N 1586-Ն որոշմամբ ՀՀ-ում ստեղծված ռազմական դրության հետևանքով ստեղծված իրավիճակը, սահմանված սահմանափակումները և տվյալ ժամանակահատվածի համար պետական կառավարման համակարգի առաջնահերթությունների հարկադրված վերանայումը և փոփոխությունը էապես ազդել են 2019–2022թթ</w:t>
      </w:r>
      <w:r w:rsidRPr="00E04728">
        <w:rPr>
          <w:rFonts w:ascii="MS Mincho" w:eastAsia="MS Mincho" w:hAnsi="MS Mincho" w:cs="MS Mincho" w:hint="eastAsia"/>
        </w:rPr>
        <w:t>․</w:t>
      </w:r>
      <w:r w:rsidRPr="00E04728">
        <w:t xml:space="preserve"> հակակոռուպցիոն ռազմավարության իրականացման վրա՝ հանդիսանալով բազմաթիվ միջոցառումների ձգձգման պատճառներից հիմնականը։</w:t>
      </w:r>
    </w:p>
    <w:p w14:paraId="7004A763" w14:textId="21947C9D" w:rsidR="00A2382C" w:rsidRPr="00E04728" w:rsidRDefault="00A2382C" w:rsidP="006A58D4">
      <w:pPr>
        <w:tabs>
          <w:tab w:val="left" w:pos="993"/>
        </w:tabs>
        <w:spacing w:line="276" w:lineRule="auto"/>
        <w:ind w:firstLine="540"/>
        <w:contextualSpacing/>
      </w:pPr>
      <w:r w:rsidRPr="00E04728">
        <w:t xml:space="preserve">Հարկ է նշել նաև, որ հակակոռուպցիոն մասնագիտացված ինստիտուցիոնալ մարմինների ձևավորման պայմաններում, դեռևս ապահովված չեն այդ մարմինների արդյունավետ գործունեության գործիքակազմերն ու կարողությունները։ Կոռուպցիայի </w:t>
      </w:r>
      <w:r w:rsidRPr="00E04728">
        <w:lastRenderedPageBreak/>
        <w:t xml:space="preserve">կանխարգելման հանձնաժողովը, Հակակոռուպցիոն կոմիտեն, Հակակոռուպցիոն մասնագիտացված դատարանները, Գլխավոր դատախազության կոռուպցիոն հանցագործությունների քննության նկատմամբ հսկողություն իրականացնող և ապօրինի գույքի բռնագանձման գործերով վարչությունները կարիք ունեն անձնակազմերի համալրման, կարողությունների զարգացման, օրենքով վերապահված լիազորությունները կյանքի կոչելու գործիքների ու կառուցակարգերի ներդրման։ </w:t>
      </w:r>
    </w:p>
    <w:p w14:paraId="7D966EE2" w14:textId="5C82D3CE" w:rsidR="00A2382C" w:rsidRPr="00E04728" w:rsidRDefault="00A2382C" w:rsidP="00D67B29">
      <w:pPr>
        <w:tabs>
          <w:tab w:val="left" w:pos="993"/>
        </w:tabs>
        <w:spacing w:line="276" w:lineRule="auto"/>
        <w:contextualSpacing/>
      </w:pPr>
      <w:r w:rsidRPr="00E04728">
        <w:t>Որպես 2019–2022թթ</w:t>
      </w:r>
      <w:r w:rsidRPr="00E04728">
        <w:rPr>
          <w:rFonts w:ascii="MS Mincho" w:eastAsia="MS Mincho" w:hAnsi="MS Mincho" w:cs="MS Mincho" w:hint="eastAsia"/>
        </w:rPr>
        <w:t>․</w:t>
      </w:r>
      <w:r w:rsidRPr="00E04728">
        <w:t xml:space="preserve"> հակակոռուպցիոն ռազմավարության իրականացման ընթացքի և վերջնարդյունքի խնդիրներ կարելի է առանձնացնել հետևյալը.</w:t>
      </w:r>
    </w:p>
    <w:p w14:paraId="0F28BFED" w14:textId="7D86F2C3" w:rsidR="00A2382C" w:rsidRPr="00E04728" w:rsidRDefault="00A2382C" w:rsidP="00D67B29">
      <w:pPr>
        <w:numPr>
          <w:ilvl w:val="0"/>
          <w:numId w:val="41"/>
        </w:numPr>
        <w:tabs>
          <w:tab w:val="left" w:pos="993"/>
        </w:tabs>
        <w:spacing w:line="276" w:lineRule="auto"/>
        <w:ind w:left="0" w:firstLine="567"/>
        <w:contextualSpacing/>
      </w:pPr>
      <w:r w:rsidRPr="00E04728">
        <w:t xml:space="preserve">«Կոռուպցիայի կանխարգելման հանձնաժողովի ձևավորում և բնականոն գործունեության ապահովում» միջոցառումն ամբողջությամբ կատարված է, սակայն, նկատի ունենալով </w:t>
      </w:r>
      <w:r w:rsidR="00F06F7B">
        <w:t>ԿԿՀ</w:t>
      </w:r>
      <w:r w:rsidRPr="00E04728">
        <w:t xml:space="preserve"> գործառույթների մեծ ծավալը, հարկ է դիտարկել վերջինիս ռեսուրսների ընդլայ</w:t>
      </w:r>
      <w:r w:rsidR="00F06F7B">
        <w:t>ն</w:t>
      </w:r>
      <w:r w:rsidRPr="00E04728">
        <w:t>ման հնարավորությունները.</w:t>
      </w:r>
    </w:p>
    <w:p w14:paraId="230531BA" w14:textId="3D1C29DC" w:rsidR="00A2382C" w:rsidRPr="00E04728" w:rsidRDefault="00A2382C" w:rsidP="00D67B29">
      <w:pPr>
        <w:numPr>
          <w:ilvl w:val="0"/>
          <w:numId w:val="40"/>
        </w:numPr>
        <w:tabs>
          <w:tab w:val="left" w:pos="993"/>
        </w:tabs>
        <w:spacing w:line="276" w:lineRule="auto"/>
        <w:ind w:left="0" w:firstLine="567"/>
        <w:contextualSpacing/>
      </w:pPr>
      <w:r w:rsidRPr="00E04728">
        <w:t xml:space="preserve">Հակակոռուպցիոն մասնագիտացված դատարանների ստեղծման և կայացման գործում անհրաժեշտ է </w:t>
      </w:r>
      <w:r w:rsidR="00A475D4">
        <w:t>հ</w:t>
      </w:r>
      <w:r w:rsidRPr="00E04728">
        <w:t>ակակոռուպցիոն մասնագիտացված դատարան</w:t>
      </w:r>
      <w:r w:rsidR="00A475D4">
        <w:t>ներ</w:t>
      </w:r>
      <w:r w:rsidRPr="00E04728">
        <w:t xml:space="preserve">ի դատավորների </w:t>
      </w:r>
      <w:r w:rsidR="00AC4961" w:rsidRPr="00E04728">
        <w:rPr>
          <w:rFonts w:cs="Arian AMU"/>
          <w:noProof w:val="0"/>
        </w:rPr>
        <w:t>շարունակակ</w:t>
      </w:r>
      <w:r w:rsidR="000001C3" w:rsidRPr="00E04728">
        <w:rPr>
          <w:rFonts w:cs="Arian AMU"/>
          <w:noProof w:val="0"/>
        </w:rPr>
        <w:t>ա</w:t>
      </w:r>
      <w:r w:rsidR="00AC4961" w:rsidRPr="00E04728">
        <w:rPr>
          <w:rFonts w:cs="Arian AMU"/>
          <w:noProof w:val="0"/>
        </w:rPr>
        <w:t>ն</w:t>
      </w:r>
      <w:r w:rsidR="00AC4961" w:rsidRPr="00E04728">
        <w:t xml:space="preserve"> հիմունքներով պատրաստումների իրականացում.</w:t>
      </w:r>
    </w:p>
    <w:p w14:paraId="195183DD" w14:textId="6D164214" w:rsidR="00A2382C" w:rsidRPr="00E04728" w:rsidRDefault="00A2382C" w:rsidP="00D67B29">
      <w:pPr>
        <w:numPr>
          <w:ilvl w:val="0"/>
          <w:numId w:val="40"/>
        </w:numPr>
        <w:tabs>
          <w:tab w:val="left" w:pos="993"/>
        </w:tabs>
        <w:spacing w:line="276" w:lineRule="auto"/>
        <w:ind w:left="0" w:firstLine="567"/>
        <w:contextualSpacing/>
      </w:pPr>
      <w:r w:rsidRPr="00E04728">
        <w:t xml:space="preserve">Հակակոռուպցիոն քաղաքականության մշակման համար պատասխանատու մարմինների, հասարակական կազմակերպությունների կարողությունների զարգացման համար անհրաժեշտ է </w:t>
      </w:r>
      <w:r w:rsidR="00AC4961" w:rsidRPr="00E04728">
        <w:t xml:space="preserve">շարունակական հիմունքներով կարողությունների </w:t>
      </w:r>
      <w:r w:rsidR="00AC4961" w:rsidRPr="00E04728">
        <w:rPr>
          <w:rFonts w:cs="Arian AMU"/>
        </w:rPr>
        <w:t>զարգացմ</w:t>
      </w:r>
      <w:r w:rsidR="000001C3" w:rsidRPr="00E04728">
        <w:rPr>
          <w:rFonts w:cs="Arian AMU"/>
        </w:rPr>
        <w:t>ան</w:t>
      </w:r>
      <w:r w:rsidR="00AC4961" w:rsidRPr="00E04728">
        <w:rPr>
          <w:rFonts w:cs="Arian AMU"/>
        </w:rPr>
        <w:t xml:space="preserve"> ապահով</w:t>
      </w:r>
      <w:r w:rsidR="000001C3" w:rsidRPr="00E04728">
        <w:rPr>
          <w:rFonts w:cs="Arian AMU"/>
        </w:rPr>
        <w:t>ում</w:t>
      </w:r>
      <w:r w:rsidR="00AC4961" w:rsidRPr="00E04728">
        <w:t>.</w:t>
      </w:r>
    </w:p>
    <w:p w14:paraId="673C8036" w14:textId="7C7EC30C" w:rsidR="00A2382C" w:rsidRPr="00E04728" w:rsidRDefault="00A2382C" w:rsidP="00D67B29">
      <w:pPr>
        <w:numPr>
          <w:ilvl w:val="0"/>
          <w:numId w:val="40"/>
        </w:numPr>
        <w:tabs>
          <w:tab w:val="left" w:pos="993"/>
        </w:tabs>
        <w:spacing w:line="276" w:lineRule="auto"/>
        <w:ind w:left="0" w:firstLine="567"/>
        <w:contextualSpacing/>
      </w:pPr>
      <w:r w:rsidRPr="00E04728">
        <w:t xml:space="preserve">Դոնորների համակարգման մեխանիզմի բնականոն աշխատանքի </w:t>
      </w:r>
      <w:r w:rsidR="00BB510D" w:rsidRPr="00E04728">
        <w:t xml:space="preserve"> համար անհրաժեշտ է </w:t>
      </w:r>
      <w:r w:rsidR="00B56F18" w:rsidRPr="00E04728">
        <w:t>պարբերաբար հանդիպումների մեխանիզմներ</w:t>
      </w:r>
      <w:r w:rsidR="00697F31">
        <w:t>ի</w:t>
      </w:r>
      <w:r w:rsidR="00B56F18" w:rsidRPr="00E04728">
        <w:t xml:space="preserve"> </w:t>
      </w:r>
      <w:r w:rsidR="00B56F18" w:rsidRPr="00E04728">
        <w:rPr>
          <w:rFonts w:cs="Arian AMU"/>
        </w:rPr>
        <w:t>կատարելագործ</w:t>
      </w:r>
      <w:r w:rsidR="000001C3" w:rsidRPr="00E04728">
        <w:rPr>
          <w:rFonts w:cs="Arian AMU"/>
        </w:rPr>
        <w:t>ում</w:t>
      </w:r>
      <w:r w:rsidR="00B56F18" w:rsidRPr="00E04728">
        <w:t xml:space="preserve"> և դոնորների աջակցության վերաբերյալ ամբողջ </w:t>
      </w:r>
      <w:r w:rsidR="00B56F18" w:rsidRPr="00E04728">
        <w:rPr>
          <w:rFonts w:cs="Arian AMU"/>
        </w:rPr>
        <w:t>տեղեկատվությ</w:t>
      </w:r>
      <w:r w:rsidR="000001C3" w:rsidRPr="00E04728">
        <w:rPr>
          <w:rFonts w:cs="Arian AMU"/>
        </w:rPr>
        <w:t>ան</w:t>
      </w:r>
      <w:r w:rsidR="00705A70" w:rsidRPr="00E04728">
        <w:rPr>
          <w:rFonts w:cs="Arian AMU"/>
        </w:rPr>
        <w:t xml:space="preserve"> </w:t>
      </w:r>
      <w:r w:rsidR="00B56F18" w:rsidRPr="00E04728">
        <w:rPr>
          <w:rFonts w:cs="Arian AMU"/>
        </w:rPr>
        <w:t>միասնականաց</w:t>
      </w:r>
      <w:r w:rsidR="000001C3" w:rsidRPr="00E04728">
        <w:rPr>
          <w:rFonts w:cs="Arian AMU"/>
        </w:rPr>
        <w:t>ում</w:t>
      </w:r>
      <w:r w:rsidR="00BB510D" w:rsidRPr="00E04728">
        <w:t>.</w:t>
      </w:r>
    </w:p>
    <w:p w14:paraId="170F8A09" w14:textId="714C7757" w:rsidR="00A2382C" w:rsidRPr="00E04728" w:rsidRDefault="00A2382C" w:rsidP="00D67B29">
      <w:pPr>
        <w:numPr>
          <w:ilvl w:val="0"/>
          <w:numId w:val="40"/>
        </w:numPr>
        <w:tabs>
          <w:tab w:val="left" w:pos="993"/>
        </w:tabs>
        <w:spacing w:line="276" w:lineRule="auto"/>
        <w:ind w:left="0" w:firstLine="567"/>
        <w:contextualSpacing/>
      </w:pPr>
      <w:r w:rsidRPr="00E04728">
        <w:t xml:space="preserve">Կոռուպցիոն ռիսկերի գնահատման հիման վրա ոլորտային միջոցառումների ծրագրի մշակման նպատակով անհրաժեշտ է կոռուպցիոն ռիսկերի գնահատման, վերլուծության և կառավարման </w:t>
      </w:r>
      <w:r w:rsidR="00BB510D" w:rsidRPr="00E04728">
        <w:rPr>
          <w:rFonts w:eastAsia="Calibri" w:cs="Arian AMU"/>
          <w:noProof w:val="0"/>
        </w:rPr>
        <w:t>մեթոդաբանությ</w:t>
      </w:r>
      <w:r w:rsidR="000001C3" w:rsidRPr="00E04728">
        <w:rPr>
          <w:rFonts w:eastAsia="Calibri" w:cs="Arian AMU"/>
          <w:noProof w:val="0"/>
        </w:rPr>
        <w:t>ան</w:t>
      </w:r>
      <w:r w:rsidR="00BB510D" w:rsidRPr="00E04728">
        <w:rPr>
          <w:rFonts w:eastAsia="Calibri" w:cs="Arian AMU"/>
          <w:noProof w:val="0"/>
        </w:rPr>
        <w:t xml:space="preserve"> մշակ</w:t>
      </w:r>
      <w:r w:rsidR="000001C3" w:rsidRPr="00E04728">
        <w:rPr>
          <w:rFonts w:eastAsia="Calibri" w:cs="Arian AMU"/>
          <w:noProof w:val="0"/>
        </w:rPr>
        <w:t>ում</w:t>
      </w:r>
      <w:r w:rsidRPr="00E04728">
        <w:t>.</w:t>
      </w:r>
    </w:p>
    <w:p w14:paraId="4A2F3CC2" w14:textId="77777777" w:rsidR="00A2382C" w:rsidRPr="00E04728" w:rsidRDefault="00A2382C" w:rsidP="00D67B29">
      <w:pPr>
        <w:numPr>
          <w:ilvl w:val="0"/>
          <w:numId w:val="40"/>
        </w:numPr>
        <w:tabs>
          <w:tab w:val="left" w:pos="993"/>
        </w:tabs>
        <w:spacing w:line="276" w:lineRule="auto"/>
        <w:ind w:left="0" w:firstLine="567"/>
        <w:contextualSpacing/>
      </w:pPr>
      <w:r w:rsidRPr="00E04728">
        <w:t>«Պատգամավորի, քննիչի, վարքագծի կանոնների սահմանում, դատախազների և դատավորների վարքագծի կանոնների վերանայում» միջոցառումը ամբողջությամբ ավարտին հասցնելու համար անհրաժեշտ է միջազգային փորձի հիման վրա պատգամավորի վարքագծի կանոնների սահմանում, դատախազների և դատավորների վարքագծի կանոնների վերանայում, քննիչների և պատգամավորների համար վարքագծի կանոնների վերաբերյալ առնվազն 2 վերապատրաստման իրականացում.</w:t>
      </w:r>
    </w:p>
    <w:p w14:paraId="113AAEE1" w14:textId="01B65824" w:rsidR="00A2382C" w:rsidRPr="00E04728" w:rsidRDefault="00A2382C" w:rsidP="00D67B29">
      <w:pPr>
        <w:numPr>
          <w:ilvl w:val="0"/>
          <w:numId w:val="40"/>
        </w:numPr>
        <w:tabs>
          <w:tab w:val="left" w:pos="993"/>
        </w:tabs>
        <w:spacing w:line="276" w:lineRule="auto"/>
        <w:ind w:left="0" w:firstLine="567"/>
        <w:contextualSpacing/>
      </w:pPr>
      <w:r w:rsidRPr="00E04728">
        <w:t>Գործարար ոլորտում հակակոռուպցիոն համապատասխանության պահանջների ընդունման</w:t>
      </w:r>
      <w:r w:rsidR="00983349" w:rsidRPr="00E04728">
        <w:t xml:space="preserve"> և</w:t>
      </w:r>
      <w:r w:rsidRPr="00E04728">
        <w:t xml:space="preserve"> խթանման նպատակով </w:t>
      </w:r>
      <w:r w:rsidR="007C6C74" w:rsidRPr="00E04728">
        <w:t xml:space="preserve">անհրաժեշտ է </w:t>
      </w:r>
      <w:r w:rsidRPr="00E04728">
        <w:t xml:space="preserve">գործարար ոլորտի համար նախատեսված պետական աջակցության առնվազն 1 ծրագրով հակակոռուպցիոն համապատասխանության </w:t>
      </w:r>
      <w:r w:rsidRPr="00E04728">
        <w:rPr>
          <w:rFonts w:cs="Arian AMU"/>
        </w:rPr>
        <w:t>առկայությ</w:t>
      </w:r>
      <w:r w:rsidR="000001C3" w:rsidRPr="00E04728">
        <w:rPr>
          <w:rFonts w:cs="Arian AMU"/>
        </w:rPr>
        <w:t>ան</w:t>
      </w:r>
      <w:r w:rsidRPr="00E04728">
        <w:t xml:space="preserve"> համապատասխան իրավական ակտերով </w:t>
      </w:r>
      <w:r w:rsidRPr="00E04728">
        <w:rPr>
          <w:rFonts w:cs="Arian AMU"/>
        </w:rPr>
        <w:t>սահման</w:t>
      </w:r>
      <w:r w:rsidR="000001C3" w:rsidRPr="00E04728">
        <w:rPr>
          <w:rFonts w:cs="Arian AMU"/>
        </w:rPr>
        <w:t>ում</w:t>
      </w:r>
      <w:r w:rsidRPr="00E04728">
        <w:t xml:space="preserve"> որպես առավելություն տվող չափանիշ.</w:t>
      </w:r>
    </w:p>
    <w:p w14:paraId="13539D65" w14:textId="5EB4C270" w:rsidR="00A2382C" w:rsidRPr="00E04728" w:rsidRDefault="000001C3" w:rsidP="00D67B29">
      <w:pPr>
        <w:numPr>
          <w:ilvl w:val="0"/>
          <w:numId w:val="40"/>
        </w:numPr>
        <w:tabs>
          <w:tab w:val="left" w:pos="993"/>
        </w:tabs>
        <w:spacing w:line="276" w:lineRule="auto"/>
        <w:ind w:left="0" w:firstLine="567"/>
        <w:contextualSpacing/>
      </w:pPr>
      <w:r w:rsidRPr="00E04728">
        <w:rPr>
          <w:rFonts w:cs="Arian AMU"/>
        </w:rPr>
        <w:lastRenderedPageBreak/>
        <w:t>Ի</w:t>
      </w:r>
      <w:r w:rsidR="00A2382C" w:rsidRPr="00E04728">
        <w:rPr>
          <w:rFonts w:cs="Arian AMU"/>
        </w:rPr>
        <w:t>րավական</w:t>
      </w:r>
      <w:r w:rsidR="00A2382C" w:rsidRPr="00E04728">
        <w:t xml:space="preserve"> ակտերի նախագծերի մշակման գործընթացին հասարակության </w:t>
      </w:r>
      <w:r w:rsidR="00A2382C" w:rsidRPr="00E04728">
        <w:rPr>
          <w:rFonts w:cs="Arian AMU"/>
        </w:rPr>
        <w:t>մասնակցության</w:t>
      </w:r>
      <w:r w:rsidR="00A2382C" w:rsidRPr="00E04728">
        <w:t xml:space="preserve"> արդյունավետության բարձրացմանն ուղղված իրազեկման աշխատանքների </w:t>
      </w:r>
      <w:r w:rsidR="00A2382C" w:rsidRPr="00E04728">
        <w:rPr>
          <w:rFonts w:cs="Arian AMU"/>
        </w:rPr>
        <w:t>շարունակականությ</w:t>
      </w:r>
      <w:r w:rsidRPr="00E04728">
        <w:rPr>
          <w:rFonts w:cs="Arian AMU"/>
        </w:rPr>
        <w:t>ան ապահովում</w:t>
      </w:r>
      <w:r w:rsidR="001D04DC" w:rsidRPr="00E04728">
        <w:t>.</w:t>
      </w:r>
    </w:p>
    <w:p w14:paraId="09C9F340" w14:textId="40C0E1E6" w:rsidR="00A2382C" w:rsidRPr="00E04728" w:rsidRDefault="001476D6" w:rsidP="00D67B29">
      <w:pPr>
        <w:numPr>
          <w:ilvl w:val="0"/>
          <w:numId w:val="40"/>
        </w:numPr>
        <w:tabs>
          <w:tab w:val="left" w:pos="993"/>
        </w:tabs>
        <w:spacing w:line="276" w:lineRule="auto"/>
        <w:ind w:left="0" w:firstLine="567"/>
        <w:contextualSpacing/>
      </w:pPr>
      <w:r w:rsidRPr="00E04728">
        <w:rPr>
          <w:rFonts w:cs="Arian AMU"/>
        </w:rPr>
        <w:t>Բ</w:t>
      </w:r>
      <w:r w:rsidR="00A2382C" w:rsidRPr="00E04728">
        <w:rPr>
          <w:rFonts w:cs="Arian AMU"/>
        </w:rPr>
        <w:t>ազմաթիվ</w:t>
      </w:r>
      <w:r w:rsidR="00A2382C" w:rsidRPr="00E04728">
        <w:t xml:space="preserve"> պետական շտեմարաններում առկա տվյալների՝ ներառյալ արխիվային նյութերի թվայնացման </w:t>
      </w:r>
      <w:r w:rsidR="00A2382C" w:rsidRPr="00E04728">
        <w:rPr>
          <w:rFonts w:cs="Arian AMU"/>
        </w:rPr>
        <w:t>ապահ</w:t>
      </w:r>
      <w:r w:rsidR="00697F31">
        <w:rPr>
          <w:rFonts w:cs="Arian AMU"/>
        </w:rPr>
        <w:t>ո</w:t>
      </w:r>
      <w:r w:rsidR="00A2382C" w:rsidRPr="00E04728">
        <w:rPr>
          <w:rFonts w:cs="Arian AMU"/>
        </w:rPr>
        <w:t>վում</w:t>
      </w:r>
      <w:r w:rsidR="00A2382C" w:rsidRPr="00E04728">
        <w:t xml:space="preserve">, ինչը հաճախ խոչընդոտում է էլեկտրոնային հարցումների արդյունքների արագ </w:t>
      </w:r>
      <w:r w:rsidR="00A2382C" w:rsidRPr="00E04728">
        <w:rPr>
          <w:rFonts w:cs="Arian AMU"/>
        </w:rPr>
        <w:t>ստաց</w:t>
      </w:r>
      <w:r w:rsidRPr="00E04728">
        <w:rPr>
          <w:rFonts w:cs="Arian AMU"/>
        </w:rPr>
        <w:t>մանը</w:t>
      </w:r>
      <w:r w:rsidR="00A2382C" w:rsidRPr="00E04728">
        <w:t xml:space="preserve"> կամ էլեկտրոնային եղանակով </w:t>
      </w:r>
      <w:r w:rsidR="00A2382C" w:rsidRPr="00E04728">
        <w:rPr>
          <w:rFonts w:cs="Arian AMU"/>
        </w:rPr>
        <w:t>ստաց</w:t>
      </w:r>
      <w:r w:rsidRPr="00E04728">
        <w:rPr>
          <w:rFonts w:cs="Arian AMU"/>
        </w:rPr>
        <w:t>մանը</w:t>
      </w:r>
      <w:r w:rsidR="00A2382C" w:rsidRPr="00E04728">
        <w:t>.</w:t>
      </w:r>
    </w:p>
    <w:p w14:paraId="2385A3A3" w14:textId="77C8A463" w:rsidR="00A2382C" w:rsidRPr="00E04728" w:rsidRDefault="00A2382C" w:rsidP="00D67B29">
      <w:pPr>
        <w:numPr>
          <w:ilvl w:val="0"/>
          <w:numId w:val="40"/>
        </w:numPr>
        <w:tabs>
          <w:tab w:val="left" w:pos="993"/>
        </w:tabs>
        <w:spacing w:line="276" w:lineRule="auto"/>
        <w:ind w:left="0" w:firstLine="567"/>
        <w:contextualSpacing/>
      </w:pPr>
      <w:r w:rsidRPr="00E04728">
        <w:t xml:space="preserve">Կոռուպցիոն հանցագործությունների քննության և բացահայտման շրջանակում միջազգային համագործակցության ամրապնդման նպատակով </w:t>
      </w:r>
      <w:r w:rsidR="007C6C74" w:rsidRPr="00E04728">
        <w:t xml:space="preserve"> </w:t>
      </w:r>
      <w:r w:rsidRPr="00E04728">
        <w:t xml:space="preserve">«Քրեական գործերով իրավական օգնության մասին» օրենքի </w:t>
      </w:r>
      <w:r w:rsidRPr="00E04728">
        <w:rPr>
          <w:rFonts w:cs="Arian AMU"/>
        </w:rPr>
        <w:t>ընդուն</w:t>
      </w:r>
      <w:r w:rsidR="00583B5E" w:rsidRPr="00E04728">
        <w:rPr>
          <w:rFonts w:cs="Arian AMU"/>
        </w:rPr>
        <w:t>ման ապահովում</w:t>
      </w:r>
      <w:r w:rsidRPr="00E04728">
        <w:t xml:space="preserve">, կոռուպցիոն հանցագործությունների քննության և բացահայտման շրջանակում միջազգային համագործակցության մեխանիզմների </w:t>
      </w:r>
      <w:r w:rsidRPr="00E04728">
        <w:rPr>
          <w:rFonts w:cs="Arian AMU"/>
        </w:rPr>
        <w:t>կատարելագործում</w:t>
      </w:r>
      <w:r w:rsidRPr="00E04728">
        <w:t>.</w:t>
      </w:r>
    </w:p>
    <w:p w14:paraId="58E35F55" w14:textId="2CE1BBC8" w:rsidR="00A2382C" w:rsidRPr="00E04728" w:rsidRDefault="008A2C7D" w:rsidP="00D67B29">
      <w:pPr>
        <w:numPr>
          <w:ilvl w:val="0"/>
          <w:numId w:val="40"/>
        </w:numPr>
        <w:tabs>
          <w:tab w:val="left" w:pos="993"/>
        </w:tabs>
        <w:spacing w:line="276" w:lineRule="auto"/>
        <w:ind w:left="0" w:firstLine="567"/>
        <w:contextualSpacing/>
      </w:pPr>
      <w:r w:rsidRPr="00E04728">
        <w:t>Անհրաժեշտ է հ</w:t>
      </w:r>
      <w:r w:rsidR="00A2382C" w:rsidRPr="00E04728">
        <w:t>ակակոռուպցիոն թեմաներով մատչելի ուսուցողական նյութերի մշակում և բարձրագույն ուսումնական և միջին մասնագիտական ուսումնական հաստատություններում</w:t>
      </w:r>
      <w:r w:rsidRPr="00E04728">
        <w:t>, դպրոցներում</w:t>
      </w:r>
      <w:r w:rsidR="00583B5E" w:rsidRPr="00E04728">
        <w:rPr>
          <w:rFonts w:cs="Arian AMU"/>
        </w:rPr>
        <w:t xml:space="preserve"> վերջիններիս ցուցադրության ապահովում</w:t>
      </w:r>
      <w:r w:rsidRPr="00E04728">
        <w:rPr>
          <w:rFonts w:ascii="MS Mincho" w:eastAsia="MS Mincho" w:hAnsi="MS Mincho" w:cs="MS Mincho" w:hint="eastAsia"/>
        </w:rPr>
        <w:t>․</w:t>
      </w:r>
    </w:p>
    <w:p w14:paraId="4A2F44B2" w14:textId="252A562F" w:rsidR="00A2382C" w:rsidRPr="00E04728" w:rsidRDefault="00A2382C" w:rsidP="00D67B29">
      <w:pPr>
        <w:numPr>
          <w:ilvl w:val="0"/>
          <w:numId w:val="40"/>
        </w:numPr>
        <w:tabs>
          <w:tab w:val="left" w:pos="993"/>
        </w:tabs>
        <w:spacing w:line="276" w:lineRule="auto"/>
        <w:ind w:left="0" w:firstLine="567"/>
        <w:contextualSpacing/>
      </w:pPr>
      <w:r w:rsidRPr="00E04728">
        <w:t xml:space="preserve">Հասարակության շրջանում կոռուպցիայի, հանրային վստահության մակարդակի և հակակոռուպցիոն միջոցառումների ազդեցության վերաբերյալ պարբերական հարցումների իրականացման, հարցումների արդյունքների հրապարակման նպատակով կոռուպցիայի, հանրային վստահության մակարդակի և հակակոռուպցիոն միջոցառումների ազդեցության վերաբերյալ շարունակական հարցումների </w:t>
      </w:r>
      <w:r w:rsidR="008C36FC" w:rsidRPr="00E04728">
        <w:t xml:space="preserve">իրականացման </w:t>
      </w:r>
      <w:r w:rsidR="008C36FC" w:rsidRPr="00E04728">
        <w:rPr>
          <w:rFonts w:cs="Arian AMU"/>
        </w:rPr>
        <w:t>մեխանիզմներ</w:t>
      </w:r>
      <w:r w:rsidR="00583B5E" w:rsidRPr="00E04728">
        <w:rPr>
          <w:rFonts w:cs="Arian AMU"/>
        </w:rPr>
        <w:t>ի</w:t>
      </w:r>
      <w:r w:rsidR="008C36FC" w:rsidRPr="00E04728">
        <w:rPr>
          <w:rFonts w:cs="Arian AMU"/>
        </w:rPr>
        <w:t xml:space="preserve"> սահման</w:t>
      </w:r>
      <w:r w:rsidR="00583B5E" w:rsidRPr="00E04728">
        <w:rPr>
          <w:rFonts w:cs="Arian AMU"/>
        </w:rPr>
        <w:t>ում</w:t>
      </w:r>
      <w:r w:rsidRPr="00E04728">
        <w:t>.</w:t>
      </w:r>
    </w:p>
    <w:p w14:paraId="126B2EBE" w14:textId="4F10A285" w:rsidR="00A2382C" w:rsidRPr="00E04728" w:rsidRDefault="00A2382C" w:rsidP="00D67B29">
      <w:pPr>
        <w:numPr>
          <w:ilvl w:val="0"/>
          <w:numId w:val="40"/>
        </w:numPr>
        <w:tabs>
          <w:tab w:val="left" w:pos="993"/>
        </w:tabs>
        <w:spacing w:line="276" w:lineRule="auto"/>
        <w:ind w:left="0" w:firstLine="567"/>
        <w:contextualSpacing/>
      </w:pPr>
      <w:r w:rsidRPr="00E04728">
        <w:t>Հակակոռուպցիոն կարգավորման ազդեցության գնահատման համակարգի արդյունավետության բարձրացումն ապահովելու</w:t>
      </w:r>
      <w:r w:rsidR="00CD3FCC" w:rsidRPr="00E04728">
        <w:t xml:space="preserve"> </w:t>
      </w:r>
      <w:r w:rsidR="00CD3FCC" w:rsidRPr="00E04728">
        <w:rPr>
          <w:rFonts w:cs="Arian AMU"/>
        </w:rPr>
        <w:t>նպատակով</w:t>
      </w:r>
      <w:r w:rsidRPr="00E04728">
        <w:t xml:space="preserve"> հակակոռուպցիոն  ազդեցության</w:t>
      </w:r>
      <w:r w:rsidR="00960C8F" w:rsidRPr="00E04728">
        <w:t xml:space="preserve"> գնահատման</w:t>
      </w:r>
      <w:r w:rsidRPr="00E04728">
        <w:t xml:space="preserve"> կամ հակակոռուպցիոն փորձաքննության լիազոր մարմնի և կիրարկման կառուցակարգերի սահմանման </w:t>
      </w:r>
      <w:r w:rsidRPr="00E04728">
        <w:rPr>
          <w:rFonts w:cs="Arian AMU"/>
        </w:rPr>
        <w:t>հարցեր</w:t>
      </w:r>
      <w:r w:rsidR="00CD3FCC" w:rsidRPr="00E04728">
        <w:rPr>
          <w:rFonts w:cs="Arian AMU"/>
        </w:rPr>
        <w:t>ի քննարկում</w:t>
      </w:r>
      <w:r w:rsidRPr="00E04728">
        <w:rPr>
          <w:rFonts w:cs="Arian AMU"/>
        </w:rPr>
        <w:t>:</w:t>
      </w:r>
    </w:p>
    <w:p w14:paraId="34ECECD7" w14:textId="77777777" w:rsidR="00A2382C" w:rsidRPr="00E04728" w:rsidRDefault="00A2382C" w:rsidP="00D67B29">
      <w:pPr>
        <w:tabs>
          <w:tab w:val="left" w:pos="284"/>
          <w:tab w:val="left" w:pos="426"/>
          <w:tab w:val="left" w:pos="709"/>
          <w:tab w:val="left" w:pos="993"/>
        </w:tabs>
        <w:spacing w:line="276" w:lineRule="auto"/>
        <w:contextualSpacing/>
      </w:pPr>
    </w:p>
    <w:p w14:paraId="0046C854" w14:textId="1E33F018" w:rsidR="00A2382C" w:rsidRPr="00E04728" w:rsidRDefault="00A2382C" w:rsidP="00D67B29">
      <w:pPr>
        <w:pStyle w:val="Heading2"/>
        <w:tabs>
          <w:tab w:val="left" w:pos="709"/>
          <w:tab w:val="left" w:pos="851"/>
          <w:tab w:val="left" w:pos="993"/>
        </w:tabs>
        <w:spacing w:before="0" w:line="276" w:lineRule="auto"/>
        <w:rPr>
          <w:rFonts w:ascii="GHEA Grapalat" w:hAnsi="GHEA Grapalat"/>
          <w:b/>
          <w:color w:val="auto"/>
          <w:sz w:val="24"/>
        </w:rPr>
      </w:pPr>
      <w:bookmarkStart w:id="5" w:name="_Toc135081420"/>
      <w:bookmarkStart w:id="6" w:name="_Toc140181767"/>
      <w:r w:rsidRPr="00E04728">
        <w:rPr>
          <w:rFonts w:ascii="GHEA Grapalat" w:hAnsi="GHEA Grapalat"/>
          <w:b/>
          <w:color w:val="auto"/>
          <w:sz w:val="24"/>
        </w:rPr>
        <w:t xml:space="preserve">2. </w:t>
      </w:r>
      <w:r w:rsidR="00705A70" w:rsidRPr="00E04728">
        <w:rPr>
          <w:rFonts w:ascii="GHEA Grapalat" w:hAnsi="GHEA Grapalat"/>
          <w:b/>
          <w:color w:val="auto"/>
          <w:sz w:val="24"/>
        </w:rPr>
        <w:t>ՀԱԿԱԿՈՌՈՒՊՑԻՈՆ ՈԼՈՐՏՈՒՄ ՀԱՅԱՍՏԱՆԻ ՀԱՆՐԱՊԵՏՈՒԹՅԱՆ ՍՏԱՆՁՆԱԾ ՄԻՋԱԶԳԱՅԻՆ ՊԱՐՏԱՎՈՐՈՒԹՅՈՒՆՆԵՐԻ ԳՆԱՀԱՏԱԿԱՆԸ</w:t>
      </w:r>
      <w:bookmarkEnd w:id="5"/>
      <w:bookmarkEnd w:id="6"/>
      <w:r w:rsidR="00705A70" w:rsidRPr="00E04728">
        <w:rPr>
          <w:rFonts w:ascii="GHEA Grapalat" w:hAnsi="GHEA Grapalat"/>
          <w:b/>
          <w:color w:val="auto"/>
          <w:sz w:val="24"/>
        </w:rPr>
        <w:t xml:space="preserve"> </w:t>
      </w:r>
    </w:p>
    <w:p w14:paraId="367FF849" w14:textId="77777777" w:rsidR="00A2382C" w:rsidRPr="00E04728" w:rsidRDefault="00A2382C" w:rsidP="00D67B29">
      <w:pPr>
        <w:tabs>
          <w:tab w:val="left" w:pos="284"/>
          <w:tab w:val="left" w:pos="426"/>
          <w:tab w:val="left" w:pos="709"/>
          <w:tab w:val="left" w:pos="851"/>
          <w:tab w:val="left" w:pos="993"/>
        </w:tabs>
        <w:spacing w:line="276" w:lineRule="auto"/>
        <w:rPr>
          <w:b/>
        </w:rPr>
      </w:pPr>
    </w:p>
    <w:p w14:paraId="6664E415" w14:textId="487416E8" w:rsidR="00A2382C" w:rsidRPr="00E04728" w:rsidRDefault="00A2382C" w:rsidP="00D67B29">
      <w:pPr>
        <w:tabs>
          <w:tab w:val="left" w:pos="709"/>
          <w:tab w:val="left" w:pos="851"/>
          <w:tab w:val="left" w:pos="993"/>
        </w:tabs>
        <w:spacing w:line="276" w:lineRule="auto"/>
      </w:pPr>
      <w:r w:rsidRPr="00E04728">
        <w:t xml:space="preserve">Հայաստանի Հանրապետությունը, հանդիսանալով Տնտեսական համագործակցության և զարգացման կազմակերպության (ՏՀԶԿ) Արևելյան Եվրոպայի և Կենտրոնական Ասիայի երկրների հակակոռուպցիոն ցանցի, Կոռուպցիայի դեմ պայքարի պետությունների խմբի (ԳՐԵԿՈ) անդամ պետություն, վավերացնելով ՄԱԿ-ի Կոռուպցիայի դեմ կոնվենցիան, Եվրամիության Համապարփակ և ընդլայնված գործընկերության համաձայնագիրը, ինչպես նաև անդամակցելով Բաց կառավարության գործընկերության (ԲԿԳ) նախաձեռնությանը, ստանձնել է մի շարք հակակոռուպցիոն միջազգային պարտավորություններ։ Հակակոռուպցիոն ոլորտում ՀՀ ստանձնած պարտավորությունները շարունակաբար ընդլայնվել են, իսկ ոլորտում վարվող պետական քաղաքականությունը շաղկապվել և համադրվել է կառավարության ու հանրային կառավարման այլ ոլորտների զարգացման ծրագրերին։ </w:t>
      </w:r>
    </w:p>
    <w:p w14:paraId="478EE081" w14:textId="66EC8F71" w:rsidR="00A2382C" w:rsidRPr="00E04728" w:rsidRDefault="00A2382C" w:rsidP="00FB46C4">
      <w:pPr>
        <w:spacing w:line="276" w:lineRule="auto"/>
      </w:pPr>
      <w:r w:rsidRPr="00E04728">
        <w:lastRenderedPageBreak/>
        <w:t>2019–2022թթ</w:t>
      </w:r>
      <w:r w:rsidRPr="00E04728">
        <w:rPr>
          <w:rFonts w:ascii="MS Mincho" w:eastAsia="MS Mincho" w:hAnsi="MS Mincho" w:cs="MS Mincho" w:hint="eastAsia"/>
        </w:rPr>
        <w:t>․</w:t>
      </w:r>
      <w:r w:rsidRPr="00E04728">
        <w:t xml:space="preserve"> հակակոռուպցիոն ռազմավարությամբ ապահովվել է կոռուպցիայի դեմ պայքարի միջազգային գործիքակազմի կիրառումը, այդ թվում՝ Տնտեսական համագործակցության և զարգացման կազմակերպության (ՏՀԶԿ) Արևելյան Եվրոպայի և Կենտրոնական Ասիայի երկրների հակակոռուպցիոն ցանցի Ստամբուլյան հակակոռուպցիոն գործողությունների ծրագրի, ՄԱԿ-ի կոռուպցիայի դեմ կոնվենցիայի, Եվրոպայի խորհրդի Կոռուպցիայի դեմ պայքարող պետությունների խմբի (ԳՐԵԿՈ) գնահատման զեկույցների, հանձնառությունների, հաշվետվությունների ու առաջարկությունների պահանջների կատարումը։</w:t>
      </w:r>
    </w:p>
    <w:p w14:paraId="4F479DC3" w14:textId="0C9F3334" w:rsidR="00A2382C" w:rsidRPr="00E04728" w:rsidRDefault="00A2382C" w:rsidP="00FB46C4">
      <w:pPr>
        <w:spacing w:line="276" w:lineRule="auto"/>
      </w:pPr>
      <w:r w:rsidRPr="00E04728">
        <w:t>2020-2021 թվականներին Տնտեսական համագործակցության և զարգացման կազմակերպության Արևելյան Եվրոպայի և Կենտրոնական Ասիայի երկրների հակակոռուպցիոն ցանցի Ստամբուլյան հակակոռուպցիոն գործողությունների ծրագրի շրջանակներում իրականացվել էր գնահատման հինգերորդ պիլոտային փուլը (այսուհետ նաև՝ ՏՀԶԿ Գնահատում), որի նպատակն էր վեր հանել ոլորտում առկա խնդիրները՝ հնարավորություն տալով երկրներին շտկելու իրենց կատարողականը։ Պիլոտային գնահատման արդյունքները ամփոփվել են «Հակակոռուպցիոն բարեփոխումները Հայաստանում» զեկույցում և հրապարակվել են 2022 թվականի մայիսին։</w:t>
      </w:r>
      <w:r w:rsidRPr="00E04728">
        <w:rPr>
          <w:vertAlign w:val="superscript"/>
        </w:rPr>
        <w:footnoteReference w:id="7"/>
      </w:r>
      <w:r w:rsidRPr="00E04728">
        <w:t xml:space="preserve"> 2022թ. դեկտեմբերին մեկնարկել է ՏՀԶԿ 5-փուլի հիմնական գնահատումը:</w:t>
      </w:r>
    </w:p>
    <w:p w14:paraId="097C2712" w14:textId="3FE88B44" w:rsidR="00A2382C" w:rsidRPr="00E04728" w:rsidRDefault="00A2382C" w:rsidP="00FB46C4">
      <w:pPr>
        <w:spacing w:line="276" w:lineRule="auto"/>
      </w:pPr>
      <w:r w:rsidRPr="00E04728">
        <w:t>ՏՀԶԿ Գնահատման արդյունքներով՝ ըստ կատարողական դաշտերի՝ գնահատվել են հակակոռուպցիոն քաղաքականության մշակմանը և իրականացմանն առնչվող ուղենիշները, հայտարարագրման համակարգի և հայտարարատուների շրջանակի ընդլայ</w:t>
      </w:r>
      <w:r w:rsidR="00342CAC">
        <w:t>ն</w:t>
      </w:r>
      <w:r w:rsidRPr="00E04728">
        <w:t>մանը, դատավորների համար սահմանված չափանիշներին, դատավորների նշանակման, առաջխաղացման և լիազորությունների դադարեցման</w:t>
      </w:r>
      <w:r w:rsidR="00342CAC">
        <w:t>ն</w:t>
      </w:r>
      <w:r w:rsidRPr="00E04728">
        <w:t xml:space="preserve"> առնչվող կարգավորումներին, Բարձրագույն դատախան խորհրդի կազմին և գործառույթներին, Բարձրագույն դատական խորհրդի կողմից դատավորների ընտրության կառուցակարգերին, Բարձրագույն դատական խորհրդի գործունեության թափանցիկությանը, գնումների ոլորտի բարեփոխումներին, ապօրինի ծագում ունեցող գույքի բռնագանձմանը, կոռուպցիոն հանցագործությունների հանցակազմերի բարելավմանը, իրավաբանական անձանց համար քրեական պատասխանատվության ինստիտուտի ստեղծմանն առնչվող բազմաթիվ ուղենիշներ։</w:t>
      </w:r>
    </w:p>
    <w:p w14:paraId="7AF3A039" w14:textId="6D6488B0" w:rsidR="00A2382C" w:rsidRPr="00E04728" w:rsidRDefault="00A2382C" w:rsidP="00FB46C4">
      <w:pPr>
        <w:tabs>
          <w:tab w:val="left" w:pos="284"/>
          <w:tab w:val="left" w:pos="426"/>
          <w:tab w:val="left" w:pos="709"/>
          <w:tab w:val="left" w:pos="993"/>
        </w:tabs>
        <w:spacing w:line="276" w:lineRule="auto"/>
      </w:pPr>
      <w:r w:rsidRPr="00E04728">
        <w:t>Միևնույն ժամանակ, ՏՀԶԿ Գնահատման արդյունքում ՏՀԶԿ-ի կողմից մի շարք կարգավորումներ և որոշ ուղղություններով իրավակիրառ պրակտիկան ըստ կատարողական դաշտերի համարվել է խնդրահարույց: Վերջինիս շրջանակներում անդրադարձ է կատարվել ինչպես հակակոռուպցիոն ինստիտուցիոնալ համակարգին, այնպես էլ գնահատվել է կոռուպցիայի դեմ պայքարը դատական, դատախազական համակարգերում և քննչական մարմիններում։</w:t>
      </w:r>
    </w:p>
    <w:p w14:paraId="6F569DDF" w14:textId="75055776" w:rsidR="00A2382C" w:rsidRPr="00E04728" w:rsidRDefault="00A2382C" w:rsidP="00FB46C4">
      <w:pPr>
        <w:tabs>
          <w:tab w:val="left" w:pos="284"/>
          <w:tab w:val="left" w:pos="426"/>
          <w:tab w:val="left" w:pos="709"/>
          <w:tab w:val="left" w:pos="993"/>
        </w:tabs>
        <w:spacing w:line="276" w:lineRule="auto"/>
      </w:pPr>
      <w:r w:rsidRPr="00E04728">
        <w:t>ՏՀԶԿ կողմից մշակված զեկույցներով բարձրացվ</w:t>
      </w:r>
      <w:r w:rsidR="00B86529" w:rsidRPr="00E04728">
        <w:t>ել</w:t>
      </w:r>
      <w:r w:rsidR="00D25A99">
        <w:t xml:space="preserve"> </w:t>
      </w:r>
      <w:r w:rsidRPr="00E04728">
        <w:t xml:space="preserve">են </w:t>
      </w:r>
      <w:r w:rsidR="00B86529" w:rsidRPr="00E04728">
        <w:t>հետևյալ հիմնական խնդիրները.</w:t>
      </w:r>
    </w:p>
    <w:p w14:paraId="5A0CA9C9" w14:textId="508D9856" w:rsidR="00A2382C" w:rsidRPr="00E04728" w:rsidRDefault="00A2382C" w:rsidP="00FB46C4">
      <w:pPr>
        <w:tabs>
          <w:tab w:val="left" w:pos="284"/>
          <w:tab w:val="left" w:pos="426"/>
          <w:tab w:val="left" w:pos="709"/>
          <w:tab w:val="left" w:pos="993"/>
        </w:tabs>
        <w:spacing w:line="276" w:lineRule="auto"/>
      </w:pPr>
      <w:r w:rsidRPr="00E04728">
        <w:t>•</w:t>
      </w:r>
      <w:r w:rsidRPr="00E04728">
        <w:tab/>
        <w:t xml:space="preserve"> Անհրաժեշտ է </w:t>
      </w:r>
      <w:r w:rsidR="00186619">
        <w:t>ԿԿՀ-ին</w:t>
      </w:r>
      <w:r w:rsidRPr="00E04728">
        <w:t xml:space="preserve"> ապահովել բավարար մարդկային ռեսուրսներով՝ Հանձնաժողովի ընդլայնված լիազորությունների արդյունավետ իրականացման նպատակով։</w:t>
      </w:r>
    </w:p>
    <w:p w14:paraId="32DA60A2" w14:textId="7ADDB010" w:rsidR="00A2382C" w:rsidRPr="00E04728" w:rsidRDefault="00A2382C" w:rsidP="00FB46C4">
      <w:pPr>
        <w:tabs>
          <w:tab w:val="left" w:pos="284"/>
          <w:tab w:val="left" w:pos="426"/>
          <w:tab w:val="left" w:pos="709"/>
          <w:tab w:val="left" w:pos="993"/>
        </w:tabs>
        <w:spacing w:line="276" w:lineRule="auto"/>
      </w:pPr>
      <w:r w:rsidRPr="00E04728">
        <w:lastRenderedPageBreak/>
        <w:t>•</w:t>
      </w:r>
      <w:r w:rsidRPr="00E04728">
        <w:tab/>
        <w:t xml:space="preserve"> Առկա չէ բարձրաստիճան պաշտոնատար անձանց կոռուպցիոն գործերով քննություն իրականացնող առանձին </w:t>
      </w:r>
      <w:r w:rsidR="00A82467" w:rsidRPr="00E04728">
        <w:t>ստորաբաժանում որևէ իրավապահ  մարմնում</w:t>
      </w:r>
      <w:r w:rsidRPr="00E04728">
        <w:t xml:space="preserve">։ </w:t>
      </w:r>
    </w:p>
    <w:p w14:paraId="7EB9EDCE" w14:textId="77777777" w:rsidR="00A2382C" w:rsidRPr="00E04728" w:rsidRDefault="00A2382C" w:rsidP="00FB46C4">
      <w:pPr>
        <w:tabs>
          <w:tab w:val="left" w:pos="284"/>
          <w:tab w:val="left" w:pos="426"/>
          <w:tab w:val="left" w:pos="709"/>
          <w:tab w:val="left" w:pos="993"/>
        </w:tabs>
        <w:spacing w:line="276" w:lineRule="auto"/>
      </w:pPr>
      <w:r w:rsidRPr="00E04728">
        <w:t>•</w:t>
      </w:r>
      <w:r w:rsidRPr="00E04728">
        <w:tab/>
        <w:t xml:space="preserve"> Կոռուպցիոն հանցագործությունների վերաբերյալ գործերի քննության նկատմամբ դատախազական հսկողությունն ապահովելու համար անհրաժեշտ է նախատեսել բավարար թվով դատախազներ։</w:t>
      </w:r>
    </w:p>
    <w:p w14:paraId="1420888D" w14:textId="4B6B3849" w:rsidR="00A2382C" w:rsidRPr="00E04728" w:rsidRDefault="00A2382C" w:rsidP="00A82467">
      <w:pPr>
        <w:tabs>
          <w:tab w:val="left" w:pos="284"/>
          <w:tab w:val="left" w:pos="426"/>
          <w:tab w:val="left" w:pos="709"/>
          <w:tab w:val="left" w:pos="993"/>
        </w:tabs>
        <w:spacing w:line="276" w:lineRule="auto"/>
      </w:pPr>
      <w:r w:rsidRPr="00E04728">
        <w:t>•</w:t>
      </w:r>
      <w:r w:rsidRPr="00E04728">
        <w:tab/>
        <w:t xml:space="preserve"> Առնվազն տարեկան հաշվետվություններում ներկայացված չեն կոռուպցիոն հանցագործությունների քննությամբ մասնագիտացված քննիչների և դատախազների աշխատանքին առնչվող մանրամասն վիճակագրություն</w:t>
      </w:r>
      <w:r w:rsidRPr="00E04728">
        <w:rPr>
          <w:rFonts w:ascii="MS Mincho" w:eastAsia="MS Mincho" w:hAnsi="MS Mincho" w:cs="MS Mincho" w:hint="eastAsia"/>
        </w:rPr>
        <w:t>․</w:t>
      </w:r>
      <w:r w:rsidRPr="00E04728">
        <w:t xml:space="preserve"> մասնավորապես պետք է առանձին նշվի բարձրաստիճան պաշտոնատար անձանց կողմից կատարված կոռուպցիոն հանցագործությունների, ընդհանուր առմամբ բացված և դատարան ուղարկված գործերի քանակը, գործերի քանակը, որոնցով վերջնարդյունքում սանկցիա է կիրառվել, կարճված վարույթների քանակը և այլն։</w:t>
      </w:r>
    </w:p>
    <w:p w14:paraId="3F2353B4" w14:textId="6F37C097" w:rsidR="00A2382C" w:rsidRPr="00E04728" w:rsidRDefault="00A2382C" w:rsidP="00FB46C4">
      <w:pPr>
        <w:tabs>
          <w:tab w:val="left" w:pos="284"/>
          <w:tab w:val="left" w:pos="426"/>
          <w:tab w:val="left" w:pos="709"/>
          <w:tab w:val="left" w:pos="993"/>
        </w:tabs>
        <w:spacing w:line="276" w:lineRule="auto"/>
      </w:pPr>
      <w:r w:rsidRPr="00E04728">
        <w:t>•</w:t>
      </w:r>
      <w:r w:rsidRPr="00E04728">
        <w:tab/>
        <w:t xml:space="preserve"> Դատարանների աշխատակազմի և դատավորների օգնականների աշխատավարձը բավարար չափով բարձր չէ:</w:t>
      </w:r>
    </w:p>
    <w:p w14:paraId="494EE8FF" w14:textId="77777777" w:rsidR="00A2382C" w:rsidRPr="00E04728" w:rsidRDefault="00A2382C" w:rsidP="00FB46C4">
      <w:pPr>
        <w:tabs>
          <w:tab w:val="left" w:pos="284"/>
          <w:tab w:val="left" w:pos="426"/>
          <w:tab w:val="left" w:pos="709"/>
          <w:tab w:val="left" w:pos="993"/>
        </w:tabs>
        <w:spacing w:line="276" w:lineRule="auto"/>
      </w:pPr>
      <w:r w:rsidRPr="00E04728">
        <w:t>• Դատախազների նկատմամբ կարգապահական վարույթ հարուցելու հիմքերը հստակ չեն և տարընկալումներ են առաջացնում: Մինչդեռ դրանք պետք է սահմանվեն օրենքով և համապատասխան մեխանիզմներով՝ լսված լինելու հնարավորություն և այլն, երաշխավորեն դատախազների իրավունքները և այլն։</w:t>
      </w:r>
    </w:p>
    <w:p w14:paraId="734D58D9" w14:textId="7D7AAC02" w:rsidR="00A2382C" w:rsidRPr="00E04728" w:rsidRDefault="00A2382C" w:rsidP="00FB46C4">
      <w:pPr>
        <w:tabs>
          <w:tab w:val="left" w:pos="284"/>
          <w:tab w:val="left" w:pos="426"/>
          <w:tab w:val="left" w:pos="709"/>
          <w:tab w:val="left" w:pos="993"/>
        </w:tabs>
        <w:spacing w:line="276" w:lineRule="auto"/>
      </w:pPr>
      <w:r w:rsidRPr="00E04728">
        <w:t>Հայաստանը 2004թ. անդամակցում է Կոռուպցիայի դեմ պայքարող պետությունների խմբին (ԳՐԵԿՈ) և ենթարկվում է կանոնավոր գնահատման, որի նպատակն է պարզել անդամ պետության տարվող հակակոռուպցիոն քաղաքականության և դրա կիրարկման համապատասխանությունը կազմակերպության հակակոռուպցիոն չափորոշիչներին։ Ներկայում</w:t>
      </w:r>
      <w:r w:rsidR="00FC6304" w:rsidRPr="00E04728">
        <w:t>ս</w:t>
      </w:r>
      <w:r w:rsidRPr="00E04728">
        <w:t xml:space="preserve"> Հայաստանը գտնվում է գնահատման չորրորդ փուլում, որով գնահատվում է կոռուպցիայի կանխարգելումը պատգամավորների, դատավորների և դատախազների շրջանում։ Հայաստանի համար ձևակերպված են 18 հանձնարարականներ, որոնցից 4-ը վերաբերում են պատգամավորների</w:t>
      </w:r>
      <w:r w:rsidR="00867971" w:rsidRPr="00E04728">
        <w:t>ն</w:t>
      </w:r>
      <w:r w:rsidRPr="00E04728">
        <w:t>, 7-ը՝ դատավորների</w:t>
      </w:r>
      <w:r w:rsidR="00867971" w:rsidRPr="00E04728">
        <w:t>ն</w:t>
      </w:r>
      <w:r w:rsidRPr="00E04728">
        <w:t>, 4-ը՝ դատախազների</w:t>
      </w:r>
      <w:r w:rsidR="00867971" w:rsidRPr="00E04728">
        <w:t>ն</w:t>
      </w:r>
      <w:r w:rsidRPr="00E04728">
        <w:t xml:space="preserve"> և 3-ը՝ նշված երեք խմբերի շրջանում էթիկայի, բարեվարքության, շահերի բախման և նվերների ընդունման կարգավորումներին։ ԳՐԵԿՈ-ի կողմից 2015 թվականի հոկտեմբերին ընդունված «Կոռուպցիայի կանխարգելումը պատգամավորների, դատավորների և դատախազների շրջանում» գնահատման 4–րդ փուլի զեկույցով</w:t>
      </w:r>
      <w:r w:rsidRPr="00E04728">
        <w:rPr>
          <w:vertAlign w:val="superscript"/>
        </w:rPr>
        <w:footnoteReference w:id="8"/>
      </w:r>
      <w:r w:rsidRPr="00E04728">
        <w:t xml:space="preserve"> Հայաստանին ներկայացված 18 առաջարկություններից 9-ը կատարվել է ամբողջությամբ</w:t>
      </w:r>
      <w:r w:rsidRPr="00E04728">
        <w:rPr>
          <w:vertAlign w:val="superscript"/>
        </w:rPr>
        <w:footnoteReference w:id="9"/>
      </w:r>
      <w:r w:rsidRPr="00E04728">
        <w:t xml:space="preserve">, իսկ 9-ը դեռևս մնում է մասնակի կատարված։ </w:t>
      </w:r>
    </w:p>
    <w:p w14:paraId="79567158" w14:textId="63018295" w:rsidR="00A2382C" w:rsidRPr="00E04728" w:rsidRDefault="00A2382C" w:rsidP="00FB46C4">
      <w:pPr>
        <w:tabs>
          <w:tab w:val="left" w:pos="284"/>
          <w:tab w:val="left" w:pos="426"/>
          <w:tab w:val="left" w:pos="709"/>
          <w:tab w:val="left" w:pos="993"/>
        </w:tabs>
        <w:spacing w:line="276" w:lineRule="auto"/>
      </w:pPr>
      <w:r w:rsidRPr="00E04728">
        <w:lastRenderedPageBreak/>
        <w:t>2022</w:t>
      </w:r>
      <w:r w:rsidR="0044171F" w:rsidRPr="00E04728">
        <w:t xml:space="preserve"> </w:t>
      </w:r>
      <w:r w:rsidR="00C2691D" w:rsidRPr="00E04728">
        <w:t>թվականին</w:t>
      </w:r>
      <w:r w:rsidRPr="00E04728">
        <w:t xml:space="preserve"> Հայաստանին է ներկայացվել ԳՐԵԿՈ–ի «Կոռուպցիայի կանխարգելումը և բարեվարքության խթանումը իշխանության կենտրոնական մարմիններում (բարձրագույն գործադիր մարմիններում) և իրավապահ մարմիններում» գնահատման 5-րդ փուլի գնահատման զեկույցի կազմման համար անհրաժեշտ հարցաշարը։ </w:t>
      </w:r>
    </w:p>
    <w:p w14:paraId="04472832" w14:textId="73AE9CC2" w:rsidR="00A2382C" w:rsidRPr="00E04728" w:rsidRDefault="00A2382C" w:rsidP="00FB46C4">
      <w:pPr>
        <w:tabs>
          <w:tab w:val="left" w:pos="567"/>
          <w:tab w:val="left" w:pos="900"/>
        </w:tabs>
        <w:spacing w:line="276" w:lineRule="auto"/>
        <w:contextualSpacing/>
      </w:pPr>
      <w:r w:rsidRPr="00E04728">
        <w:t>2018 թվականից մեկնարկել են Հայաստանի Հանրապետության կողմից ՄԱԿ «Կոռուպցիայի դեմ» կոնվենցիայի 2-րդ և 5-րդ գլխով սահմանված պարտավորությունների գնահատման աշխատանքները, որի նախնական արդյունքներով 2021 թվականի հունիսի 14-ին հրապարակվել է «Հայաստանի Հանրապետության կողմից «Կոռուպցիայի դեմ» կոնվենցիայի 2-րդ և 5-րդ գլխով սահմանված պարտավորությունների գնահատման գործառնական համառոտագրություն» փաստաթուղթը</w:t>
      </w:r>
      <w:r w:rsidRPr="00E04728">
        <w:rPr>
          <w:vertAlign w:val="superscript"/>
        </w:rPr>
        <w:footnoteReference w:id="10"/>
      </w:r>
      <w:r w:rsidRPr="00E04728">
        <w:t>, որի արդյունքներով ինստիտուցիոնալ համակարգի առնչությամբ Հայաստանին առաջարկվել է երաշխավորել հակակոռուպցիոն ինստիտուցիոնալ մարմինների գործառնական, ֆինանսական և որոշում կայացնելու հարցերում անհրաժեշտ անկախությունը։</w:t>
      </w:r>
    </w:p>
    <w:p w14:paraId="38DDB6F1" w14:textId="3476E7CD" w:rsidR="00A2382C" w:rsidRPr="00E04728" w:rsidRDefault="00A2382C" w:rsidP="00FB46C4">
      <w:pPr>
        <w:tabs>
          <w:tab w:val="left" w:pos="284"/>
          <w:tab w:val="left" w:pos="900"/>
        </w:tabs>
        <w:spacing w:line="276" w:lineRule="auto"/>
        <w:contextualSpacing/>
      </w:pPr>
      <w:r w:rsidRPr="00E04728">
        <w:t>ՄԱԿ-ի</w:t>
      </w:r>
      <w:r w:rsidRPr="00E04728">
        <w:rPr>
          <w:b/>
        </w:rPr>
        <w:t xml:space="preserve"> </w:t>
      </w:r>
      <w:r w:rsidRPr="00E04728">
        <w:t>գնահատման շրջանակներում կոռուպցիայի կանխարգելման առնչությամբ ՄԱԿ-ի «Կոռուպցիայի դեմ» կոնվենցիային (այսուհետ՝ Կոնվենցիա) համապատասխանելու տեսանկյունից որպես ձեռքբերում և առաջադեմ փորձ է համարվել հետևյալը</w:t>
      </w:r>
      <w:r w:rsidRPr="00E04728">
        <w:rPr>
          <w:rFonts w:ascii="MS Mincho" w:eastAsia="MS Mincho" w:hAnsi="MS Mincho" w:cs="MS Mincho" w:hint="eastAsia"/>
        </w:rPr>
        <w:t>․</w:t>
      </w:r>
    </w:p>
    <w:p w14:paraId="2CC01EE8" w14:textId="0B8E6E04" w:rsidR="00A2382C" w:rsidRPr="00E04728" w:rsidRDefault="00A2382C" w:rsidP="00FB46C4">
      <w:pPr>
        <w:numPr>
          <w:ilvl w:val="0"/>
          <w:numId w:val="45"/>
        </w:numPr>
        <w:tabs>
          <w:tab w:val="left" w:pos="284"/>
          <w:tab w:val="left" w:pos="993"/>
        </w:tabs>
        <w:spacing w:line="276" w:lineRule="auto"/>
        <w:contextualSpacing/>
      </w:pPr>
      <w:r w:rsidRPr="00E04728">
        <w:t>Ողջունելի են համարվել շահերի բախման</w:t>
      </w:r>
      <w:r w:rsidR="000177EB" w:rsidRPr="00E04728">
        <w:t>,</w:t>
      </w:r>
      <w:r w:rsidRPr="00E04728">
        <w:t xml:space="preserve"> կանխարգելմանն ու լուծմանն ուղղված շահերի հայտարարագրման համակարգի ստեղծման ուղղությամբ Հայաստանի բարեփոխումները (Կոնվենցիայի 8-րդ հոդվածի 5-րդ կետ):</w:t>
      </w:r>
    </w:p>
    <w:p w14:paraId="616E7E93" w14:textId="77777777" w:rsidR="00A2382C" w:rsidRPr="00E04728" w:rsidRDefault="00A2382C" w:rsidP="00FB46C4">
      <w:pPr>
        <w:numPr>
          <w:ilvl w:val="0"/>
          <w:numId w:val="45"/>
        </w:numPr>
        <w:tabs>
          <w:tab w:val="left" w:pos="284"/>
          <w:tab w:val="left" w:pos="993"/>
        </w:tabs>
        <w:spacing w:line="276" w:lineRule="auto"/>
        <w:contextualSpacing/>
      </w:pPr>
      <w:r w:rsidRPr="00E04728">
        <w:t>Ողջունելի է Օրենքի նախագծերը e-draft միասնական հարթակի միջոցով պարտադիր հրապարակման պահանջը՝ թափանցիկությունն ու հասարակության մասնակցությունն ապահովելու համար (Կոնվենցիայի 13-րդ հոդվածի 1-ին կետ):</w:t>
      </w:r>
    </w:p>
    <w:p w14:paraId="66FAB480" w14:textId="77777777" w:rsidR="00A2382C" w:rsidRPr="00E04728" w:rsidRDefault="00A2382C" w:rsidP="00FB46C4">
      <w:pPr>
        <w:numPr>
          <w:ilvl w:val="0"/>
          <w:numId w:val="45"/>
        </w:numPr>
        <w:spacing w:line="276" w:lineRule="auto"/>
        <w:contextualSpacing/>
        <w:rPr>
          <w:b/>
        </w:rPr>
      </w:pPr>
      <w:r w:rsidRPr="00E04728">
        <w:t>Ողջունելի են համարվել հայտարարագրման համակարգի բարեփոխումները, ինչպես նաև հայտարարագրերի հրապարակայնությունը (Կոնվենցիայի 52-րդ հոդվածի 5-րդ կետ):</w:t>
      </w:r>
    </w:p>
    <w:p w14:paraId="3AEB904E" w14:textId="6902229D" w:rsidR="00A2382C" w:rsidRPr="00E04728" w:rsidRDefault="00A2382C" w:rsidP="00FB46C4">
      <w:pPr>
        <w:spacing w:line="276" w:lineRule="auto"/>
      </w:pPr>
      <w:r w:rsidRPr="00E04728">
        <w:t>Միևնույն ժամանակ, որպես պարտավորությունների կատարման մարտահրավերներ</w:t>
      </w:r>
      <w:r w:rsidR="000177EB" w:rsidRPr="00E04728">
        <w:t>՝</w:t>
      </w:r>
      <w:r w:rsidRPr="00E04728">
        <w:t xml:space="preserve"> նշվել</w:t>
      </w:r>
      <w:r w:rsidR="000177EB" w:rsidRPr="00E04728">
        <w:t xml:space="preserve"> </w:t>
      </w:r>
      <w:r w:rsidRPr="00E04728">
        <w:t>և Հայաստանին առաջարկվել է հետևյալը.</w:t>
      </w:r>
    </w:p>
    <w:p w14:paraId="7A0BD933" w14:textId="77777777" w:rsidR="00A2382C" w:rsidRPr="00E04728" w:rsidRDefault="00A2382C" w:rsidP="00FB46C4">
      <w:pPr>
        <w:numPr>
          <w:ilvl w:val="0"/>
          <w:numId w:val="44"/>
        </w:numPr>
        <w:tabs>
          <w:tab w:val="left" w:pos="851"/>
        </w:tabs>
        <w:spacing w:line="276" w:lineRule="auto"/>
        <w:ind w:left="0" w:firstLine="567"/>
        <w:contextualSpacing/>
      </w:pPr>
      <w:r w:rsidRPr="00E04728">
        <w:t>կոռուպցիայի կանխարգելման մարմնին տրամադրել անհրաժեշտ անկախություն (Կոնվենցիայի հոդված 6, կետ 2).</w:t>
      </w:r>
    </w:p>
    <w:p w14:paraId="339863B4" w14:textId="77777777" w:rsidR="00A2382C" w:rsidRPr="00E04728" w:rsidRDefault="00A2382C" w:rsidP="00FB46C4">
      <w:pPr>
        <w:numPr>
          <w:ilvl w:val="0"/>
          <w:numId w:val="44"/>
        </w:numPr>
        <w:tabs>
          <w:tab w:val="left" w:pos="851"/>
        </w:tabs>
        <w:spacing w:line="276" w:lineRule="auto"/>
        <w:ind w:left="0" w:firstLine="567"/>
        <w:contextualSpacing/>
      </w:pPr>
      <w:r w:rsidRPr="00E04728">
        <w:t>ջանքեր գործադրել քաղաքացիական ծառայության պաշտոն չհանդիսացող հանրային ծառայության պաշտոնների համալրման ապահովման, առաջխաղացման, պաշտոնից ազատելու գործընթացների թափանցիկության, թոշակի անցնելու կարգավորումների բարելավման ուղղությամբ (Կոնվենցիայի հոդված 7, կետ 1).</w:t>
      </w:r>
    </w:p>
    <w:p w14:paraId="7835B2B3" w14:textId="77777777" w:rsidR="00A2382C" w:rsidRPr="00E04728" w:rsidRDefault="00A2382C" w:rsidP="00FB46C4">
      <w:pPr>
        <w:numPr>
          <w:ilvl w:val="0"/>
          <w:numId w:val="44"/>
        </w:numPr>
        <w:tabs>
          <w:tab w:val="left" w:pos="851"/>
        </w:tabs>
        <w:spacing w:line="276" w:lineRule="auto"/>
        <w:ind w:left="0" w:firstLine="567"/>
        <w:contextualSpacing/>
      </w:pPr>
      <w:r w:rsidRPr="00E04728">
        <w:t>ջանքեր գործադրել բացահայտելու կոռուպցիայի տեսանկյունից հատկապես խոցելի պետական պաշտոնները և համապատասխան դեպքերում ընդունել այդպիսի պաշտոններ զբաղեցնող անձանց ընտրության, վերապատրաստման և ռոտացիայի պատշաճ ընթացակարգեր (Կոնվենցիայի հոդված 7, կետ 1(բ)).</w:t>
      </w:r>
    </w:p>
    <w:p w14:paraId="3F1573B7" w14:textId="77777777" w:rsidR="00A2382C" w:rsidRPr="00E04728" w:rsidRDefault="00A2382C" w:rsidP="00FB46C4">
      <w:pPr>
        <w:numPr>
          <w:ilvl w:val="0"/>
          <w:numId w:val="44"/>
        </w:numPr>
        <w:tabs>
          <w:tab w:val="left" w:pos="851"/>
        </w:tabs>
        <w:spacing w:line="276" w:lineRule="auto"/>
        <w:ind w:left="0" w:firstLine="567"/>
        <w:contextualSpacing/>
      </w:pPr>
      <w:r w:rsidRPr="00E04728">
        <w:lastRenderedPageBreak/>
        <w:t>ջանքեր գործադրել պետական պաշտոնից ազատված պետական պաշտոնյաների մասնագիտական գործունեության և մասնավոր հատվածում վերջիններիս գործունեությանն առնչվող գործող սահմանափակումները բարելավելու ուղղությամբ (Կոնվենցիայի հոդված 7, կետ 4 և 12, կետ 2).</w:t>
      </w:r>
    </w:p>
    <w:p w14:paraId="35050288" w14:textId="77777777" w:rsidR="00A2382C" w:rsidRPr="00E04728" w:rsidRDefault="00A2382C" w:rsidP="00FB46C4">
      <w:pPr>
        <w:numPr>
          <w:ilvl w:val="0"/>
          <w:numId w:val="44"/>
        </w:numPr>
        <w:tabs>
          <w:tab w:val="left" w:pos="851"/>
        </w:tabs>
        <w:spacing w:line="276" w:lineRule="auto"/>
        <w:ind w:left="0" w:firstLine="567"/>
        <w:contextualSpacing/>
      </w:pPr>
      <w:r w:rsidRPr="00E04728">
        <w:t xml:space="preserve"> խրախուսել պետական պաշտոնյաների շրջանում բարեվարքությունը, ազնվությունը և պատասխանատվությունը՝ տարածաշրջանային, միջտարածաշրջանային և բազմակողմ կազմակերպությունների համապատասխան նախաձեռնություններին համապատասխան մշակված վարքագծի կանոնների կամ վարքագծի չափորոշիչների կիրառման, ինչպես նաև ուսուցման միջոցով (Կոնվենցիայի հոդված 8-րդ, կետեր 1–3).</w:t>
      </w:r>
    </w:p>
    <w:p w14:paraId="1C3EE716" w14:textId="77777777" w:rsidR="00A2382C" w:rsidRPr="00E04728" w:rsidRDefault="00A2382C" w:rsidP="00FB46C4">
      <w:pPr>
        <w:numPr>
          <w:ilvl w:val="0"/>
          <w:numId w:val="44"/>
        </w:numPr>
        <w:tabs>
          <w:tab w:val="left" w:pos="851"/>
        </w:tabs>
        <w:spacing w:line="276" w:lineRule="auto"/>
        <w:ind w:left="0" w:firstLine="567"/>
        <w:contextualSpacing/>
      </w:pPr>
      <w:r w:rsidRPr="00E04728">
        <w:t>քննարկել վարքագծի կանոնագրքերը կամ չափանիշնեը խախտող պետական պաշտոն զբաղեցնող անձանց, այդ թվում՝ քաղաքական պաշտոններ զբաղեցնող անձանց նկատմամբ կարգապահական կամ այլ միջոցներ ձեռնարկելու հնարավորությունը (Կոնվենցիայի հոդված 8, կետ 6).</w:t>
      </w:r>
    </w:p>
    <w:p w14:paraId="3433FC01" w14:textId="11F6CB96" w:rsidR="00A2382C" w:rsidRPr="00E04728" w:rsidRDefault="00A2382C" w:rsidP="00FB46C4">
      <w:pPr>
        <w:numPr>
          <w:ilvl w:val="0"/>
          <w:numId w:val="44"/>
        </w:numPr>
        <w:tabs>
          <w:tab w:val="left" w:pos="851"/>
        </w:tabs>
        <w:spacing w:line="276" w:lineRule="auto"/>
        <w:ind w:left="0" w:firstLine="567"/>
        <w:contextualSpacing/>
      </w:pPr>
      <w:r w:rsidRPr="00E04728">
        <w:t>ջանքեր գործադրել գնումների անձնակազմին վերաբերող հարցերը կարգավորելու համար, օրինակ</w:t>
      </w:r>
      <w:r w:rsidR="001F0567" w:rsidRPr="00E04728">
        <w:t>՝</w:t>
      </w:r>
      <w:r w:rsidRPr="00E04728">
        <w:t xml:space="preserve"> շահերի հայտարարագիր պահանջել որոշակի պետական գնումների (օրինակ ոչ մրցութային ընթացակարգով գնումների) ժամանակ (Կոնվենցիայի 9-րդ հոդվածի 1-ին կետ).</w:t>
      </w:r>
    </w:p>
    <w:p w14:paraId="49577101" w14:textId="77777777" w:rsidR="00A2382C" w:rsidRPr="00E04728" w:rsidRDefault="00A2382C" w:rsidP="00FB46C4">
      <w:pPr>
        <w:numPr>
          <w:ilvl w:val="0"/>
          <w:numId w:val="44"/>
        </w:numPr>
        <w:tabs>
          <w:tab w:val="left" w:pos="851"/>
        </w:tabs>
        <w:spacing w:line="276" w:lineRule="auto"/>
        <w:ind w:left="0" w:firstLine="567"/>
        <w:contextualSpacing/>
      </w:pPr>
      <w:r w:rsidRPr="00E04728">
        <w:t>ձեռնարկել համապատասխան միջոցներ պետական ֆինանսների կառավարման ոլորտում, ինչպիսիք են ռիսկերի կառավարման և ներքին հսկողության արդյունավետ և գործող համակարգերը, որոնք կարող են ներառել միասնական օրենսդրություն և համակարգեր (Կոնվենցիայի հոդված 9, կետ 2)</w:t>
      </w:r>
      <w:r w:rsidRPr="00E04728">
        <w:rPr>
          <w:rFonts w:ascii="MS Mincho" w:eastAsia="MS Mincho" w:hAnsi="MS Mincho" w:cs="MS Mincho" w:hint="eastAsia"/>
        </w:rPr>
        <w:t>․</w:t>
      </w:r>
    </w:p>
    <w:p w14:paraId="3A970782" w14:textId="77777777" w:rsidR="00A2382C" w:rsidRPr="00E04728" w:rsidRDefault="00A2382C" w:rsidP="00FB46C4">
      <w:pPr>
        <w:numPr>
          <w:ilvl w:val="0"/>
          <w:numId w:val="44"/>
        </w:numPr>
        <w:tabs>
          <w:tab w:val="left" w:pos="851"/>
        </w:tabs>
        <w:spacing w:line="276" w:lineRule="auto"/>
        <w:ind w:left="0" w:firstLine="567"/>
        <w:contextualSpacing/>
      </w:pPr>
      <w:r w:rsidRPr="00E04728">
        <w:t>միջոցներ ձեռնարկել պետական կառավարման թափանցիկության բարձրացման ուղղությամբ, որոնք կարող են ներառել պարբերական զեկույցների հրապարակում կոռուպցիոն ռիսկերի մասին կամ ներկայացված հայտարարությունների, հարցումների և բողոքների մասին առցանց գրառումների տրամադրում՝ թույլ տալով վիճակագրական տվյալներ հավաքել հասարակայնության տեղեկատվության տրամադրման հետագա բարելավման համար (Կոնվենցիայի հոդված 10(գ)).</w:t>
      </w:r>
    </w:p>
    <w:p w14:paraId="4F07DF64" w14:textId="77777777" w:rsidR="00A2382C" w:rsidRPr="00E04728" w:rsidRDefault="00A2382C" w:rsidP="00FB46C4">
      <w:pPr>
        <w:numPr>
          <w:ilvl w:val="0"/>
          <w:numId w:val="44"/>
        </w:numPr>
        <w:tabs>
          <w:tab w:val="left" w:pos="851"/>
        </w:tabs>
        <w:spacing w:line="276" w:lineRule="auto"/>
        <w:ind w:left="0" w:firstLine="567"/>
        <w:contextualSpacing/>
      </w:pPr>
      <w:r w:rsidRPr="00E04728">
        <w:t>դատավորների և դատախազների էթիկայի հարցերով գաղտնի խորհրդատվություն տրամադրելու գործիքակազմ նախատեսել (Կոնվենցիայի հոդված 11)։</w:t>
      </w:r>
    </w:p>
    <w:p w14:paraId="7C11DF02" w14:textId="77777777" w:rsidR="00A2382C" w:rsidRPr="00E04728" w:rsidRDefault="00A2382C" w:rsidP="00FB46C4">
      <w:pPr>
        <w:spacing w:line="276" w:lineRule="auto"/>
      </w:pPr>
      <w:r w:rsidRPr="00E04728">
        <w:t xml:space="preserve">ՄԱԿ-ի գնահատման զեկույցը, անդրադառնալով </w:t>
      </w:r>
      <w:r w:rsidRPr="00BA6EE5">
        <w:t>գործարար ոլորտում</w:t>
      </w:r>
      <w:r w:rsidRPr="00E04728">
        <w:t xml:space="preserve"> կոռուպցիայի կանխարգելմանը, առաջարկում է.</w:t>
      </w:r>
    </w:p>
    <w:p w14:paraId="54A54E34" w14:textId="5733953B" w:rsidR="00A2382C" w:rsidRPr="00E04728" w:rsidRDefault="00A2382C" w:rsidP="00FB46C4">
      <w:pPr>
        <w:numPr>
          <w:ilvl w:val="0"/>
          <w:numId w:val="46"/>
        </w:numPr>
        <w:spacing w:line="276" w:lineRule="auto"/>
        <w:contextualSpacing/>
      </w:pPr>
      <w:r w:rsidRPr="00E04728">
        <w:t xml:space="preserve"> Միջոցներ ձեռնար</w:t>
      </w:r>
      <w:r w:rsidR="00342CAC">
        <w:t>կ</w:t>
      </w:r>
      <w:r w:rsidRPr="00E04728">
        <w:t xml:space="preserve">ել մասնավոր հատվածում կոռուպցիայի կանխարգելման, մասնավոր հատվածում հաշվապահական հաշվառման և աուդիտի ստանդարտների ամրապնդման ուղղությամբ, մասնավորապես, հաշվապահական հաշվառման պահանջների պահպանման վերահսկողության և սերտիֆիկացման հաստատման միջոցով, ինչպես նաև իրավաբանական անձանց թափանցիկության ամրապնդման ուղղությամբ, և անհրաժեշտության դեպքում նախատեսել արդյունավետ պատժամիջոցներ դրանք չպահպանելու համար (Կոնվենցիա, հոդված 12, կետ 1 և 2): </w:t>
      </w:r>
    </w:p>
    <w:p w14:paraId="64B6121B" w14:textId="77777777" w:rsidR="00A2382C" w:rsidRPr="00E04728" w:rsidRDefault="00A2382C" w:rsidP="00FB46C4">
      <w:pPr>
        <w:numPr>
          <w:ilvl w:val="0"/>
          <w:numId w:val="46"/>
        </w:numPr>
        <w:spacing w:line="276" w:lineRule="auto"/>
        <w:contextualSpacing/>
      </w:pPr>
      <w:r w:rsidRPr="00E04728">
        <w:lastRenderedPageBreak/>
        <w:t xml:space="preserve"> Միջոցներ ձեռնարկել Կոնվենցիայի 12-րդ հոդվածի 3-րդ կետում նշված գործողությունների արգելման ուղղությամբ:</w:t>
      </w:r>
      <w:r w:rsidRPr="00E04728">
        <w:rPr>
          <w:vertAlign w:val="superscript"/>
        </w:rPr>
        <w:footnoteReference w:id="11"/>
      </w:r>
    </w:p>
    <w:p w14:paraId="37E18142" w14:textId="77777777" w:rsidR="00A2382C" w:rsidRPr="00E04728" w:rsidRDefault="00A2382C" w:rsidP="00FB46C4">
      <w:pPr>
        <w:numPr>
          <w:ilvl w:val="0"/>
          <w:numId w:val="46"/>
        </w:numPr>
        <w:spacing w:line="276" w:lineRule="auto"/>
        <w:contextualSpacing/>
      </w:pPr>
      <w:r w:rsidRPr="00E04728">
        <w:t xml:space="preserve"> Արգելել </w:t>
      </w:r>
      <w:r w:rsidRPr="00E04728">
        <w:rPr>
          <w:shd w:val="clear" w:color="auto" w:fill="FFFFFF"/>
        </w:rPr>
        <w:t>կաշառք ներկայացնող այն ծախսերի առնչությամբ հարկումից ազատումը, որոնք համարվում են Կոնվենցիայի 15-րդ և 16-րդ հոդվածներով այդպիսին ճանաչված իրավախախտումների տարրերից մեկը և, համապատասխան դեպքերում, այլ ծախսերի առնչությամբ, որոնք հետևել են կոռուպցիոն արարքներին։</w:t>
      </w:r>
      <w:r w:rsidRPr="00E04728" w:rsidDel="00956B1A">
        <w:t xml:space="preserve"> </w:t>
      </w:r>
      <w:r w:rsidRPr="00E04728">
        <w:t>(Կոնվենցիայի հոդված 12-ի 4-րդ կետ):</w:t>
      </w:r>
    </w:p>
    <w:p w14:paraId="61288695" w14:textId="74AB4602" w:rsidR="00A2382C" w:rsidRPr="00E04728" w:rsidRDefault="00A2382C" w:rsidP="00FB46C4">
      <w:pPr>
        <w:tabs>
          <w:tab w:val="left" w:pos="284"/>
          <w:tab w:val="left" w:pos="426"/>
          <w:tab w:val="left" w:pos="709"/>
          <w:tab w:val="left" w:pos="993"/>
        </w:tabs>
        <w:spacing w:line="276" w:lineRule="auto"/>
      </w:pPr>
      <w:r w:rsidRPr="00E04728">
        <w:rPr>
          <w:bdr w:val="none" w:sz="0" w:space="0" w:color="auto" w:frame="1"/>
          <w:shd w:val="clear" w:color="auto" w:fill="FFFFFF"/>
        </w:rPr>
        <w:t xml:space="preserve">Հայաստանի Հանրապետությունը միացել է «Հանուն ժողովրդավարության» գագաթնաժողովին, որը ԱՄՆ-ի կողմից կազմակերպված միջազգային նախաձեռնություն է՝ բազմաշահառու հարթակ, որի նպատակն է համատեղ ջանքերով փնտրել </w:t>
      </w:r>
      <w:r w:rsidRPr="00E04728">
        <w:t xml:space="preserve">ժողովրդավարություններին սպառնալիքները հաղթահարելու ուղիներ, փորձել համատեղ ձևավորել ժողովրդավարության վերականգնման օրակարգը։ Պետություններն իրենց հանձնառությունները ստանձնել են 2021 թվականի դեկտեմբերին կայացած 1-ին Գագաթնաժողովի ընթացքում, իսկ հանձնառությունների հիմք է հանդիսանում յուրաքանչյուր պետության ղեկավարի ելույթը և դրանում մատնանշված բարեփոխումների շրջանակը։ </w:t>
      </w:r>
    </w:p>
    <w:p w14:paraId="6ABFF883" w14:textId="40FA36BF" w:rsidR="00A2382C" w:rsidRPr="00E04728" w:rsidRDefault="00A2382C" w:rsidP="00FB46C4">
      <w:pPr>
        <w:spacing w:line="276" w:lineRule="auto"/>
        <w:rPr>
          <w:bdr w:val="none" w:sz="0" w:space="0" w:color="auto" w:frame="1"/>
          <w:shd w:val="clear" w:color="auto" w:fill="FFFFFF"/>
        </w:rPr>
      </w:pPr>
      <w:r w:rsidRPr="00E04728">
        <w:rPr>
          <w:bdr w:val="none" w:sz="0" w:space="0" w:color="auto" w:frame="1"/>
          <w:shd w:val="clear" w:color="auto" w:fill="FFFFFF"/>
        </w:rPr>
        <w:t>Հայաստանի Հանրապետության կողմից Գագաթնաժողովի շրջանակներում հանձնառությունների ծավալը սահմանվել է Վարչապետի ելույթով, որոնք հետևյալն են</w:t>
      </w:r>
      <w:r w:rsidRPr="00E04728">
        <w:rPr>
          <w:rFonts w:ascii="MS Mincho" w:eastAsia="MS Mincho" w:hAnsi="MS Mincho" w:cs="MS Mincho" w:hint="eastAsia"/>
          <w:bdr w:val="none" w:sz="0" w:space="0" w:color="auto" w:frame="1"/>
          <w:shd w:val="clear" w:color="auto" w:fill="FFFFFF"/>
        </w:rPr>
        <w:t>․</w:t>
      </w:r>
    </w:p>
    <w:p w14:paraId="61ADB97E" w14:textId="77777777" w:rsidR="00A2382C" w:rsidRPr="00E04728" w:rsidRDefault="00A2382C" w:rsidP="00FB46C4">
      <w:pPr>
        <w:numPr>
          <w:ilvl w:val="0"/>
          <w:numId w:val="43"/>
        </w:numPr>
        <w:tabs>
          <w:tab w:val="left" w:pos="851"/>
        </w:tabs>
        <w:spacing w:line="276" w:lineRule="auto"/>
        <w:ind w:left="0" w:firstLine="567"/>
        <w:contextualSpacing/>
        <w:rPr>
          <w:bdr w:val="none" w:sz="0" w:space="0" w:color="auto" w:frame="1"/>
          <w:shd w:val="clear" w:color="auto" w:fill="FFFFFF"/>
        </w:rPr>
      </w:pPr>
      <w:r w:rsidRPr="00E04728">
        <w:rPr>
          <w:bdr w:val="none" w:sz="0" w:space="0" w:color="auto" w:frame="1"/>
          <w:shd w:val="clear" w:color="auto" w:fill="FFFFFF"/>
        </w:rPr>
        <w:t>Մինչև 2026 թվականը հասնել համեմատական ցուցանիշների շարունակական բարելավումների, մասնավորապես Համաշխարհային բանկի Կառավարման համաշխարհային ցուցիչի 50 միավորից հասնել 60-ի:</w:t>
      </w:r>
    </w:p>
    <w:p w14:paraId="60B1F2EF" w14:textId="77777777" w:rsidR="00A2382C" w:rsidRPr="00E04728" w:rsidRDefault="00A2382C" w:rsidP="00FB46C4">
      <w:pPr>
        <w:numPr>
          <w:ilvl w:val="0"/>
          <w:numId w:val="43"/>
        </w:numPr>
        <w:tabs>
          <w:tab w:val="left" w:pos="851"/>
        </w:tabs>
        <w:spacing w:line="276" w:lineRule="auto"/>
        <w:ind w:left="0" w:firstLine="567"/>
        <w:contextualSpacing/>
        <w:rPr>
          <w:bdr w:val="none" w:sz="0" w:space="0" w:color="auto" w:frame="1"/>
          <w:shd w:val="clear" w:color="auto" w:fill="FFFFFF"/>
        </w:rPr>
      </w:pPr>
      <w:r w:rsidRPr="00E04728">
        <w:rPr>
          <w:bdr w:val="none" w:sz="0" w:space="0" w:color="auto" w:frame="1"/>
          <w:shd w:val="clear" w:color="auto" w:fill="FFFFFF"/>
        </w:rPr>
        <w:t>Մինչև 2026 թվականը հասնել համեմատական ցուցանիշների շարունակական բարելավումների, մասնավորապես Թրանսփարենսի Ինթերնեշնլի կոռուպցիայի ընկալման ինդեքսի 49 միավորից՝ 60-ի։</w:t>
      </w:r>
    </w:p>
    <w:p w14:paraId="25C1A4B3" w14:textId="77777777" w:rsidR="00A2382C" w:rsidRPr="00E04728" w:rsidRDefault="00A2382C" w:rsidP="00FB46C4">
      <w:pPr>
        <w:numPr>
          <w:ilvl w:val="0"/>
          <w:numId w:val="43"/>
        </w:numPr>
        <w:tabs>
          <w:tab w:val="left" w:pos="851"/>
        </w:tabs>
        <w:spacing w:line="276" w:lineRule="auto"/>
        <w:ind w:left="0" w:firstLine="567"/>
        <w:contextualSpacing/>
        <w:rPr>
          <w:bdr w:val="none" w:sz="0" w:space="0" w:color="auto" w:frame="1"/>
          <w:shd w:val="clear" w:color="auto" w:fill="FFFFFF"/>
        </w:rPr>
      </w:pPr>
      <w:r w:rsidRPr="00E04728">
        <w:rPr>
          <w:bdr w:val="none" w:sz="0" w:space="0" w:color="auto" w:frame="1"/>
          <w:shd w:val="clear" w:color="auto" w:fill="FFFFFF"/>
        </w:rPr>
        <w:t>Կլիմայի փոփոխության դեմ պայքարը որպես ժողովրդավարական կառավարման հիմնասյուն և ցածր արտանետումներով էներգետիկ ոլորտի և կենսունակ կանաչ տնտեսության կառուցում:</w:t>
      </w:r>
    </w:p>
    <w:p w14:paraId="10D833C2" w14:textId="7441710D" w:rsidR="00A2382C" w:rsidRPr="00E04728" w:rsidRDefault="00A2382C" w:rsidP="00FB46C4">
      <w:pPr>
        <w:tabs>
          <w:tab w:val="left" w:pos="851"/>
        </w:tabs>
        <w:spacing w:line="276" w:lineRule="auto"/>
        <w:contextualSpacing/>
        <w:rPr>
          <w:bdr w:val="none" w:sz="0" w:space="0" w:color="auto" w:frame="1"/>
          <w:shd w:val="clear" w:color="auto" w:fill="FFFFFF"/>
        </w:rPr>
      </w:pPr>
      <w:r w:rsidRPr="00E04728">
        <w:rPr>
          <w:bdr w:val="none" w:sz="0" w:space="0" w:color="auto" w:frame="1"/>
          <w:shd w:val="clear" w:color="auto" w:fill="FFFFFF"/>
        </w:rPr>
        <w:t xml:space="preserve">Գագաթնաժողովի շրջանակներում ստեղծվել և գործում են թեմատիկ խմբեր, որում ներառված են անդամակցող պետությունների՝ Գագաթնաժողովի շրջանակներում </w:t>
      </w:r>
      <w:r w:rsidRPr="00E04728">
        <w:rPr>
          <w:bdr w:val="none" w:sz="0" w:space="0" w:color="auto" w:frame="1"/>
          <w:shd w:val="clear" w:color="auto" w:fill="FFFFFF"/>
        </w:rPr>
        <w:lastRenderedPageBreak/>
        <w:t xml:space="preserve">ստանձնած պարտավորությունների կատարման համար պատասխանատու մարմինները և ոլորտային հասարակական կազմակերպությունները։ </w:t>
      </w:r>
    </w:p>
    <w:p w14:paraId="51464CF4" w14:textId="40F81A20" w:rsidR="00A2382C" w:rsidRPr="00E04728" w:rsidRDefault="00A2382C" w:rsidP="00FB46C4">
      <w:pPr>
        <w:spacing w:line="276" w:lineRule="auto"/>
        <w:contextualSpacing/>
        <w:rPr>
          <w:bdr w:val="none" w:sz="0" w:space="0" w:color="auto" w:frame="1"/>
          <w:shd w:val="clear" w:color="auto" w:fill="FFFFFF"/>
        </w:rPr>
      </w:pPr>
      <w:r w:rsidRPr="00E04728">
        <w:rPr>
          <w:bdr w:val="none" w:sz="0" w:space="0" w:color="auto" w:frame="1"/>
          <w:shd w:val="clear" w:color="auto" w:fill="FFFFFF"/>
        </w:rPr>
        <w:t xml:space="preserve">Գագաթնաժողովի շրջանակներում Հայաստանի Հանրապետությունը մասնակցում է՝ </w:t>
      </w:r>
    </w:p>
    <w:p w14:paraId="1102FE51" w14:textId="77777777" w:rsidR="00A2382C" w:rsidRPr="00E04728" w:rsidRDefault="00A2382C" w:rsidP="00FB46C4">
      <w:pPr>
        <w:tabs>
          <w:tab w:val="left" w:pos="993"/>
        </w:tabs>
        <w:spacing w:line="276" w:lineRule="auto"/>
        <w:contextualSpacing/>
        <w:rPr>
          <w:bdr w:val="none" w:sz="0" w:space="0" w:color="auto" w:frame="1"/>
          <w:shd w:val="clear" w:color="auto" w:fill="FFFFFF"/>
        </w:rPr>
      </w:pPr>
      <w:r w:rsidRPr="00E04728">
        <w:rPr>
          <w:bdr w:val="none" w:sz="0" w:space="0" w:color="auto" w:frame="1"/>
          <w:shd w:val="clear" w:color="auto" w:fill="FFFFFF"/>
        </w:rPr>
        <w:t>1.</w:t>
      </w:r>
      <w:r w:rsidRPr="00E04728">
        <w:rPr>
          <w:bdr w:val="none" w:sz="0" w:space="0" w:color="auto" w:frame="1"/>
          <w:shd w:val="clear" w:color="auto" w:fill="FFFFFF"/>
        </w:rPr>
        <w:tab/>
        <w:t>ԱՄՆ-ի գլխավորած «Ֆինանսական թափանցիկություն և բարեվարքություն» թեմատիկ խմբին,</w:t>
      </w:r>
    </w:p>
    <w:p w14:paraId="3AE31C74" w14:textId="77777777" w:rsidR="00A2382C" w:rsidRPr="00E04728" w:rsidRDefault="00A2382C" w:rsidP="00FB46C4">
      <w:pPr>
        <w:tabs>
          <w:tab w:val="left" w:pos="993"/>
        </w:tabs>
        <w:spacing w:line="276" w:lineRule="auto"/>
        <w:contextualSpacing/>
        <w:rPr>
          <w:bdr w:val="none" w:sz="0" w:space="0" w:color="auto" w:frame="1"/>
          <w:shd w:val="clear" w:color="auto" w:fill="FFFFFF"/>
        </w:rPr>
      </w:pPr>
      <w:r w:rsidRPr="00E04728">
        <w:rPr>
          <w:bdr w:val="none" w:sz="0" w:space="0" w:color="auto" w:frame="1"/>
          <w:shd w:val="clear" w:color="auto" w:fill="FFFFFF"/>
        </w:rPr>
        <w:t>2.</w:t>
      </w:r>
      <w:r w:rsidRPr="00E04728">
        <w:rPr>
          <w:bdr w:val="none" w:sz="0" w:space="0" w:color="auto" w:frame="1"/>
          <w:shd w:val="clear" w:color="auto" w:fill="FFFFFF"/>
        </w:rPr>
        <w:tab/>
        <w:t>Մոլդովայի գլխավորած «Հակակոռուպցիոն» թեմատիկ խմբին,</w:t>
      </w:r>
    </w:p>
    <w:p w14:paraId="35C75C5E" w14:textId="77777777" w:rsidR="00A2382C" w:rsidRPr="00E04728" w:rsidRDefault="00A2382C" w:rsidP="00FB46C4">
      <w:pPr>
        <w:tabs>
          <w:tab w:val="left" w:pos="993"/>
        </w:tabs>
        <w:spacing w:line="276" w:lineRule="auto"/>
        <w:contextualSpacing/>
        <w:rPr>
          <w:bdr w:val="none" w:sz="0" w:space="0" w:color="auto" w:frame="1"/>
          <w:shd w:val="clear" w:color="auto" w:fill="FFFFFF"/>
        </w:rPr>
      </w:pPr>
      <w:r w:rsidRPr="00E04728">
        <w:rPr>
          <w:bdr w:val="none" w:sz="0" w:space="0" w:color="auto" w:frame="1"/>
          <w:shd w:val="clear" w:color="auto" w:fill="FFFFFF"/>
        </w:rPr>
        <w:t>3.</w:t>
      </w:r>
      <w:r w:rsidRPr="00E04728">
        <w:rPr>
          <w:bdr w:val="none" w:sz="0" w:space="0" w:color="auto" w:frame="1"/>
          <w:shd w:val="clear" w:color="auto" w:fill="FFFFFF"/>
        </w:rPr>
        <w:tab/>
        <w:t>Նորվեգիայի, Չեխիայի Հանրապետության և Ոչ առևտրային իրավունքի միջազգային կենտրոնի (ICNL) գլխավորած «Քաղաքացիական տարածություն (Civic Space)» թեմատիկ խմբին,</w:t>
      </w:r>
    </w:p>
    <w:p w14:paraId="3C2F4DE7" w14:textId="77928610" w:rsidR="00A2382C" w:rsidRPr="00E04728" w:rsidRDefault="00A2382C" w:rsidP="00FB46C4">
      <w:pPr>
        <w:tabs>
          <w:tab w:val="left" w:pos="993"/>
        </w:tabs>
        <w:spacing w:line="276" w:lineRule="auto"/>
        <w:contextualSpacing/>
        <w:rPr>
          <w:bdr w:val="none" w:sz="0" w:space="0" w:color="auto" w:frame="1"/>
          <w:shd w:val="clear" w:color="auto" w:fill="FFFFFF"/>
        </w:rPr>
      </w:pPr>
      <w:r w:rsidRPr="00E04728">
        <w:rPr>
          <w:bdr w:val="none" w:sz="0" w:space="0" w:color="auto" w:frame="1"/>
          <w:shd w:val="clear" w:color="auto" w:fill="FFFFFF"/>
        </w:rPr>
        <w:t>4.</w:t>
      </w:r>
      <w:r w:rsidRPr="00E04728">
        <w:rPr>
          <w:bdr w:val="none" w:sz="0" w:space="0" w:color="auto" w:frame="1"/>
          <w:shd w:val="clear" w:color="auto" w:fill="FFFFFF"/>
        </w:rPr>
        <w:tab/>
        <w:t>Կոսովոյի Հանրապետության և Դոմինիկյան Հանրապետության համանախագահությամբ ձևավորված «Օրենքի գերակայության և մարդակենտրոն արդարադատություն» թեմատիկ խմբին:</w:t>
      </w:r>
    </w:p>
    <w:p w14:paraId="7DCC62E4" w14:textId="3F52EB57" w:rsidR="00A2382C" w:rsidRPr="00E04728" w:rsidRDefault="00A2382C" w:rsidP="00FB46C4">
      <w:pPr>
        <w:spacing w:line="276" w:lineRule="auto"/>
        <w:contextualSpacing/>
      </w:pPr>
      <w:r w:rsidRPr="00E04728">
        <w:t>Հայաստանը 2012 թվականից հանդիսանում է Բաց կառավարության գործընկերության (ԲԿԳ) անդամ։ ԲԿԳ-ն «կոչված է համախմբելու կառավարությունների և քաղաքացիական հասարակության ներկայացուցիչներին միասին աշխատելու և ձևավորելու կառավարության ներառական զարգացման օրակարգը, կառավարման համակարգը թափանցիկ, հաշվետու, նորարար և մասնակցային դարձնելու ուղղությամբ»։ ԲԿԳ նախաձեռնության շրջանակներում Հայաստանում ընդունվել է գործողությունների 4 ծրագիր՝ 2012-2014, 2014-2016, 2016-2018 և 2018-2020, 2022-2024 թվականների համար։ Բոլոր ծրագրերում առկա են եղել նաև հակակոռուպցիոն հանձնառություններ։ Մասնավորապես, վերջին 2018-2020</w:t>
      </w:r>
      <w:r w:rsidR="003A233A" w:rsidRPr="00E04728">
        <w:t xml:space="preserve"> թվականների </w:t>
      </w:r>
      <w:r w:rsidRPr="00E04728">
        <w:rPr>
          <w:rFonts w:ascii="MS Mincho" w:eastAsia="MS Mincho" w:hAnsi="MS Mincho" w:cs="MS Mincho" w:hint="eastAsia"/>
        </w:rPr>
        <w:t>․</w:t>
      </w:r>
      <w:r w:rsidRPr="00E04728">
        <w:t xml:space="preserve"> ծրագրում ներառված 11 հանձնառություններից հակակոռուպցիոն բնույթի են 2-ը՝ «Բաց տվյալներ» պաշտոնական հայտարարագրերում. բարձրաստիճան պաշտոնատար անձանց գույքի, եկամուտների և փոխկապակցված անձանց հայտարարագրերի էլեկտրոնային համակարգի կատարելագործում («բավականին կատարված է») և Իրական սեփականատերերի բաց, հանրային գրանցամատյանի ներդրում («ավարտված»)։</w:t>
      </w:r>
      <w:r w:rsidRPr="00E04728">
        <w:rPr>
          <w:vertAlign w:val="superscript"/>
        </w:rPr>
        <w:footnoteReference w:id="12"/>
      </w:r>
      <w:r w:rsidRPr="00E04728">
        <w:t xml:space="preserve"> Նույն Հանձնառությունների կատարումը ԲԿԳ-ի Անկախ հաշվետվ</w:t>
      </w:r>
      <w:r w:rsidR="00F20BDF" w:rsidRPr="00E04728">
        <w:t>ող</w:t>
      </w:r>
      <w:r w:rsidRPr="00E04728">
        <w:t>ական մեխանիզմի կողմից գնահատվել է «զգալի»։</w:t>
      </w:r>
      <w:r w:rsidRPr="00E04728">
        <w:rPr>
          <w:vertAlign w:val="superscript"/>
        </w:rPr>
        <w:footnoteReference w:id="13"/>
      </w:r>
      <w:r w:rsidRPr="00E04728">
        <w:t xml:space="preserve"> </w:t>
      </w:r>
    </w:p>
    <w:p w14:paraId="24FACC13" w14:textId="7571B60A" w:rsidR="00A2382C" w:rsidRPr="00E04728" w:rsidRDefault="00A2382C" w:rsidP="00FB46C4">
      <w:pPr>
        <w:spacing w:line="276" w:lineRule="auto"/>
        <w:contextualSpacing/>
      </w:pPr>
      <w:r w:rsidRPr="00E04728">
        <w:t xml:space="preserve">Հայաստանի Հանրապետության 2022-2024 թվականների գործողությունների ծրագրում ներառված է 10 հանձնառություն, որոնք խմբավորված են ըստ ՀՀ կառավարության կողմից սահմանված առաջնահերթ ուղղությունների։ «Իրավունք և արդարություն» առաջնահերթ ուղղության «Կոռուպցիայի դեմ պայքար՝ կոռուպցիայի կանխարգելմանն ուղղված </w:t>
      </w:r>
      <w:r w:rsidRPr="00E04728">
        <w:lastRenderedPageBreak/>
        <w:t>միջոցառումներ» բաղադրիչը ներառում է՝ հանրային պաշտոն զբաղեցնող անձանց և հանրային ծառայողների պաշտոնական պարտականությունների իրականացման հետ կապված նվերների ռեեստր և Էլեկտրոնային գնումների համապարփակ համակարգ և իրական շահառուների ինստիտուտի կատարելագործում հանձնառությունները</w:t>
      </w:r>
      <w:r w:rsidRPr="00E04728">
        <w:rPr>
          <w:vertAlign w:val="superscript"/>
        </w:rPr>
        <w:footnoteReference w:id="14"/>
      </w:r>
      <w:r w:rsidRPr="00E04728">
        <w:t>:</w:t>
      </w:r>
    </w:p>
    <w:p w14:paraId="62E531B5" w14:textId="77777777" w:rsidR="00A2382C" w:rsidRPr="00E04728" w:rsidRDefault="00A2382C" w:rsidP="00FB46C4">
      <w:pPr>
        <w:spacing w:line="276" w:lineRule="auto"/>
      </w:pPr>
    </w:p>
    <w:p w14:paraId="0DB0C71F" w14:textId="0F3158AC" w:rsidR="00A2382C" w:rsidRPr="00E04728" w:rsidRDefault="00A2382C" w:rsidP="00FB46C4">
      <w:pPr>
        <w:pStyle w:val="Heading2"/>
        <w:spacing w:before="0" w:line="276" w:lineRule="auto"/>
        <w:rPr>
          <w:rFonts w:ascii="GHEA Grapalat" w:hAnsi="GHEA Grapalat"/>
          <w:b/>
          <w:color w:val="auto"/>
          <w:sz w:val="24"/>
        </w:rPr>
      </w:pPr>
      <w:bookmarkStart w:id="7" w:name="_Toc140181768"/>
      <w:r w:rsidRPr="00E04728">
        <w:rPr>
          <w:rFonts w:ascii="GHEA Grapalat" w:hAnsi="GHEA Grapalat"/>
          <w:b/>
          <w:color w:val="auto"/>
          <w:sz w:val="24"/>
        </w:rPr>
        <w:t xml:space="preserve">3. </w:t>
      </w:r>
      <w:bookmarkStart w:id="8" w:name="_Toc135081421"/>
      <w:r w:rsidR="0044171F" w:rsidRPr="00E04728">
        <w:rPr>
          <w:rFonts w:ascii="GHEA Grapalat" w:hAnsi="GHEA Grapalat"/>
          <w:b/>
          <w:color w:val="auto"/>
          <w:sz w:val="24"/>
        </w:rPr>
        <w:t xml:space="preserve">ՀԱՅԱՍՏԱՆԻ ՀԱՆՐԱՊԵՏՈՒԹՅՈՒՆՈՒՄ ԿՈՌՈՒՊՑԻԱՅԻ ԸՆԿԱԼՈՒՄԸ </w:t>
      </w:r>
      <w:r w:rsidR="005D3BEA" w:rsidRPr="00E04728">
        <w:rPr>
          <w:rFonts w:ascii="GHEA Grapalat" w:hAnsi="GHEA Grapalat"/>
          <w:b/>
          <w:color w:val="auto"/>
          <w:sz w:val="24"/>
        </w:rPr>
        <w:t xml:space="preserve">ԵՎ </w:t>
      </w:r>
      <w:r w:rsidR="0044171F" w:rsidRPr="00E04728">
        <w:rPr>
          <w:rFonts w:ascii="GHEA Grapalat" w:hAnsi="GHEA Grapalat"/>
          <w:b/>
          <w:color w:val="auto"/>
          <w:sz w:val="24"/>
        </w:rPr>
        <w:t>ԻՐԱՎԻՃԱԿԻ ԳՆԱՀԱՏԱԿԱՆԸ</w:t>
      </w:r>
      <w:bookmarkEnd w:id="7"/>
      <w:bookmarkEnd w:id="8"/>
    </w:p>
    <w:p w14:paraId="5B7DA33F" w14:textId="77777777" w:rsidR="00D74E1E" w:rsidRPr="00E04728" w:rsidRDefault="00D74E1E" w:rsidP="00FB46C4">
      <w:pPr>
        <w:spacing w:line="276" w:lineRule="auto"/>
      </w:pPr>
    </w:p>
    <w:p w14:paraId="1047DE5B" w14:textId="09C26980" w:rsidR="00A2382C" w:rsidRPr="00E04728" w:rsidRDefault="00A2382C" w:rsidP="00FB46C4">
      <w:pPr>
        <w:spacing w:line="276" w:lineRule="auto"/>
      </w:pPr>
      <w:r w:rsidRPr="00E04728">
        <w:t xml:space="preserve">Կոռուպցիայի ընկալման մասին խոսելիս նախևառաջ պետք է վերլուծել հաշվետու ժամանակահատվածում Հայաստանի գրանցած արդյունքները «Թրանսփարենսի Ինթերնեշնլ»-ի </w:t>
      </w:r>
      <w:r w:rsidR="0067491B" w:rsidRPr="00E04728">
        <w:t>կ</w:t>
      </w:r>
      <w:r w:rsidRPr="00E04728">
        <w:t xml:space="preserve">ոռուպցիայի ընկալման համաթվի փոփոխության առումով։ Կոռուպցիայի ընկալման համաթվի՝ 2019-2020 թվականների արդյունքներով Հայաստանի Հանրապետությունը զգալի աճ է գրանցել՝ 14 միավորով բարելավելով դիրքերը: Նկատի </w:t>
      </w:r>
      <w:r w:rsidR="0067491B" w:rsidRPr="00E04728">
        <w:t>ու</w:t>
      </w:r>
      <w:r w:rsidRPr="00E04728">
        <w:t>նենալով 49 միավոր</w:t>
      </w:r>
      <w:r w:rsidR="0067491B" w:rsidRPr="00E04728">
        <w:t>ը</w:t>
      </w:r>
      <w:r w:rsidRPr="00E04728">
        <w:t xml:space="preserve">՝ Հայաստանը 2020 թվականին զբաղեցրել է 60-րդ հորիզոնականը (2019 թվականին՝ 77-րդ հորիզոնական, 2018 թվականին՝ 105-րդ): 2021 թվականի արդյուքներով 49 միավոր պահպանվել է։ Սակայն Թրանսփարենսի Ինթերնեշնլի կոռուպցիայի ընկալման համաթվի 2022 թվականի արդյունքներով արձանագրվել է 49-ը միավորից նվազեցում 3 միավորով՝ դառնալով 46-րդ միավոր։ </w:t>
      </w:r>
    </w:p>
    <w:p w14:paraId="302A10FE" w14:textId="1B3BF31F" w:rsidR="00A2382C" w:rsidRPr="00E04728" w:rsidRDefault="00A2382C" w:rsidP="00FB46C4">
      <w:pPr>
        <w:spacing w:line="276" w:lineRule="auto"/>
      </w:pPr>
      <w:r w:rsidRPr="00E04728">
        <w:t>Նկատի ունենալով այն հանգամանքը, որ Հակակոռուպցիոն ռազմավարությամբ որպես հիմքային ցուցիչ նշված էր 2018 թվականի արդյունքը՝ 35 միավոր, ապա ստացվում է՝ Կոռուպցիայի ընկալման համաթվի՝ 2022 թվականի համար ակնկալվող 42,8% բարելավման փոխարեն արձանագրվել է 31,4%, ինչը ևս էական ձեռքբերում է</w:t>
      </w:r>
      <w:r w:rsidR="001E7EC0" w:rsidRPr="00E04728">
        <w:t xml:space="preserve"> 2018 թվականի համեմատությամբ</w:t>
      </w:r>
      <w:r w:rsidRPr="00E04728">
        <w:t>։ Այսինքն, 2019-2022 թվականների հակակոռուպցիոն ռազմավարության իրականացումը, ըստ էության, իր դրական արձանագրումն է ստացել նաև հասարակական ընկալման մեջ։</w:t>
      </w:r>
    </w:p>
    <w:p w14:paraId="45068B8A" w14:textId="30A656DE" w:rsidR="00471738" w:rsidRPr="00E04728" w:rsidRDefault="00A51C63" w:rsidP="00471738">
      <w:pPr>
        <w:spacing w:line="276" w:lineRule="auto"/>
      </w:pPr>
      <w:r w:rsidRPr="00E04728">
        <w:t>«Թրանսփարենսի Ինթերնեշնլ»-ի Կոռուպցիայի ընկալման 2022 թվականի համաթվի նվազեցման պատճառերի ուսումնասիրությունից պարզ է դառնում, որ դրա հաշվարկման շրջանակում հաշվի են առնվել հետևյալ 6 միջազգային ռեյնտինգային զեկույցները: Մասնավորապես, դիտարկվել են Ֆրիդոմ Հաուսի «Անցումային փուլում գտնվող պետություններ» զեկույցը</w:t>
      </w:r>
      <w:r w:rsidRPr="00E04728">
        <w:rPr>
          <w:rStyle w:val="FootnoteReference"/>
        </w:rPr>
        <w:footnoteReference w:id="15"/>
      </w:r>
      <w:r w:rsidRPr="00E04728">
        <w:t xml:space="preserve">, </w:t>
      </w:r>
      <w:r w:rsidR="001D3BC0" w:rsidRPr="00E04728">
        <w:t>PRS-</w:t>
      </w:r>
      <w:r w:rsidRPr="00E04728">
        <w:t>Փոլիթիքլ ռիսքս սերվիսիզ ինթերնեշնլի Երկրի ռիսկայնության» 2022 թվականի ուղեցույցը</w:t>
      </w:r>
      <w:r w:rsidRPr="00E04728">
        <w:rPr>
          <w:rStyle w:val="FootnoteReference"/>
        </w:rPr>
        <w:footnoteReference w:id="16"/>
      </w:r>
      <w:r w:rsidRPr="00E04728">
        <w:t xml:space="preserve">, BF (TI) - Բերթելսմանի հիմնադրամի 2022 </w:t>
      </w:r>
      <w:r w:rsidRPr="00E04728">
        <w:lastRenderedPageBreak/>
        <w:t>թվականի տրանսֆորմացիոն համաթիվը</w:t>
      </w:r>
      <w:r w:rsidRPr="00E04728">
        <w:rPr>
          <w:rStyle w:val="FootnoteReference"/>
        </w:rPr>
        <w:footnoteReference w:id="17"/>
      </w:r>
      <w:r w:rsidRPr="00E04728">
        <w:t>,  GI - Գլոբալ ինսայթի «Երկրի ռիսկայնության» 2021 թվականի վարկանիշը</w:t>
      </w:r>
      <w:r w:rsidRPr="00E04728">
        <w:rPr>
          <w:rStyle w:val="FootnoteReference"/>
        </w:rPr>
        <w:footnoteReference w:id="18"/>
      </w:r>
      <w:r w:rsidRPr="00E04728">
        <w:t>, որոնց առանձին բաղադրիչներով որոշ փոփոխություններ եղել են, սակայն ընդհանուր ինդեքսների փոփոխություն չի արձանագրվել: Սակայն 2022</w:t>
      </w:r>
      <w:r w:rsidR="00471738" w:rsidRPr="00E04728">
        <w:t xml:space="preserve">  թվականին</w:t>
      </w:r>
      <w:r w:rsidRPr="00E04728">
        <w:t xml:space="preserve"> էական հետընթաց արձանագրվել է «Թրանսփարենսի Ինթերնեշնլ»-ի Կոռուպցիայի ընկալման 2022 թվականի համաթվի հիմքում դրված՝ Համաշխարհային տնտեսական ֆորումի ընկերությունների գործադիր տնօրենների հարցման (2021 թվականի համեմատությամբ 13 միավոր հետընթաց) և Ժողովրդավարության բազմազանության ծրագրի (VDEM, 2021 թվականի համեմատությամբ 4 միավոր) արդյունքներով: Վերոնշյալի համատեքսում հարկ է նշել, որ Համաշխարհային տնտեսական ֆորումի ընկերությունների գործադիր տնօրենների (executive opinion survey) կարծիքի ուսումնասիրությունն առչնվում է ներմուծման, արտահանման, կոմունալ ծառայությունների, հարկերի, պետական պայմանագրերի և լիցենզիաների տրամադրման, բարենպաստ դատական որոշումների ընդունման առնչությամբ հաճախ ընկերությունների կողմից չփաստաթղթավորված հավելյալ վճարումների կամ կաշառքների դեպքերին, ինչպես նաև սովորական կոռուպցիայի արդյունքում պետական միջոցների տրամադրումը ընկերություններին, անհատներին կամ որոշակի խմբերին։ Միևնույն ժամանակ, VDEM - Ժողովրդավարության բազմազանության ծրագրի շրջանակում կոռուպցիայի առնչությամբ դիտարկում է  քաղաքական կոռուպցիան՝ տարբերակելով ինչպես գործադիր, օրենսդրական և դատական իշխանություններում, այնպես էլ քաղաքական դաշտի տարբեր ոլորտներում առկա խոշոր և մանր կոռուպցիան։ Նշված բոլոր զեկույցներում հիմք են ընդունվում հասարակական, գործարար ոլորտի ընկալումները և ոլորտի փորձագետների դիրքորոշումները։ Նշյալը վկայում է այն մասին, որ հետնըթացի հիմնական պատճառ են հանդիսացել պետություն-մասնավոր հատված հարաբերություններում առկա կոռուպցիոն բնույթի խնդիրները, ինչպես նաև քաղաքական կոռուպցիան: Թրանսփարենսի Ինթերնեյշնլ հակակոռուպցիոն կենտրոնի կողմից  հանրային հարցազրույցներում ևս, ի թիվս այլնի, շեշտվում է գործարար ոլորտին առնչվող կոռուպցիոն խնդիրների պատճառով ինդեքսի իջեցումը։</w:t>
      </w:r>
    </w:p>
    <w:p w14:paraId="58DAA222" w14:textId="3B06B371" w:rsidR="00A2382C" w:rsidRPr="00E04728" w:rsidRDefault="00A2382C" w:rsidP="00FB46C4">
      <w:pPr>
        <w:tabs>
          <w:tab w:val="left" w:pos="426"/>
        </w:tabs>
        <w:spacing w:line="276" w:lineRule="auto"/>
      </w:pPr>
      <w:r w:rsidRPr="00E04728">
        <w:t xml:space="preserve">Միջազգային պարտավորությունների գնահատման զեկույցների անդրադարձը մոնիթորինգին </w:t>
      </w:r>
      <w:r w:rsidR="006950F7" w:rsidRPr="00E04728">
        <w:t>և</w:t>
      </w:r>
      <w:r w:rsidR="00A51C63" w:rsidRPr="00E04728">
        <w:t xml:space="preserve"> </w:t>
      </w:r>
      <w:r w:rsidRPr="00E04728">
        <w:t>գնահատմանը.</w:t>
      </w:r>
    </w:p>
    <w:p w14:paraId="568AE597" w14:textId="2C05A846" w:rsidR="00A2382C" w:rsidRPr="00E04728" w:rsidRDefault="00A2382C" w:rsidP="00FB46C4">
      <w:pPr>
        <w:numPr>
          <w:ilvl w:val="0"/>
          <w:numId w:val="48"/>
        </w:numPr>
        <w:tabs>
          <w:tab w:val="left" w:pos="426"/>
        </w:tabs>
        <w:spacing w:line="276" w:lineRule="auto"/>
        <w:ind w:left="0" w:firstLine="567"/>
      </w:pPr>
      <w:r w:rsidRPr="00E04728">
        <w:t>ՄԱԿ-ի</w:t>
      </w:r>
      <w:r w:rsidRPr="00E04728">
        <w:rPr>
          <w:b/>
        </w:rPr>
        <w:t xml:space="preserve"> </w:t>
      </w:r>
      <w:r w:rsidRPr="00E04728">
        <w:t>գնահատման շրջանակներում</w:t>
      </w:r>
      <w:r w:rsidRPr="00E04728">
        <w:rPr>
          <w:vertAlign w:val="superscript"/>
        </w:rPr>
        <w:footnoteReference w:id="19"/>
      </w:r>
      <w:r w:rsidRPr="00E04728">
        <w:t xml:space="preserve"> 2021</w:t>
      </w:r>
      <w:r w:rsidR="00686AE9" w:rsidRPr="00E04728">
        <w:t xml:space="preserve"> թվականին </w:t>
      </w:r>
      <w:r w:rsidRPr="00E04728">
        <w:t xml:space="preserve">ամրագրվել է, որ անհրաժեշտ է ջանքեր գործադրել հակակոռուպցիոն իրավական գործիքների և վարչական միջոցների պարբերական մոնիթորինգի և գնահատման կառուցակարգերի ներդրման </w:t>
      </w:r>
      <w:r w:rsidRPr="00E04728">
        <w:lastRenderedPageBreak/>
        <w:t>համար, որը կներառի հակակոռուպցիոն ռազմավարությունը և գործողությունների ծրագրի սահմանումը, համապատասխան մեթոդաբանության և մոնիթորինգի և գնահատման համակարգի ստեղծումը՝ ռազմավարական նպատակների իրականացումը և առաջընթացի գնահատումը հնարավոր դարձնելու նպատակով (Կոնվենցիայի հոդված 5, կետ 3)։ Այս համատեքստում կարևորվում է նաև հակակոռուպցիոն մոնիթորինգի և գնահատման ինստիտուցինալ մարմնի բավարար ռեսուրսները և ինստիտուցիոնալ կարողությունները։</w:t>
      </w:r>
    </w:p>
    <w:p w14:paraId="2996B9A2" w14:textId="77777777" w:rsidR="00A2382C" w:rsidRPr="00E04728" w:rsidRDefault="00A2382C" w:rsidP="00EF0174">
      <w:pPr>
        <w:numPr>
          <w:ilvl w:val="0"/>
          <w:numId w:val="48"/>
        </w:numPr>
        <w:tabs>
          <w:tab w:val="left" w:pos="426"/>
          <w:tab w:val="left" w:pos="900"/>
        </w:tabs>
        <w:spacing w:line="276" w:lineRule="auto"/>
        <w:ind w:left="0" w:firstLine="567"/>
      </w:pPr>
      <w:r w:rsidRPr="00E04728">
        <w:t>ՏՀԶԿ 5-րդ պիլոտային փուլի 2021թ</w:t>
      </w:r>
      <w:r w:rsidRPr="00E04728">
        <w:rPr>
          <w:rFonts w:ascii="MS Mincho" w:eastAsia="MS Mincho" w:hAnsi="MS Mincho" w:cs="MS Mincho" w:hint="eastAsia"/>
        </w:rPr>
        <w:t>․</w:t>
      </w:r>
      <w:r w:rsidRPr="00E04728">
        <w:t xml:space="preserve"> գնահատման արդյունքներով ամրագրվել է հետևյալը.</w:t>
      </w:r>
    </w:p>
    <w:p w14:paraId="165C4549" w14:textId="385C35E4" w:rsidR="00A2382C" w:rsidRPr="00E04728" w:rsidRDefault="00A2382C" w:rsidP="00FB46C4">
      <w:pPr>
        <w:numPr>
          <w:ilvl w:val="0"/>
          <w:numId w:val="47"/>
        </w:numPr>
        <w:tabs>
          <w:tab w:val="left" w:pos="426"/>
        </w:tabs>
        <w:spacing w:line="276" w:lineRule="auto"/>
        <w:ind w:left="0" w:firstLine="567"/>
      </w:pPr>
      <w:r w:rsidRPr="00E04728">
        <w:t>Մոնիթորինգ և գնահատում իրականացնող մարմինը պետք է ունենա բավարար ռեսուրսներ և ինստիտուցիոնալ կարողություններ՝ այդ գործառույթների արդյունավետ իրականացման համար</w:t>
      </w:r>
      <w:r w:rsidR="00B34731" w:rsidRPr="00E04728">
        <w:t>:</w:t>
      </w:r>
    </w:p>
    <w:p w14:paraId="6CDAB54B" w14:textId="448C3C27" w:rsidR="00A2382C" w:rsidRPr="00E04728" w:rsidRDefault="00A2382C" w:rsidP="00FB46C4">
      <w:pPr>
        <w:numPr>
          <w:ilvl w:val="0"/>
          <w:numId w:val="47"/>
        </w:numPr>
        <w:tabs>
          <w:tab w:val="left" w:pos="426"/>
        </w:tabs>
        <w:spacing w:line="276" w:lineRule="auto"/>
        <w:ind w:left="0" w:firstLine="567"/>
      </w:pPr>
      <w:r w:rsidRPr="00E04728">
        <w:t>Մոնիթորինգի շրջանակներում էլեկտրոնային գործիքներ չեն կիրառվում:</w:t>
      </w:r>
    </w:p>
    <w:p w14:paraId="1D69EBCB" w14:textId="77777777" w:rsidR="00A2382C" w:rsidRPr="00E04728" w:rsidRDefault="00A2382C" w:rsidP="00FB46C4">
      <w:pPr>
        <w:numPr>
          <w:ilvl w:val="0"/>
          <w:numId w:val="47"/>
        </w:numPr>
        <w:tabs>
          <w:tab w:val="left" w:pos="426"/>
        </w:tabs>
        <w:spacing w:line="276" w:lineRule="auto"/>
        <w:ind w:left="0" w:firstLine="567"/>
      </w:pPr>
      <w:r w:rsidRPr="00E04728">
        <w:t>Պետական մարմիններում նշանակված հակակոռուպցիոն ռազմավարության հարցերով պատասխանատուները բավարար չափով չեն տիրապետում իրենց իրավասություններին, գերատեսչական մակարդակում հակակոռուպցիոն ռազմավարության և այլ ծրագրերի իրականացման աշխատանքների պատշաճ համակարգում չի իրականացվում:</w:t>
      </w:r>
    </w:p>
    <w:p w14:paraId="17E9D493" w14:textId="356E46AC" w:rsidR="00A2382C" w:rsidRPr="00E04728" w:rsidRDefault="00A2382C" w:rsidP="00FB46C4">
      <w:pPr>
        <w:spacing w:line="276" w:lineRule="auto"/>
      </w:pPr>
      <w:r w:rsidRPr="00E04728">
        <w:t>Իրավիճակի վերլուծության առումով առավել համապարփակ պատկերացում կազմելու նպատակով անհրաժեշտ է ուսումնասիրել նաև քաղաքացիների ընկալումը կոռուպցիայի վերաբերյալ, որի բացահայտման ուղղությամբ իրականացվել են մի շարք ուսումնասիրություններ:</w:t>
      </w:r>
    </w:p>
    <w:p w14:paraId="3629C561" w14:textId="58299A1A" w:rsidR="00A2382C" w:rsidRPr="00E04728" w:rsidRDefault="00A2382C" w:rsidP="00FB46C4">
      <w:pPr>
        <w:spacing w:line="276" w:lineRule="auto"/>
      </w:pPr>
      <w:r w:rsidRPr="00E04728">
        <w:t xml:space="preserve">Այսպես, Միջազգային հանրապետական ինստիտուտի ծրագրի շրջանակներում </w:t>
      </w:r>
      <w:r w:rsidRPr="00E04728">
        <w:rPr>
          <w:rFonts w:cs="Arian AMU"/>
        </w:rPr>
        <w:t>202</w:t>
      </w:r>
      <w:r w:rsidR="009F20B6" w:rsidRPr="00E04728">
        <w:rPr>
          <w:rFonts w:cs="Arian AMU"/>
        </w:rPr>
        <w:t>3</w:t>
      </w:r>
      <w:r w:rsidRPr="00E04728">
        <w:t xml:space="preserve"> թվականի </w:t>
      </w:r>
      <w:r w:rsidR="005052B2" w:rsidRPr="00E04728">
        <w:rPr>
          <w:rFonts w:cs="Arian AMU"/>
        </w:rPr>
        <w:t>հունվարից</w:t>
      </w:r>
      <w:r w:rsidRPr="00E04728">
        <w:rPr>
          <w:rFonts w:cs="Arian AMU"/>
        </w:rPr>
        <w:t xml:space="preserve"> </w:t>
      </w:r>
      <w:r w:rsidR="005052B2" w:rsidRPr="00E04728">
        <w:rPr>
          <w:rFonts w:cs="Arian AMU"/>
        </w:rPr>
        <w:t>մարտ</w:t>
      </w:r>
      <w:r w:rsidRPr="00E04728">
        <w:t xml:space="preserve"> ընկած ժամանակահատվածում իրականացված հարցումներով</w:t>
      </w:r>
      <w:r w:rsidRPr="00E04728">
        <w:rPr>
          <w:rStyle w:val="FootnoteReference"/>
        </w:rPr>
        <w:footnoteReference w:id="20"/>
      </w:r>
      <w:r w:rsidRPr="00E04728">
        <w:t xml:space="preserve">  անդրադարձ է կատարվել նաև կոռուպցիայի նկատմամբ հանրության կարծիքներին:</w:t>
      </w:r>
      <w:r w:rsidR="0056703A">
        <w:t xml:space="preserve"> </w:t>
      </w:r>
      <w:r w:rsidRPr="00E04728">
        <w:t xml:space="preserve">Մասնավորապես, հարցվածների </w:t>
      </w:r>
      <w:r w:rsidR="005052B2" w:rsidRPr="00E04728">
        <w:rPr>
          <w:rFonts w:cs="Arian AMU"/>
        </w:rPr>
        <w:t>9</w:t>
      </w:r>
      <w:r w:rsidR="00270FB0" w:rsidRPr="00E04728">
        <w:rPr>
          <w:rFonts w:cs="Arian AMU"/>
        </w:rPr>
        <w:t xml:space="preserve"> </w:t>
      </w:r>
      <w:r w:rsidRPr="00E04728">
        <w:t xml:space="preserve"> տոկոսը </w:t>
      </w:r>
      <w:r w:rsidR="005052B2" w:rsidRPr="00E04728">
        <w:rPr>
          <w:rFonts w:cs="Arian AMU"/>
        </w:rPr>
        <w:t xml:space="preserve">լիովին բավարարված </w:t>
      </w:r>
      <w:r w:rsidR="00CD7030" w:rsidRPr="00E04728">
        <w:rPr>
          <w:rFonts w:cs="Arian AMU"/>
        </w:rPr>
        <w:t xml:space="preserve">է </w:t>
      </w:r>
      <w:r w:rsidR="005052B2" w:rsidRPr="00E04728">
        <w:rPr>
          <w:rFonts w:cs="Arian AMU"/>
        </w:rPr>
        <w:t xml:space="preserve">ԿԿՀ-ի աշխատանքով, </w:t>
      </w:r>
      <w:r w:rsidRPr="00E04728">
        <w:t xml:space="preserve">իսկ </w:t>
      </w:r>
      <w:r w:rsidR="005052B2" w:rsidRPr="00E04728">
        <w:rPr>
          <w:rFonts w:cs="Arian AMU"/>
        </w:rPr>
        <w:t>36</w:t>
      </w:r>
      <w:r w:rsidRPr="00E04728">
        <w:t xml:space="preserve"> տոկոսը </w:t>
      </w:r>
      <w:r w:rsidR="005052B2" w:rsidRPr="00E04728">
        <w:rPr>
          <w:rFonts w:cs="Arian AMU"/>
        </w:rPr>
        <w:t>ընդհանրապես բավարարված չէ</w:t>
      </w:r>
      <w:r w:rsidRPr="00E04728">
        <w:rPr>
          <w:rFonts w:cs="Arian AMU"/>
        </w:rPr>
        <w:t xml:space="preserve"> ԿԿՀ </w:t>
      </w:r>
      <w:r w:rsidR="005052B2" w:rsidRPr="00E04728">
        <w:rPr>
          <w:rFonts w:cs="Arian AMU"/>
        </w:rPr>
        <w:t>աշխատանքով</w:t>
      </w:r>
      <w:r w:rsidR="005052B2" w:rsidRPr="00E04728">
        <w:t>:</w:t>
      </w:r>
      <w:r w:rsidRPr="00E04728">
        <w:t xml:space="preserve"> Հարցվածների 8 տոկոսը չեն պատասխանել կամ տեղյակ չեն եղել  ԿԿՀ գործունեության վերաբերյալ: Իրականացված հարցման արդյունքում հարցվածների </w:t>
      </w:r>
      <w:r w:rsidR="00DA574C" w:rsidRPr="00E04728">
        <w:rPr>
          <w:rFonts w:cs="Arian AMU"/>
        </w:rPr>
        <w:t>41</w:t>
      </w:r>
      <w:r w:rsidR="0056703A">
        <w:rPr>
          <w:rFonts w:cs="Arian AMU"/>
        </w:rPr>
        <w:t xml:space="preserve"> </w:t>
      </w:r>
      <w:r w:rsidR="0056703A" w:rsidRPr="0056703A">
        <w:rPr>
          <w:rFonts w:cs="Arian AMU"/>
        </w:rPr>
        <w:t xml:space="preserve">%-ը </w:t>
      </w:r>
      <w:r w:rsidRPr="00E04728">
        <w:rPr>
          <w:rFonts w:cs="Arian AMU"/>
        </w:rPr>
        <w:t>կոռուպցիան</w:t>
      </w:r>
      <w:r w:rsidR="00DA574C" w:rsidRPr="00E04728">
        <w:rPr>
          <w:rFonts w:cs="Arian AMU"/>
        </w:rPr>
        <w:t xml:space="preserve"> </w:t>
      </w:r>
      <w:r w:rsidR="00DA574C" w:rsidRPr="00E04728">
        <w:t xml:space="preserve">համարել </w:t>
      </w:r>
      <w:r w:rsidR="00DA574C" w:rsidRPr="00E04728">
        <w:rPr>
          <w:rFonts w:cs="Arian AMU"/>
        </w:rPr>
        <w:t>է շատ մեծ խնդիր</w:t>
      </w:r>
      <w:r w:rsidRPr="00E04728">
        <w:t xml:space="preserve"> Հայաստանի </w:t>
      </w:r>
      <w:r w:rsidR="00DA574C" w:rsidRPr="00E04728">
        <w:rPr>
          <w:rFonts w:cs="Arian AMU"/>
        </w:rPr>
        <w:t>համար</w:t>
      </w:r>
      <w:r w:rsidRPr="00E04728">
        <w:t xml:space="preserve">: </w:t>
      </w:r>
    </w:p>
    <w:p w14:paraId="7B85F6FF" w14:textId="3DFABDEA" w:rsidR="00A2382C" w:rsidRPr="00E04728" w:rsidRDefault="00A2382C" w:rsidP="00FB46C4">
      <w:pPr>
        <w:spacing w:line="276" w:lineRule="auto"/>
      </w:pPr>
      <w:r w:rsidRPr="00E04728">
        <w:t>Միևնույն ժամանակ</w:t>
      </w:r>
      <w:r w:rsidR="005220C3" w:rsidRPr="00E04728">
        <w:t>,</w:t>
      </w:r>
      <w:r w:rsidRPr="00E04728">
        <w:t xml:space="preserve"> հարկ է հավելել, որ ԱՄՆ ՄԶԳ աջակցությամբ իրականացվել է Հայաստանում կոռուպցիայի վերաբերյալ հանրային կարծիքի ուսումնասիրություն, որի շրջանակում կատարված</w:t>
      </w:r>
      <w:r w:rsidR="005220C3" w:rsidRPr="00E04728">
        <w:t xml:space="preserve"> </w:t>
      </w:r>
      <w:r w:rsidRPr="00E04728">
        <w:t xml:space="preserve">պետական մարմինների և հասարարակական կազմակերպությունների հակակոռուպցիոն գործունեության մասին իրազեկվածության առնչությամբ հարցման արդյունքները ցույց են տվել, որ </w:t>
      </w:r>
      <w:r w:rsidR="005220C3" w:rsidRPr="00E04728">
        <w:t>հ</w:t>
      </w:r>
      <w:r w:rsidRPr="00E04728">
        <w:t>արց</w:t>
      </w:r>
      <w:r w:rsidRPr="00E04728">
        <w:softHyphen/>
        <w:t>ված</w:t>
      </w:r>
      <w:r w:rsidRPr="00E04728">
        <w:softHyphen/>
        <w:t>նե</w:t>
      </w:r>
      <w:r w:rsidRPr="00E04728">
        <w:softHyphen/>
        <w:t>րի 44,1%- ը հա</w:t>
      </w:r>
      <w:r w:rsidRPr="00E04728">
        <w:softHyphen/>
        <w:t>կա</w:t>
      </w:r>
      <w:r w:rsidRPr="00E04728">
        <w:softHyphen/>
        <w:t>կոռուպ</w:t>
      </w:r>
      <w:r w:rsidRPr="00E04728">
        <w:softHyphen/>
        <w:t>ցիոն գոր</w:t>
      </w:r>
      <w:r w:rsidRPr="00E04728">
        <w:softHyphen/>
        <w:t>ծու</w:t>
      </w:r>
      <w:r w:rsidRPr="00E04728">
        <w:softHyphen/>
        <w:t>նեութ</w:t>
      </w:r>
      <w:r w:rsidRPr="00E04728">
        <w:softHyphen/>
        <w:t>յամբ զբաղ</w:t>
      </w:r>
      <w:r w:rsidRPr="00E04728">
        <w:softHyphen/>
        <w:t>վող ոչ մի պե</w:t>
      </w:r>
      <w:r w:rsidRPr="00E04728">
        <w:softHyphen/>
        <w:t>տա</w:t>
      </w:r>
      <w:r w:rsidRPr="00E04728">
        <w:softHyphen/>
        <w:t>կան մարմ</w:t>
      </w:r>
      <w:r w:rsidRPr="00E04728">
        <w:softHyphen/>
        <w:t>նի և հա</w:t>
      </w:r>
      <w:r w:rsidRPr="00E04728">
        <w:softHyphen/>
        <w:t>սա</w:t>
      </w:r>
      <w:r w:rsidRPr="00E04728">
        <w:softHyphen/>
        <w:t>րա</w:t>
      </w:r>
      <w:r w:rsidRPr="00E04728">
        <w:softHyphen/>
        <w:t>կական կազ</w:t>
      </w:r>
      <w:r w:rsidRPr="00E04728">
        <w:softHyphen/>
        <w:t>մա</w:t>
      </w:r>
      <w:r w:rsidRPr="00E04728">
        <w:softHyphen/>
        <w:t>կեր</w:t>
      </w:r>
      <w:r w:rsidRPr="00E04728">
        <w:softHyphen/>
        <w:t>պութ</w:t>
      </w:r>
      <w:r w:rsidRPr="00E04728">
        <w:softHyphen/>
        <w:t>յան ընդ</w:t>
      </w:r>
      <w:r w:rsidRPr="00E04728">
        <w:softHyphen/>
        <w:t>հան</w:t>
      </w:r>
      <w:r w:rsidRPr="00E04728">
        <w:softHyphen/>
        <w:t>րա</w:t>
      </w:r>
      <w:r w:rsidRPr="00E04728">
        <w:softHyphen/>
        <w:t>պես չգի</w:t>
      </w:r>
      <w:r w:rsidRPr="00E04728">
        <w:softHyphen/>
        <w:t>տի։ Միև</w:t>
      </w:r>
      <w:r w:rsidRPr="00E04728">
        <w:softHyphen/>
        <w:t>նույն ժա</w:t>
      </w:r>
      <w:r w:rsidRPr="00E04728">
        <w:softHyphen/>
        <w:t>մա</w:t>
      </w:r>
      <w:r w:rsidRPr="00E04728">
        <w:softHyphen/>
        <w:t>նակ, հա</w:t>
      </w:r>
      <w:r w:rsidRPr="00E04728">
        <w:softHyphen/>
        <w:t>սա</w:t>
      </w:r>
      <w:r w:rsidRPr="00E04728">
        <w:softHyphen/>
        <w:t>րա</w:t>
      </w:r>
      <w:r w:rsidRPr="00E04728">
        <w:softHyphen/>
        <w:t>կութ</w:t>
      </w:r>
      <w:r w:rsidRPr="00E04728">
        <w:softHyphen/>
        <w:t>յան մեջ մոտ 20%-ով ա</w:t>
      </w:r>
      <w:r w:rsidRPr="00E04728">
        <w:softHyphen/>
      </w:r>
      <w:r w:rsidRPr="00E04728">
        <w:lastRenderedPageBreak/>
        <w:t>վե</w:t>
      </w:r>
      <w:r w:rsidRPr="00E04728">
        <w:softHyphen/>
        <w:t>լա</w:t>
      </w:r>
      <w:r w:rsidRPr="00E04728">
        <w:softHyphen/>
        <w:t>ցել է կո</w:t>
      </w:r>
      <w:r w:rsidRPr="00E04728">
        <w:softHyphen/>
        <w:t>ռուպ</w:t>
      </w:r>
      <w:r w:rsidRPr="00E04728">
        <w:softHyphen/>
        <w:t>ցիա</w:t>
      </w:r>
      <w:r w:rsidRPr="00E04728">
        <w:softHyphen/>
        <w:t>յի շուրջ տե</w:t>
      </w:r>
      <w:r w:rsidRPr="00E04728">
        <w:softHyphen/>
        <w:t>ղե</w:t>
      </w:r>
      <w:r w:rsidRPr="00E04728">
        <w:softHyphen/>
        <w:t>կատ</w:t>
      </w:r>
      <w:r w:rsidRPr="00E04728">
        <w:softHyphen/>
        <w:t>վութ</w:t>
      </w:r>
      <w:r w:rsidRPr="00E04728">
        <w:softHyphen/>
        <w:t>յուն ստա</w:t>
      </w:r>
      <w:r w:rsidRPr="00E04728">
        <w:softHyphen/>
        <w:t>նալ ցան</w:t>
      </w:r>
      <w:r w:rsidRPr="00E04728">
        <w:softHyphen/>
        <w:t>կա</w:t>
      </w:r>
      <w:r w:rsidRPr="00E04728">
        <w:softHyphen/>
        <w:t>ցողնե</w:t>
      </w:r>
      <w:r w:rsidRPr="00E04728">
        <w:softHyphen/>
        <w:t>րի քա</w:t>
      </w:r>
      <w:r w:rsidRPr="00E04728">
        <w:softHyphen/>
        <w:t>նա</w:t>
      </w:r>
      <w:r w:rsidRPr="00E04728">
        <w:softHyphen/>
        <w:t>կը: Հարց</w:t>
      </w:r>
      <w:r w:rsidRPr="00E04728">
        <w:softHyphen/>
        <w:t>ված</w:t>
      </w:r>
      <w:r w:rsidRPr="00E04728">
        <w:softHyphen/>
        <w:t>նե</w:t>
      </w:r>
      <w:r w:rsidRPr="00E04728">
        <w:softHyphen/>
        <w:t>րին ա</w:t>
      </w:r>
      <w:r w:rsidRPr="00E04728">
        <w:softHyphen/>
        <w:t>ռա</w:t>
      </w:r>
      <w:r w:rsidRPr="00E04728">
        <w:softHyphen/>
        <w:t>վել շատ հե</w:t>
      </w:r>
      <w:r w:rsidRPr="00E04728">
        <w:softHyphen/>
        <w:t>տաքրք</w:t>
      </w:r>
      <w:r w:rsidRPr="00E04728">
        <w:softHyphen/>
        <w:t>րել են կո</w:t>
      </w:r>
      <w:r w:rsidRPr="00E04728">
        <w:softHyphen/>
        <w:t>ռուպ</w:t>
      </w:r>
      <w:r w:rsidRPr="00E04728">
        <w:softHyphen/>
        <w:t>ցիա</w:t>
      </w:r>
      <w:r w:rsidRPr="00E04728">
        <w:softHyphen/>
        <w:t>յի առն</w:t>
      </w:r>
      <w:r w:rsidRPr="00E04728">
        <w:softHyphen/>
        <w:t>չութ</w:t>
      </w:r>
      <w:r w:rsidRPr="00E04728">
        <w:softHyphen/>
        <w:t>յամբ ի</w:t>
      </w:r>
      <w:r w:rsidRPr="00E04728">
        <w:softHyphen/>
        <w:t>րենց ի</w:t>
      </w:r>
      <w:r w:rsidRPr="00E04728">
        <w:softHyphen/>
        <w:t>րա</w:t>
      </w:r>
      <w:r w:rsidRPr="00E04728">
        <w:softHyphen/>
        <w:t>վունք</w:t>
      </w:r>
      <w:r w:rsidRPr="00E04728">
        <w:softHyphen/>
        <w:t>ներն ու պար</w:t>
      </w:r>
      <w:r w:rsidRPr="00E04728">
        <w:softHyphen/>
        <w:t>տա</w:t>
      </w:r>
      <w:r w:rsidRPr="00E04728">
        <w:softHyphen/>
        <w:t>կա</w:t>
      </w:r>
      <w:r w:rsidRPr="00E04728">
        <w:softHyphen/>
        <w:t>նութ</w:t>
      </w:r>
      <w:r w:rsidRPr="00E04728">
        <w:softHyphen/>
        <w:t>յուն</w:t>
      </w:r>
      <w:r w:rsidRPr="00E04728">
        <w:softHyphen/>
        <w:t>նե</w:t>
      </w:r>
      <w:r w:rsidRPr="00E04728">
        <w:softHyphen/>
        <w:t>րը պար</w:t>
      </w:r>
      <w:r w:rsidRPr="00E04728">
        <w:softHyphen/>
        <w:t>զա</w:t>
      </w:r>
      <w:r w:rsidRPr="00E04728">
        <w:softHyphen/>
        <w:t>բա</w:t>
      </w:r>
      <w:r w:rsidRPr="00E04728">
        <w:softHyphen/>
        <w:t>նող տե</w:t>
      </w:r>
      <w:r w:rsidRPr="00E04728">
        <w:softHyphen/>
        <w:t>ղե</w:t>
      </w:r>
      <w:r w:rsidRPr="00E04728">
        <w:softHyphen/>
        <w:t>կատ</w:t>
      </w:r>
      <w:r w:rsidRPr="00E04728">
        <w:softHyphen/>
        <w:t>վութ</w:t>
      </w:r>
      <w:r w:rsidRPr="00E04728">
        <w:softHyphen/>
        <w:t>յու</w:t>
      </w:r>
      <w:r w:rsidRPr="00E04728">
        <w:softHyphen/>
        <w:t>նը, տեղե</w:t>
      </w:r>
      <w:r w:rsidRPr="00E04728">
        <w:softHyphen/>
        <w:t>կատ</w:t>
      </w:r>
      <w:r w:rsidRPr="00E04728">
        <w:softHyphen/>
        <w:t>վութ</w:t>
      </w:r>
      <w:r w:rsidRPr="00E04728">
        <w:softHyphen/>
        <w:t>յունն այն հաս</w:t>
      </w:r>
      <w:r w:rsidRPr="00E04728">
        <w:softHyphen/>
        <w:t>տա</w:t>
      </w:r>
      <w:r w:rsidRPr="00E04728">
        <w:softHyphen/>
        <w:t>տութ</w:t>
      </w:r>
      <w:r w:rsidRPr="00E04728">
        <w:softHyphen/>
        <w:t>յուն</w:t>
      </w:r>
      <w:r w:rsidRPr="00E04728">
        <w:softHyphen/>
        <w:t>նե</w:t>
      </w:r>
      <w:r w:rsidRPr="00E04728">
        <w:softHyphen/>
        <w:t>րի մա</w:t>
      </w:r>
      <w:r w:rsidRPr="00E04728">
        <w:softHyphen/>
        <w:t>սին, ո</w:t>
      </w:r>
      <w:r w:rsidRPr="00E04728">
        <w:softHyphen/>
        <w:t>րոնց կա</w:t>
      </w:r>
      <w:r w:rsidRPr="00E04728">
        <w:softHyphen/>
        <w:t>րե</w:t>
      </w:r>
      <w:r w:rsidRPr="00E04728">
        <w:softHyphen/>
        <w:t>լի է դի</w:t>
      </w:r>
      <w:r w:rsidRPr="00E04728">
        <w:softHyphen/>
        <w:t>մել պաշ</w:t>
      </w:r>
      <w:r w:rsidRPr="00E04728">
        <w:softHyphen/>
        <w:t>տոն</w:t>
      </w:r>
      <w:r w:rsidRPr="00E04728">
        <w:softHyphen/>
        <w:t>յա</w:t>
      </w:r>
      <w:r w:rsidRPr="00E04728">
        <w:softHyphen/>
        <w:t>նե</w:t>
      </w:r>
      <w:r w:rsidRPr="00E04728">
        <w:softHyphen/>
        <w:t>րի կո</w:t>
      </w:r>
      <w:r w:rsidRPr="00E04728">
        <w:softHyphen/>
        <w:t>ռուպ</w:t>
      </w:r>
      <w:r w:rsidRPr="00E04728">
        <w:softHyphen/>
        <w:t>ցիոն վար</w:t>
      </w:r>
      <w:r w:rsidRPr="00E04728">
        <w:softHyphen/>
        <w:t>քի դեպ</w:t>
      </w:r>
      <w:r w:rsidRPr="00E04728">
        <w:softHyphen/>
        <w:t>քում, պե</w:t>
      </w:r>
      <w:r w:rsidRPr="00E04728">
        <w:softHyphen/>
        <w:t>տա</w:t>
      </w:r>
      <w:r w:rsidRPr="00E04728">
        <w:softHyphen/>
        <w:t>կան մար</w:t>
      </w:r>
      <w:r w:rsidRPr="00E04728">
        <w:softHyphen/>
        <w:t>մին</w:t>
      </w:r>
      <w:r w:rsidRPr="00E04728">
        <w:softHyphen/>
        <w:t>նե</w:t>
      </w:r>
      <w:r w:rsidRPr="00E04728">
        <w:softHyphen/>
        <w:t>րի թեժ գծե</w:t>
      </w:r>
      <w:r w:rsidRPr="00E04728">
        <w:softHyphen/>
        <w:t>րի մա</w:t>
      </w:r>
      <w:r w:rsidRPr="00E04728">
        <w:softHyphen/>
        <w:t>սին, հա</w:t>
      </w:r>
      <w:r w:rsidRPr="00E04728">
        <w:softHyphen/>
        <w:t>կա</w:t>
      </w:r>
      <w:r w:rsidRPr="00E04728">
        <w:softHyphen/>
        <w:t>կո</w:t>
      </w:r>
      <w:r w:rsidRPr="00E04728">
        <w:softHyphen/>
        <w:t>ռուպցիոն կրթա</w:t>
      </w:r>
      <w:r w:rsidRPr="00E04728">
        <w:softHyphen/>
        <w:t>կան ծրագ</w:t>
      </w:r>
      <w:r w:rsidRPr="00E04728">
        <w:softHyphen/>
        <w:t>րե</w:t>
      </w:r>
      <w:r w:rsidRPr="00E04728">
        <w:softHyphen/>
        <w:t>րի մա</w:t>
      </w:r>
      <w:r w:rsidRPr="00E04728">
        <w:softHyphen/>
        <w:t>սին և հա</w:t>
      </w:r>
      <w:r w:rsidRPr="00E04728">
        <w:softHyphen/>
        <w:t>կա</w:t>
      </w:r>
      <w:r w:rsidRPr="00E04728">
        <w:softHyphen/>
        <w:t>կո</w:t>
      </w:r>
      <w:r w:rsidRPr="00E04728">
        <w:softHyphen/>
        <w:t>ռուպ</w:t>
      </w:r>
      <w:r w:rsidRPr="00E04728">
        <w:softHyphen/>
        <w:t>ցիոն օ</w:t>
      </w:r>
      <w:r w:rsidRPr="00E04728">
        <w:softHyphen/>
        <w:t>րենսդ</w:t>
      </w:r>
      <w:r w:rsidRPr="00E04728">
        <w:softHyphen/>
        <w:t>րութ</w:t>
      </w:r>
      <w:r w:rsidRPr="00E04728">
        <w:softHyphen/>
        <w:t>յան և քա</w:t>
      </w:r>
      <w:r w:rsidRPr="00E04728">
        <w:softHyphen/>
        <w:t>ղա</w:t>
      </w:r>
      <w:r w:rsidRPr="00E04728">
        <w:softHyphen/>
        <w:t>քա</w:t>
      </w:r>
      <w:r w:rsidRPr="00E04728">
        <w:softHyphen/>
        <w:t>կա</w:t>
      </w:r>
      <w:r w:rsidRPr="00E04728">
        <w:softHyphen/>
        <w:t>նության մա</w:t>
      </w:r>
      <w:r w:rsidRPr="00E04728">
        <w:softHyphen/>
        <w:t>սին տե</w:t>
      </w:r>
      <w:r w:rsidRPr="00E04728">
        <w:softHyphen/>
        <w:t>ղե</w:t>
      </w:r>
      <w:r w:rsidRPr="00E04728">
        <w:softHyphen/>
        <w:t>կատ</w:t>
      </w:r>
      <w:r w:rsidRPr="00E04728">
        <w:softHyphen/>
        <w:t>վութ</w:t>
      </w:r>
      <w:r w:rsidRPr="00E04728">
        <w:softHyphen/>
        <w:t>յու</w:t>
      </w:r>
      <w:r w:rsidRPr="00E04728">
        <w:softHyphen/>
        <w:t>նը։</w:t>
      </w:r>
    </w:p>
    <w:p w14:paraId="5D619B5B" w14:textId="62C28B09" w:rsidR="00A2382C" w:rsidRPr="00E04728" w:rsidRDefault="00A2382C" w:rsidP="00FB46C4">
      <w:pPr>
        <w:spacing w:line="276" w:lineRule="auto"/>
      </w:pPr>
      <w:r w:rsidRPr="00E04728">
        <w:t>Կո</w:t>
      </w:r>
      <w:r w:rsidRPr="00E04728">
        <w:softHyphen/>
        <w:t>ռուպ</w:t>
      </w:r>
      <w:r w:rsidRPr="00E04728">
        <w:softHyphen/>
        <w:t>ցիա</w:t>
      </w:r>
      <w:r w:rsidRPr="00E04728">
        <w:softHyphen/>
        <w:t>յի դրսևոր</w:t>
      </w:r>
      <w:r w:rsidRPr="00E04728">
        <w:softHyphen/>
        <w:t>ման ձևե</w:t>
      </w:r>
      <w:r w:rsidRPr="00E04728">
        <w:softHyphen/>
        <w:t>րի ա</w:t>
      </w:r>
      <w:r w:rsidRPr="00E04728">
        <w:softHyphen/>
        <w:t>ռա</w:t>
      </w:r>
      <w:r w:rsidRPr="00E04728">
        <w:softHyphen/>
        <w:t>վել տա</w:t>
      </w:r>
      <w:r w:rsidRPr="00E04728">
        <w:softHyphen/>
        <w:t>րած</w:t>
      </w:r>
      <w:r w:rsidRPr="00E04728">
        <w:softHyphen/>
        <w:t>վա</w:t>
      </w:r>
      <w:r w:rsidRPr="00E04728">
        <w:softHyphen/>
        <w:t>ծութ</w:t>
      </w:r>
      <w:r w:rsidRPr="00E04728">
        <w:softHyphen/>
        <w:t>յու</w:t>
      </w:r>
      <w:r w:rsidRPr="00E04728">
        <w:softHyphen/>
        <w:t>նը դի</w:t>
      </w:r>
      <w:r w:rsidRPr="00E04728">
        <w:softHyphen/>
        <w:t>տար</w:t>
      </w:r>
      <w:r w:rsidRPr="00E04728">
        <w:softHyphen/>
        <w:t>կե</w:t>
      </w:r>
      <w:r w:rsidRPr="00E04728">
        <w:softHyphen/>
        <w:t>լիս հարց</w:t>
      </w:r>
      <w:r w:rsidRPr="00E04728">
        <w:softHyphen/>
        <w:t>ված</w:t>
      </w:r>
      <w:r w:rsidRPr="00E04728">
        <w:softHyphen/>
        <w:t>ների 82%-ը տա</w:t>
      </w:r>
      <w:r w:rsidRPr="00E04728">
        <w:softHyphen/>
        <w:t>րած</w:t>
      </w:r>
      <w:r w:rsidRPr="00E04728">
        <w:softHyphen/>
        <w:t>ված է հա</w:t>
      </w:r>
      <w:r w:rsidRPr="00E04728">
        <w:softHyphen/>
        <w:t>մա</w:t>
      </w:r>
      <w:r w:rsidRPr="00E04728">
        <w:softHyphen/>
        <w:t>րել հո</w:t>
      </w:r>
      <w:r w:rsidRPr="00E04728">
        <w:softHyphen/>
        <w:t>վա</w:t>
      </w:r>
      <w:r w:rsidRPr="00E04728">
        <w:softHyphen/>
        <w:t>նա</w:t>
      </w:r>
      <w:r w:rsidRPr="00E04728">
        <w:softHyphen/>
        <w:t>վոր</w:t>
      </w:r>
      <w:r w:rsidRPr="00E04728">
        <w:softHyphen/>
        <w:t>չութ</w:t>
      </w:r>
      <w:r w:rsidRPr="00E04728">
        <w:softHyphen/>
        <w:t>յու</w:t>
      </w:r>
      <w:r w:rsidRPr="00E04728">
        <w:softHyphen/>
        <w:t>նը։ Հարց</w:t>
      </w:r>
      <w:r w:rsidRPr="00E04728">
        <w:softHyphen/>
        <w:t>ված</w:t>
      </w:r>
      <w:r w:rsidRPr="00E04728">
        <w:softHyphen/>
        <w:t>նե</w:t>
      </w:r>
      <w:r w:rsidRPr="00E04728">
        <w:softHyphen/>
        <w:t>րը բիզ</w:t>
      </w:r>
      <w:r w:rsidRPr="00E04728">
        <w:softHyphen/>
        <w:t>նե</w:t>
      </w:r>
      <w:r w:rsidRPr="00E04728">
        <w:softHyphen/>
        <w:t>սի և պե</w:t>
      </w:r>
      <w:r w:rsidRPr="00E04728">
        <w:softHyphen/>
        <w:t>տական պաշ</w:t>
      </w:r>
      <w:r w:rsidRPr="00E04728">
        <w:softHyphen/>
        <w:t>տո</w:t>
      </w:r>
      <w:r w:rsidRPr="00E04728">
        <w:softHyphen/>
        <w:t>նի հա</w:t>
      </w:r>
      <w:r w:rsidRPr="00E04728">
        <w:softHyphen/>
        <w:t>մա</w:t>
      </w:r>
      <w:r w:rsidRPr="00E04728">
        <w:softHyphen/>
        <w:t>տե</w:t>
      </w:r>
      <w:r w:rsidRPr="00E04728">
        <w:softHyphen/>
        <w:t>ղու</w:t>
      </w:r>
      <w:r w:rsidRPr="00E04728">
        <w:softHyphen/>
        <w:t>մը (գրե</w:t>
      </w:r>
      <w:r w:rsidRPr="00E04728">
        <w:softHyphen/>
        <w:t>թե 77%-ը) և կա</w:t>
      </w:r>
      <w:r w:rsidRPr="00E04728">
        <w:softHyphen/>
        <w:t>շա</w:t>
      </w:r>
      <w:r w:rsidRPr="00E04728">
        <w:softHyphen/>
        <w:t>ռա</w:t>
      </w:r>
      <w:r w:rsidRPr="00E04728">
        <w:softHyphen/>
        <w:t>կե</w:t>
      </w:r>
      <w:r w:rsidRPr="00E04728">
        <w:softHyphen/>
        <w:t>րութ</w:t>
      </w:r>
      <w:r w:rsidRPr="00E04728">
        <w:softHyphen/>
        <w:t>յու</w:t>
      </w:r>
      <w:r w:rsidRPr="00E04728">
        <w:softHyphen/>
        <w:t>նը (շուրջ 75%-ը) համա</w:t>
      </w:r>
      <w:r w:rsidRPr="00E04728">
        <w:softHyphen/>
        <w:t>րել են կու</w:t>
      </w:r>
      <w:r w:rsidRPr="00E04728">
        <w:softHyphen/>
        <w:t>ռուպ</w:t>
      </w:r>
      <w:r w:rsidRPr="00E04728">
        <w:softHyphen/>
        <w:t>ցիա</w:t>
      </w:r>
      <w:r w:rsidRPr="00E04728">
        <w:softHyphen/>
        <w:t>յի տա</w:t>
      </w:r>
      <w:r w:rsidRPr="00E04728">
        <w:softHyphen/>
        <w:t>րած</w:t>
      </w:r>
      <w:r w:rsidRPr="00E04728">
        <w:softHyphen/>
        <w:t>ված դրսևո</w:t>
      </w:r>
      <w:r w:rsidRPr="00E04728">
        <w:softHyphen/>
        <w:t>րում</w:t>
      </w:r>
      <w:r w:rsidRPr="00E04728">
        <w:softHyphen/>
        <w:t>ներ։ Հարց</w:t>
      </w:r>
      <w:r w:rsidRPr="00E04728">
        <w:softHyphen/>
        <w:t>ված</w:t>
      </w:r>
      <w:r w:rsidRPr="00E04728">
        <w:softHyphen/>
        <w:t>ների 60%-ից ա</w:t>
      </w:r>
      <w:r w:rsidRPr="00E04728">
        <w:softHyphen/>
        <w:t>վե</w:t>
      </w:r>
      <w:r w:rsidRPr="00E04728">
        <w:softHyphen/>
        <w:t>լին տա</w:t>
      </w:r>
      <w:r w:rsidRPr="00E04728">
        <w:softHyphen/>
        <w:t>րած</w:t>
      </w:r>
      <w:r w:rsidRPr="00E04728">
        <w:softHyphen/>
        <w:t>ված է հա</w:t>
      </w:r>
      <w:r w:rsidRPr="00E04728">
        <w:softHyphen/>
        <w:t>մա</w:t>
      </w:r>
      <w:r w:rsidRPr="00E04728">
        <w:softHyphen/>
        <w:t>րել փո</w:t>
      </w:r>
      <w:r w:rsidRPr="00E04728">
        <w:softHyphen/>
        <w:t>ղե</w:t>
      </w:r>
      <w:r w:rsidRPr="00E04728">
        <w:softHyphen/>
        <w:t>րի լվա</w:t>
      </w:r>
      <w:r w:rsidRPr="00E04728">
        <w:softHyphen/>
        <w:t>ցու</w:t>
      </w:r>
      <w:r w:rsidRPr="00E04728">
        <w:softHyphen/>
        <w:t>մը (66,2%), պե</w:t>
      </w:r>
      <w:r w:rsidRPr="00E04728">
        <w:softHyphen/>
        <w:t>տա</w:t>
      </w:r>
      <w:r w:rsidRPr="00E04728">
        <w:softHyphen/>
        <w:t>կան բյու</w:t>
      </w:r>
      <w:r w:rsidRPr="00E04728">
        <w:softHyphen/>
        <w:t>ջեի մսխու</w:t>
      </w:r>
      <w:r w:rsidRPr="00E04728">
        <w:softHyphen/>
        <w:t>մը կամ յու</w:t>
      </w:r>
      <w:r w:rsidRPr="00E04728">
        <w:softHyphen/>
        <w:t>րա</w:t>
      </w:r>
      <w:r w:rsidRPr="00E04728">
        <w:softHyphen/>
        <w:t>ցու</w:t>
      </w:r>
      <w:r w:rsidRPr="00E04728">
        <w:softHyphen/>
        <w:t>մը (64,9%) և պե</w:t>
      </w:r>
      <w:r w:rsidRPr="00E04728">
        <w:softHyphen/>
        <w:t>տա</w:t>
      </w:r>
      <w:r w:rsidRPr="00E04728">
        <w:softHyphen/>
        <w:t>կան դրա</w:t>
      </w:r>
      <w:r w:rsidRPr="00E04728">
        <w:softHyphen/>
        <w:t>մաշ</w:t>
      </w:r>
      <w:r w:rsidRPr="00E04728">
        <w:softHyphen/>
        <w:t>նորհ</w:t>
      </w:r>
      <w:r w:rsidRPr="00E04728">
        <w:softHyphen/>
        <w:t>նե</w:t>
      </w:r>
      <w:r w:rsidRPr="00E04728">
        <w:softHyphen/>
        <w:t>րի տրա</w:t>
      </w:r>
      <w:r w:rsidRPr="00E04728">
        <w:softHyphen/>
        <w:t>մադր</w:t>
      </w:r>
      <w:r w:rsidRPr="00E04728">
        <w:softHyphen/>
        <w:t>ման ոչ թափան</w:t>
      </w:r>
      <w:r w:rsidRPr="00E04728">
        <w:softHyphen/>
        <w:t>ցիկ գոր</w:t>
      </w:r>
      <w:r w:rsidRPr="00E04728">
        <w:softHyphen/>
        <w:t>ծըն</w:t>
      </w:r>
      <w:r w:rsidRPr="00E04728">
        <w:softHyphen/>
        <w:t>թա</w:t>
      </w:r>
      <w:r w:rsidRPr="00E04728">
        <w:softHyphen/>
        <w:t>ցը (61</w:t>
      </w:r>
      <w:r w:rsidRPr="00E04728">
        <w:rPr>
          <w:rFonts w:cs="Arian AMU"/>
        </w:rPr>
        <w:t>%)։</w:t>
      </w:r>
      <w:r w:rsidRPr="00E04728">
        <w:rPr>
          <w:rStyle w:val="FootnoteReference"/>
        </w:rPr>
        <w:footnoteReference w:id="21"/>
      </w:r>
    </w:p>
    <w:p w14:paraId="158324D0" w14:textId="77777777" w:rsidR="00A2382C" w:rsidRPr="00E04728" w:rsidRDefault="00A2382C" w:rsidP="00FB46C4">
      <w:pPr>
        <w:spacing w:line="276" w:lineRule="auto"/>
      </w:pPr>
    </w:p>
    <w:p w14:paraId="414A9475" w14:textId="77777777" w:rsidR="00A2382C" w:rsidRPr="00E04728" w:rsidRDefault="00A2382C" w:rsidP="00FB46C4">
      <w:pPr>
        <w:tabs>
          <w:tab w:val="left" w:pos="284"/>
          <w:tab w:val="left" w:pos="426"/>
          <w:tab w:val="left" w:pos="709"/>
          <w:tab w:val="left" w:pos="993"/>
        </w:tabs>
        <w:spacing w:line="276" w:lineRule="auto"/>
        <w:contextualSpacing/>
        <w:jc w:val="center"/>
        <w:rPr>
          <w:b/>
          <w:color w:val="000000" w:themeColor="text1"/>
        </w:rPr>
      </w:pPr>
    </w:p>
    <w:p w14:paraId="652E1302" w14:textId="77777777" w:rsidR="00A2382C" w:rsidRPr="00E04728" w:rsidRDefault="00A2382C" w:rsidP="00FB46C4">
      <w:pPr>
        <w:tabs>
          <w:tab w:val="left" w:pos="284"/>
          <w:tab w:val="left" w:pos="426"/>
          <w:tab w:val="left" w:pos="709"/>
          <w:tab w:val="left" w:pos="993"/>
        </w:tabs>
        <w:spacing w:line="276" w:lineRule="auto"/>
        <w:contextualSpacing/>
        <w:rPr>
          <w:color w:val="000000" w:themeColor="text1"/>
        </w:rPr>
      </w:pPr>
    </w:p>
    <w:p w14:paraId="53D4F872" w14:textId="2F478167" w:rsidR="00A2382C" w:rsidRPr="00E04728" w:rsidRDefault="00A2382C" w:rsidP="00FB46C4">
      <w:pPr>
        <w:spacing w:line="276" w:lineRule="auto"/>
        <w:jc w:val="left"/>
        <w:rPr>
          <w:b/>
        </w:rPr>
      </w:pPr>
      <w:r w:rsidRPr="00E04728">
        <w:rPr>
          <w:b/>
        </w:rPr>
        <w:br w:type="page"/>
      </w:r>
    </w:p>
    <w:p w14:paraId="774BC083" w14:textId="79322D0F" w:rsidR="00C05DE5" w:rsidRPr="00E04728" w:rsidRDefault="00AF1A1D" w:rsidP="007C4DEA">
      <w:pPr>
        <w:pStyle w:val="Heading1"/>
        <w:spacing w:before="0" w:line="276" w:lineRule="auto"/>
        <w:ind w:firstLine="0"/>
        <w:jc w:val="center"/>
        <w:rPr>
          <w:rFonts w:ascii="GHEA Grapalat" w:hAnsi="GHEA Grapalat"/>
          <w:b/>
          <w:color w:val="000000" w:themeColor="text1"/>
          <w:sz w:val="24"/>
        </w:rPr>
      </w:pPr>
      <w:bookmarkStart w:id="9" w:name="_Toc135078488"/>
      <w:bookmarkStart w:id="10" w:name="_Toc140181769"/>
      <w:r w:rsidRPr="00E04728">
        <w:rPr>
          <w:rFonts w:ascii="GHEA Grapalat" w:hAnsi="GHEA Grapalat"/>
          <w:b/>
          <w:color w:val="000000" w:themeColor="text1"/>
          <w:sz w:val="24"/>
        </w:rPr>
        <w:lastRenderedPageBreak/>
        <w:t>ԲԱԺԻՆ II</w:t>
      </w:r>
      <w:r w:rsidRPr="00E04728">
        <w:rPr>
          <w:rFonts w:ascii="MS Mincho" w:eastAsia="MS Mincho" w:hAnsi="MS Mincho" w:cs="MS Mincho" w:hint="eastAsia"/>
          <w:b/>
          <w:color w:val="000000" w:themeColor="text1"/>
          <w:sz w:val="24"/>
        </w:rPr>
        <w:t>․</w:t>
      </w:r>
      <w:r w:rsidRPr="00E04728">
        <w:rPr>
          <w:rFonts w:ascii="GHEA Grapalat" w:hAnsi="GHEA Grapalat"/>
          <w:b/>
          <w:color w:val="000000" w:themeColor="text1"/>
          <w:sz w:val="24"/>
        </w:rPr>
        <w:t xml:space="preserve"> ՀԱԿԱԿՈՌՈՒՊՑԻՈՆ ՔԱՂԱՔԱԿԱՆՈՒԹՅՈՒՆԸ 2023-2026 ԹՎԱԿԱՆՆԵՐԻՆ</w:t>
      </w:r>
      <w:r w:rsidR="007341F6">
        <w:rPr>
          <w:rFonts w:ascii="MS Mincho" w:eastAsia="MS Mincho" w:hAnsi="MS Mincho" w:cs="MS Mincho" w:hint="eastAsia"/>
          <w:b/>
          <w:color w:val="000000" w:themeColor="text1"/>
          <w:sz w:val="24"/>
        </w:rPr>
        <w:t>.</w:t>
      </w:r>
      <w:r w:rsidRPr="00E04728">
        <w:rPr>
          <w:rFonts w:ascii="GHEA Grapalat" w:hAnsi="GHEA Grapalat"/>
          <w:b/>
          <w:color w:val="000000" w:themeColor="text1"/>
          <w:sz w:val="24"/>
        </w:rPr>
        <w:t xml:space="preserve">ՀԱԿԱԿՈՌՈՒՊՑԻՈՆ ՌԱԶՄԱՎԱՐՈՒԹՅԱՆ ՆՊԱՏԱԿՆԵՐԸ ԵՎ </w:t>
      </w:r>
      <w:bookmarkEnd w:id="9"/>
      <w:r w:rsidRPr="00E04728">
        <w:rPr>
          <w:rFonts w:ascii="GHEA Grapalat" w:eastAsia="Calibri" w:hAnsi="GHEA Grapalat" w:cs="Arian AMU"/>
          <w:b/>
          <w:color w:val="000000" w:themeColor="text1"/>
          <w:sz w:val="24"/>
          <w:szCs w:val="24"/>
        </w:rPr>
        <w:t>ՈՒՂՂՈՒԹՅՈՒՆՆԵՐԸ</w:t>
      </w:r>
      <w:bookmarkEnd w:id="10"/>
    </w:p>
    <w:p w14:paraId="1F22F230" w14:textId="77777777" w:rsidR="002F7436" w:rsidRPr="00E04728" w:rsidRDefault="002F7436" w:rsidP="002F7436">
      <w:pPr>
        <w:spacing w:line="276" w:lineRule="auto"/>
        <w:jc w:val="left"/>
        <w:rPr>
          <w:b/>
          <w:color w:val="000000" w:themeColor="text1"/>
        </w:rPr>
      </w:pPr>
      <w:bookmarkStart w:id="11" w:name="_Toc135078491"/>
    </w:p>
    <w:p w14:paraId="1AB1E086" w14:textId="77777777" w:rsidR="002F7436" w:rsidRPr="00E04728" w:rsidRDefault="002F7436" w:rsidP="002F7436">
      <w:pPr>
        <w:pStyle w:val="Heading1"/>
        <w:spacing w:before="0" w:line="276" w:lineRule="auto"/>
        <w:ind w:firstLine="0"/>
        <w:jc w:val="center"/>
        <w:rPr>
          <w:rFonts w:ascii="GHEA Grapalat" w:hAnsi="GHEA Grapalat"/>
          <w:b/>
          <w:color w:val="000000" w:themeColor="text1"/>
          <w:sz w:val="24"/>
          <w:szCs w:val="24"/>
        </w:rPr>
      </w:pPr>
      <w:bookmarkStart w:id="12" w:name="_Toc135516232"/>
      <w:bookmarkStart w:id="13" w:name="_Toc135078490"/>
      <w:bookmarkStart w:id="14" w:name="_Toc140181770"/>
      <w:r w:rsidRPr="00E04728">
        <w:rPr>
          <w:rFonts w:ascii="GHEA Grapalat" w:hAnsi="GHEA Grapalat"/>
          <w:b/>
          <w:color w:val="000000" w:themeColor="text1"/>
          <w:sz w:val="24"/>
          <w:szCs w:val="24"/>
        </w:rPr>
        <w:t>ՆՊԱՏԱԿ 1</w:t>
      </w:r>
      <w:r w:rsidRPr="00E04728">
        <w:rPr>
          <w:rFonts w:ascii="MS Mincho" w:eastAsia="MS Mincho" w:hAnsi="MS Mincho" w:cs="MS Mincho" w:hint="eastAsia"/>
          <w:b/>
          <w:color w:val="000000" w:themeColor="text1"/>
          <w:sz w:val="24"/>
          <w:szCs w:val="24"/>
        </w:rPr>
        <w:t>․</w:t>
      </w:r>
      <w:r w:rsidRPr="00E04728">
        <w:rPr>
          <w:rFonts w:ascii="GHEA Grapalat" w:hAnsi="GHEA Grapalat"/>
          <w:b/>
          <w:color w:val="000000" w:themeColor="text1"/>
          <w:sz w:val="24"/>
          <w:szCs w:val="24"/>
        </w:rPr>
        <w:t xml:space="preserve"> ԿՈՌՈՒՊՑԻԱՅԻ ԿԱՆԽԱՐԳԵԼՈՒՄ</w:t>
      </w:r>
      <w:bookmarkEnd w:id="12"/>
      <w:bookmarkEnd w:id="13"/>
      <w:bookmarkEnd w:id="14"/>
    </w:p>
    <w:p w14:paraId="34FF3A4A" w14:textId="77777777" w:rsidR="002F7436" w:rsidRPr="00E04728" w:rsidRDefault="002F7436" w:rsidP="002F7436">
      <w:pPr>
        <w:tabs>
          <w:tab w:val="left" w:pos="284"/>
          <w:tab w:val="left" w:pos="426"/>
          <w:tab w:val="left" w:pos="709"/>
          <w:tab w:val="left" w:pos="851"/>
          <w:tab w:val="left" w:pos="993"/>
        </w:tabs>
        <w:spacing w:line="276" w:lineRule="auto"/>
        <w:rPr>
          <w:b/>
          <w:color w:val="000000" w:themeColor="text1"/>
        </w:rPr>
      </w:pPr>
    </w:p>
    <w:p w14:paraId="062C5F4F" w14:textId="4270B2B6" w:rsidR="00613E8F" w:rsidRPr="00E04728" w:rsidRDefault="00613E8F" w:rsidP="00613E8F">
      <w:pPr>
        <w:spacing w:line="276" w:lineRule="auto"/>
        <w:ind w:right="35" w:firstLine="630"/>
        <w:rPr>
          <w:color w:val="000000" w:themeColor="text1"/>
        </w:rPr>
      </w:pPr>
      <w:r w:rsidRPr="00E04728">
        <w:rPr>
          <w:color w:val="000000" w:themeColor="text1"/>
        </w:rPr>
        <w:t>Հակակոռուպցիոն ցանկացած ռազմավարության կարևորագույն տարրը կոռուպցիայի դեմ պայքարի ինստիտուցիոնալ մոդելների և քաղաքականությունների, կարողությունների զարգացման ջանքերի վերաբերյալ որոշումն է, որոնք թույլ կտան այդ ինստիտուտներին արդյունավետորեն կատարել իրենց դերը: Այս առումով պետք է արձանագրել, որ Հայաստանի Հանրապետությունում կոռուպցիայի կանխարգելումը՝ որպես քաղաքական կամք և հանձնառություն, նյութականացվել է ՀՀ հակակոռուպցիոն ռազմավարությամբ և դրա իրականացման 2019-2022 թվականների գործողությունների ծրագրով, որով նախանշեցին կոռուպցիայի դեմ իրական պայքարի հիմնական ուղղություններն ու ակնկալվող արդյունքները՝ որպես ռազմավարության իրականացման հիմնական երաշխիք ունենալով Հայաստանի Հանրապետության կառավարության կողմից դրսևորած քաղաքական աննախադեպ կամքն ու վճռականությունը: Ռազմավարությամբ կարևորվեց կոռուպցիան ծնող ու դրա տարածումը խթանող պատճառների ու պայմանների վերացումը՝ հանրային կառավարման համակարգում բարեվարքության, թափանցիկության, մասնակցայնության արդյունավետ և իրագործելի կառուցակարգերի ստեղծմամբ ու կատարելագործմամբ, պետական համակարգում կոռուպցիայի հակազդմանն ուղղված միասնական կանոնների թելադրմամբ, ինչպես նաև կոռուպցիայի դեմ պայքարի ինստիտուցիոնալ մոդելի ներդրմամբ:</w:t>
      </w:r>
    </w:p>
    <w:p w14:paraId="4F38B5D2" w14:textId="43B69604" w:rsidR="002F7436" w:rsidRPr="00E04728" w:rsidRDefault="002F7436" w:rsidP="002F7436">
      <w:pPr>
        <w:tabs>
          <w:tab w:val="left" w:pos="426"/>
          <w:tab w:val="left" w:pos="567"/>
          <w:tab w:val="left" w:pos="709"/>
          <w:tab w:val="left" w:pos="851"/>
          <w:tab w:val="left" w:pos="993"/>
        </w:tabs>
        <w:spacing w:line="276" w:lineRule="auto"/>
      </w:pPr>
      <w:r w:rsidRPr="00E04728">
        <w:t xml:space="preserve">Կոռուպցիայի դեմ պայքարում առանցքային դեր ունեն կոռուպցիայի կանխարգելման ինստիտուցիոնալ մարմնի շարունակական հզորացումը, ինչպես նաև կանխարգելման գործիքների շարունակական զարգացումն ու արդիականացումը։ Կոռուպցիայի կանխարգելման կարևորագույն ուղղությունների շարքում ռազմավարությամբ դիտարկվում են կոռուպցիայի կանխարգելման ինստիտուցիոնալ համակարգի զարգացումը, </w:t>
      </w:r>
      <w:r w:rsidRPr="00E04728">
        <w:rPr>
          <w:color w:val="000000" w:themeColor="text1"/>
        </w:rPr>
        <w:t>հանրային ոլորտում կոռուպցիայի կանխարգելման և բարեվարքության ամրապնդման մեխանիզմների կատարելագործումը, ինչպես նաև բարեվարքության համակարգի շարունակական կատարելագործումը:</w:t>
      </w:r>
    </w:p>
    <w:p w14:paraId="4DA41573" w14:textId="77777777" w:rsidR="002F7436" w:rsidRPr="00E04728" w:rsidRDefault="002F7436" w:rsidP="002F7436">
      <w:pPr>
        <w:tabs>
          <w:tab w:val="left" w:pos="284"/>
          <w:tab w:val="left" w:pos="426"/>
          <w:tab w:val="left" w:pos="567"/>
          <w:tab w:val="left" w:pos="709"/>
          <w:tab w:val="left" w:pos="851"/>
          <w:tab w:val="left" w:pos="993"/>
        </w:tabs>
        <w:spacing w:line="276" w:lineRule="auto"/>
        <w:rPr>
          <w:b/>
          <w:color w:val="000000" w:themeColor="text1"/>
        </w:rPr>
      </w:pPr>
    </w:p>
    <w:p w14:paraId="2AD7C6A7" w14:textId="77777777" w:rsidR="002F7436" w:rsidRPr="00E04728" w:rsidRDefault="002F7436" w:rsidP="002F7436">
      <w:pPr>
        <w:tabs>
          <w:tab w:val="left" w:pos="284"/>
          <w:tab w:val="left" w:pos="426"/>
          <w:tab w:val="left" w:pos="567"/>
          <w:tab w:val="left" w:pos="709"/>
          <w:tab w:val="left" w:pos="851"/>
          <w:tab w:val="left" w:pos="993"/>
        </w:tabs>
        <w:spacing w:line="276" w:lineRule="auto"/>
        <w:ind w:firstLine="0"/>
        <w:jc w:val="center"/>
        <w:rPr>
          <w:b/>
          <w:color w:val="000000" w:themeColor="text1"/>
        </w:rPr>
      </w:pPr>
      <w:r w:rsidRPr="00E04728">
        <w:rPr>
          <w:b/>
          <w:color w:val="000000" w:themeColor="text1"/>
        </w:rPr>
        <w:t>ՌԱԶՄԱՎԱՐԱԿԱՆ ՈՒՂՂՈՒԹՅՈՒՆՆԵՐ</w:t>
      </w:r>
    </w:p>
    <w:p w14:paraId="32ECC165" w14:textId="77777777" w:rsidR="002F7436" w:rsidRPr="00E04728" w:rsidRDefault="002F7436" w:rsidP="002F7436">
      <w:pPr>
        <w:spacing w:line="276" w:lineRule="auto"/>
        <w:ind w:firstLine="0"/>
        <w:jc w:val="center"/>
        <w:rPr>
          <w:b/>
          <w:color w:val="000000" w:themeColor="text1"/>
        </w:rPr>
      </w:pPr>
    </w:p>
    <w:p w14:paraId="3FC41988" w14:textId="77777777" w:rsidR="002F7436" w:rsidRPr="00E04728" w:rsidRDefault="002F7436" w:rsidP="002F7436">
      <w:pPr>
        <w:spacing w:line="276" w:lineRule="auto"/>
        <w:ind w:firstLine="0"/>
        <w:jc w:val="center"/>
        <w:rPr>
          <w:b/>
          <w:color w:val="000000" w:themeColor="text1"/>
        </w:rPr>
      </w:pPr>
      <w:r w:rsidRPr="00E04728">
        <w:rPr>
          <w:b/>
          <w:color w:val="000000" w:themeColor="text1"/>
        </w:rPr>
        <w:t>ԿՈՌՈՒՊՑԻԱՅԻ ԿԱՆԽԱՐԳԵԼՄԱՆ ԻՆՍՏԻՏՈՒՑԻՈՆԱԼ ՀԱՄԱԿԱՐԳԻ ԶԱՐԳԱՑՈՒՄ</w:t>
      </w:r>
    </w:p>
    <w:p w14:paraId="7A2C4A76" w14:textId="77777777" w:rsidR="007341F6" w:rsidRDefault="007341F6" w:rsidP="002F7436">
      <w:pPr>
        <w:pStyle w:val="ListParagraph"/>
        <w:tabs>
          <w:tab w:val="left" w:pos="567"/>
        </w:tabs>
        <w:spacing w:line="276" w:lineRule="auto"/>
        <w:ind w:left="0"/>
      </w:pPr>
    </w:p>
    <w:p w14:paraId="621E00A7" w14:textId="14F79C1A" w:rsidR="002F7436" w:rsidRPr="00E04728" w:rsidRDefault="002F7436" w:rsidP="002F7436">
      <w:pPr>
        <w:pStyle w:val="ListParagraph"/>
        <w:tabs>
          <w:tab w:val="left" w:pos="567"/>
        </w:tabs>
        <w:spacing w:line="276" w:lineRule="auto"/>
        <w:ind w:left="0"/>
      </w:pPr>
      <w:r w:rsidRPr="00E04728">
        <w:t xml:space="preserve">Հայաստանի Հանրապետությունում 2019 թվականից իրականացված բարեփոխումների արդյունքում ձևավորվեցին մասնագիտացված հակակոռուպցիոն կառույցներ։ Այսպես, 2019 </w:t>
      </w:r>
      <w:r w:rsidRPr="00E04728">
        <w:lastRenderedPageBreak/>
        <w:t>թվականից սկսեց գործել դեռևս 2017 թվականին ընդունված «Կոռուպցիայի կանխարգելման հանձնաժողովի մասին» օրենքով նախատեսված ինքնավար պետական մարմինը` Կոռուպցիայի կանխարգելման հանձնաժողովը</w:t>
      </w:r>
      <w:r w:rsidR="007A31CA">
        <w:t>`</w:t>
      </w:r>
      <w:r w:rsidRPr="00E04728">
        <w:t xml:space="preserve">որպես կոռուպցիայի կանխարգելման մասնագիտացված մարմին՝ համապատասխան անկախության երաշխիքներով: 2019-2022 թվականներին ընդունված օրենսդրական փոփոխությունների արդյունքում էականորեն ընդլայնվել են Կոռուպցիայի կանխարգելման հանձնաժողովի իրավասությունների շրջանակը և գործիքակազմը։ </w:t>
      </w:r>
    </w:p>
    <w:p w14:paraId="4AB2DEBB" w14:textId="77777777" w:rsidR="002F7436" w:rsidRPr="00E04728" w:rsidRDefault="002F7436" w:rsidP="002F7436">
      <w:pPr>
        <w:pStyle w:val="ListParagraph"/>
        <w:tabs>
          <w:tab w:val="left" w:pos="567"/>
        </w:tabs>
        <w:spacing w:line="276" w:lineRule="auto"/>
        <w:ind w:left="0"/>
        <w:rPr>
          <w:color w:val="000000"/>
          <w:shd w:val="clear" w:color="auto" w:fill="FFFFFF"/>
        </w:rPr>
      </w:pPr>
      <w:r w:rsidRPr="00E04728">
        <w:rPr>
          <w:color w:val="000000"/>
          <w:shd w:val="clear" w:color="auto" w:fill="FFFFFF"/>
        </w:rPr>
        <w:t xml:space="preserve">Ավելին, 2024 թվականի հունվարի 1-ից ԿԿՀ-ին է փոխանցվելու նաև. </w:t>
      </w:r>
    </w:p>
    <w:p w14:paraId="4B1777E9" w14:textId="77777777" w:rsidR="002F7436" w:rsidRPr="00E04728" w:rsidRDefault="002F7436" w:rsidP="002F7436">
      <w:pPr>
        <w:pStyle w:val="ListParagraph"/>
        <w:tabs>
          <w:tab w:val="left" w:pos="567"/>
          <w:tab w:val="left" w:pos="709"/>
          <w:tab w:val="left" w:pos="993"/>
          <w:tab w:val="left" w:pos="1276"/>
        </w:tabs>
        <w:spacing w:line="276" w:lineRule="auto"/>
        <w:ind w:left="0"/>
        <w:rPr>
          <w:color w:val="000000"/>
          <w:shd w:val="clear" w:color="auto" w:fill="FFFFFF"/>
        </w:rPr>
      </w:pPr>
      <w:r w:rsidRPr="00E04728">
        <w:rPr>
          <w:color w:val="000000"/>
          <w:shd w:val="clear" w:color="auto" w:fill="FFFFFF"/>
        </w:rPr>
        <w:t>ա) «Հայաստանի Հանրապետության ընտրական օրենսգիրք» սահմանադրական օրենքով սահմանված դեպքերում և կարգով նախընտրական հիմնադրամներ կատարվող նվիրատվությունների, ծախսերի և դրանց հաշվարկման նկատմամբ վերահսկողության իրականացումը.</w:t>
      </w:r>
    </w:p>
    <w:p w14:paraId="5E600686" w14:textId="77777777" w:rsidR="002F7436" w:rsidRPr="00E04728" w:rsidRDefault="002F7436" w:rsidP="002F7436">
      <w:pPr>
        <w:pStyle w:val="ListParagraph"/>
        <w:tabs>
          <w:tab w:val="left" w:pos="567"/>
          <w:tab w:val="left" w:pos="993"/>
        </w:tabs>
        <w:spacing w:line="276" w:lineRule="auto"/>
        <w:ind w:left="0"/>
        <w:rPr>
          <w:color w:val="000000"/>
          <w:shd w:val="clear" w:color="auto" w:fill="FFFFFF"/>
        </w:rPr>
      </w:pPr>
      <w:r w:rsidRPr="00E04728">
        <w:rPr>
          <w:color w:val="000000"/>
          <w:shd w:val="clear" w:color="auto" w:fill="FFFFFF"/>
        </w:rPr>
        <w:t xml:space="preserve">բ) «Հանրաքվեի մասին» սահմանադրական օրենքով սահմանված դեպքերում և կարգով քարոզչության ֆինանսավորման հիմնադրամներ կատարվող նվիրատվությունների, ծախսերի և դրանց հաշվարկման նկատմամբ վերահսկողության իրականացումը. </w:t>
      </w:r>
    </w:p>
    <w:p w14:paraId="24E73D90" w14:textId="77777777" w:rsidR="002F7436" w:rsidRPr="00E04728" w:rsidRDefault="002F7436" w:rsidP="002F7436">
      <w:pPr>
        <w:pStyle w:val="ListParagraph"/>
        <w:tabs>
          <w:tab w:val="left" w:pos="567"/>
          <w:tab w:val="left" w:pos="993"/>
        </w:tabs>
        <w:spacing w:line="276" w:lineRule="auto"/>
        <w:ind w:left="0"/>
        <w:rPr>
          <w:color w:val="000000"/>
          <w:shd w:val="clear" w:color="auto" w:fill="FFFFFF"/>
        </w:rPr>
      </w:pPr>
      <w:r w:rsidRPr="00E04728">
        <w:rPr>
          <w:color w:val="000000"/>
          <w:shd w:val="clear" w:color="auto" w:fill="FFFFFF"/>
        </w:rPr>
        <w:t>գ) «Տեղական հանրաքվեի մասին» օրենքով սահմանված դեպքերում և կարգով քարոզչության ֆինանսավորման հիմնադրամներ կատարվող նվիրատվությունների, ծախսերի և դրանց հաշվարկման նկատմամբ վերահսկողության իրականացումը։»</w:t>
      </w:r>
      <w:r w:rsidRPr="00E04728">
        <w:rPr>
          <w:rStyle w:val="FootnoteReference"/>
        </w:rPr>
        <w:footnoteReference w:id="22"/>
      </w:r>
      <w:r w:rsidRPr="00E04728">
        <w:rPr>
          <w:color w:val="000000"/>
          <w:shd w:val="clear" w:color="auto" w:fill="FFFFFF"/>
        </w:rPr>
        <w:t>:</w:t>
      </w:r>
    </w:p>
    <w:p w14:paraId="563192F4" w14:textId="77777777" w:rsidR="002F7436" w:rsidRPr="00E04728" w:rsidRDefault="002F7436" w:rsidP="002F7436">
      <w:pPr>
        <w:pStyle w:val="ListParagraph"/>
        <w:tabs>
          <w:tab w:val="left" w:pos="567"/>
          <w:tab w:val="left" w:pos="993"/>
        </w:tabs>
        <w:spacing w:line="276" w:lineRule="auto"/>
        <w:ind w:left="0"/>
        <w:rPr>
          <w:color w:val="000000"/>
          <w:shd w:val="clear" w:color="auto" w:fill="FFFFFF"/>
        </w:rPr>
      </w:pPr>
      <w:r w:rsidRPr="00E04728">
        <w:rPr>
          <w:color w:val="000000"/>
          <w:shd w:val="clear" w:color="auto" w:fill="FFFFFF"/>
        </w:rPr>
        <w:t>Զուգահեռաբար, Հայաստանի Հանրապետության դատական և իրավական բարեփոխումների 2022-2026 թվականների ռազմավարությունից բխող գործողությունների ծրագրով նախատեսվում է ներդնել դատավորների, դատախազների և քննիչների ընթացիկ բարեվարքության, քննիչների թեկնածուների բարեվարքության ստուգման կառուցակարգեր։ Միևնույն ժամանակ, 2019-2022 թվականների հակակոռուցպիոն ռազմավարության իրականաման միջոցառումների ամբողջական իրականացման ապահովման նպատակով ներդրվելու է նաև անկախ և ինքնավար մարմինների ղեկավարների, կոլեգիալ մարմինների դեպքում՝ դրանց անդամների բարեվարքության ստուգման կառուցակարգեր։ Նշյալի արդյունավետ կիրարկման առնչությամբ ևս ԿԿՀ-ին լրացուցիչ ռեսուրսներ են անհրաժեշտ։</w:t>
      </w:r>
    </w:p>
    <w:p w14:paraId="46DF8C15" w14:textId="77777777" w:rsidR="002F7436" w:rsidRPr="00E04728" w:rsidRDefault="002F7436" w:rsidP="002F7436">
      <w:pPr>
        <w:pStyle w:val="ListParagraph"/>
        <w:tabs>
          <w:tab w:val="left" w:pos="567"/>
        </w:tabs>
        <w:spacing w:line="276" w:lineRule="auto"/>
        <w:ind w:left="0"/>
        <w:rPr>
          <w:color w:val="000000" w:themeColor="text1"/>
        </w:rPr>
      </w:pPr>
      <w:r w:rsidRPr="00E04728">
        <w:rPr>
          <w:color w:val="000000" w:themeColor="text1"/>
        </w:rPr>
        <w:t>Միևնույն ժամանակ, ՄԱԿ-ի «Կոռուպցիայի դեմ» կոնվենցիայի 6-րդ հոդվածով և դրա մեկնաբանման իրավաբանական ուղեցույցով կարևորվում է կանխարգելման մարմնի ինստիտուցիոնալ հզորացումը և կարողությունների շարունակական զարգացումը։</w:t>
      </w:r>
    </w:p>
    <w:p w14:paraId="090DDB9F" w14:textId="77777777" w:rsidR="002F7436" w:rsidRPr="00E04728" w:rsidRDefault="002F7436" w:rsidP="002F7436">
      <w:pPr>
        <w:pStyle w:val="ListParagraph"/>
        <w:tabs>
          <w:tab w:val="left" w:pos="567"/>
        </w:tabs>
        <w:spacing w:line="276" w:lineRule="auto"/>
        <w:ind w:left="0"/>
        <w:rPr>
          <w:color w:val="000000"/>
          <w:shd w:val="clear" w:color="auto" w:fill="FFFFFF"/>
        </w:rPr>
      </w:pPr>
      <w:r w:rsidRPr="00E04728">
        <w:rPr>
          <w:color w:val="000000"/>
          <w:shd w:val="clear" w:color="auto" w:fill="FFFFFF"/>
        </w:rPr>
        <w:t>Այսպիսով, ԿԿՀ-ի գործառույթների շարունակական ընդլայնման միջոցով վերջինս կառուպցիայի դեմ պայքարում կենտրոնական տեղ է զբաղեցնում: Այդուհանդերձ, ԿԿՀ-ում առկա է հաստիքների համալրման խնդիր</w:t>
      </w:r>
      <w:r w:rsidRPr="00E04728">
        <w:rPr>
          <w:rStyle w:val="FootnoteReference"/>
          <w:color w:val="000000"/>
          <w:shd w:val="clear" w:color="auto" w:fill="FFFFFF"/>
        </w:rPr>
        <w:footnoteReference w:id="23"/>
      </w:r>
      <w:r w:rsidRPr="00E04728">
        <w:rPr>
          <w:color w:val="000000"/>
          <w:shd w:val="clear" w:color="auto" w:fill="FFFFFF"/>
        </w:rPr>
        <w:t xml:space="preserve">, որպիսի պայմաններում </w:t>
      </w:r>
      <w:r w:rsidRPr="00E04728">
        <w:rPr>
          <w:color w:val="000000" w:themeColor="text1"/>
        </w:rPr>
        <w:t xml:space="preserve">ԿԿՀ-ն, որպես </w:t>
      </w:r>
      <w:r w:rsidRPr="00E04728">
        <w:rPr>
          <w:b/>
          <w:i/>
          <w:color w:val="000000" w:themeColor="text1"/>
        </w:rPr>
        <w:t>միջազգային պարտավորություններ ունեցող հատուկ կարգավիճակով գործառնական անկախությամբ օժտված մարմին</w:t>
      </w:r>
      <w:r w:rsidRPr="00E04728">
        <w:rPr>
          <w:color w:val="000000" w:themeColor="text1"/>
        </w:rPr>
        <w:t xml:space="preserve">։ Գործառնական անկախության բաղադրատարրերից է </w:t>
      </w:r>
      <w:r w:rsidRPr="00E04728">
        <w:lastRenderedPageBreak/>
        <w:t>«բավարար ռեսուրսներ» առկայությունը, որը ներառում է երեք հիմնական տարր՝ բյուջե, աշխատակազմ և դրա ենթակառուցվածքը։ Դրա բոլոր տարրերի համաժամանակյա ապահովումն անհրաժեշտ է անկախության երաշխավորման, ընդհանուր ինստիտուտի արդյունավետության ապահովման նապատկով։</w:t>
      </w:r>
      <w:r w:rsidRPr="00E04728">
        <w:rPr>
          <w:color w:val="000000" w:themeColor="text1"/>
        </w:rPr>
        <w:t xml:space="preserve"> Միևնույն ժամանակ, </w:t>
      </w:r>
      <w:r w:rsidRPr="00E04728">
        <w:rPr>
          <w:color w:val="000000"/>
          <w:shd w:val="clear" w:color="auto" w:fill="FFFFFF"/>
        </w:rPr>
        <w:t>ըստ ստանձնած նոր գործառույթների` ԿԿՀ-ն կարիք ունի նաև կադրերի վերապատրաստման, նոր հաստիքների նախատեսման և այլ կարիքներ</w:t>
      </w:r>
      <w:r w:rsidRPr="00E04728">
        <w:rPr>
          <w:color w:val="000000" w:themeColor="text1"/>
        </w:rPr>
        <w:t>։</w:t>
      </w:r>
    </w:p>
    <w:p w14:paraId="73AF1C01" w14:textId="5E73AEBA" w:rsidR="002F7436" w:rsidRPr="00E04728" w:rsidRDefault="002F7436" w:rsidP="002F7436">
      <w:pPr>
        <w:pStyle w:val="ListParagraph"/>
        <w:tabs>
          <w:tab w:val="left" w:pos="567"/>
        </w:tabs>
        <w:spacing w:line="276" w:lineRule="auto"/>
        <w:ind w:left="0"/>
        <w:rPr>
          <w:color w:val="000000" w:themeColor="text1"/>
        </w:rPr>
      </w:pPr>
      <w:r w:rsidRPr="00E04728">
        <w:rPr>
          <w:color w:val="000000"/>
          <w:shd w:val="clear" w:color="auto" w:fill="FFFFFF"/>
        </w:rPr>
        <w:t>Ուստի,</w:t>
      </w:r>
      <w:r w:rsidRPr="00E04728">
        <w:rPr>
          <w:color w:val="000000" w:themeColor="text1"/>
        </w:rPr>
        <w:t xml:space="preserve"> իր կողմից ստանձնած միջազգային պարտավորությունների և օրենքով սահմանված լիազորությունների արդյունավետ իրականացման նպատակով </w:t>
      </w:r>
      <w:r w:rsidRPr="00E04728">
        <w:rPr>
          <w:i/>
          <w:color w:val="000000" w:themeColor="text1"/>
        </w:rPr>
        <w:t>անհրաժեշտ է գնահատել ԿԿՀ-ի կարիքներն ու կարողությունները և զարգացնել դրանք:</w:t>
      </w:r>
    </w:p>
    <w:p w14:paraId="10365247" w14:textId="77777777" w:rsidR="002F7436" w:rsidRPr="00E04728" w:rsidRDefault="002F7436" w:rsidP="002F7436">
      <w:pPr>
        <w:spacing w:line="276" w:lineRule="auto"/>
        <w:rPr>
          <w:shd w:val="clear" w:color="auto" w:fill="FFFFFF"/>
        </w:rPr>
      </w:pPr>
      <w:r w:rsidRPr="00E04728">
        <w:rPr>
          <w:color w:val="000000"/>
          <w:shd w:val="clear" w:color="auto" w:fill="FFFFFF"/>
        </w:rPr>
        <w:t xml:space="preserve">Կոռուպցիայի կանխարգելման հարցում առանցքային նշանակություն ունի նաև ԿԿՀ-ին վերապահված առանձին տեսակի վարույթներ իրականացնելու լիազորությունը: Մասնավորապես, Հանձնաժողովը իրավասու է հարուցելու վարչական իրավախախտումների վերաբերյալ վարույթ, </w:t>
      </w:r>
      <w:r w:rsidRPr="00E04728">
        <w:t>«Հանրային ծառայության մասին» օրենքով սահմանված անհամատեղելիության պահանջների, այլ սահմանափակումների, վարքագծի կանոնների խախտումների և իրավիճակային շահերի բախման վերաբերյալ վարույթ, ինչպես նաև «Հայաստանի Հանրապետության դատական օրենսգիրք» սահմանադրական օրենքով նախատեսված կարգապահական վարույթ: Միևնույն ժամանակ, ԿԿՀ-ն իրականացնում է մի շարք գործառույթներ, որոնք պարունակում են վարչարարության հատկանիշներ՝որոշ դեպքերում մեկնաբանվելով որպես վարչական վարույթ, ինչի առնչությամբ օրենսդրական կարգավորումները հստակեցնելու անհրաժեշտություն է առաջացել։ Չնայած նշված վարույթների և ԿԿՀ գործառույթների էական տարբերություններին` օրենքով այս վարույթների իրականացման առանձնահատկությունները սահմանված չեն, ինչպես նաև նշված ընթացակարգերի բարելավմանն ուղղված միջոցառումներ չեն իրականացվում:</w:t>
      </w:r>
      <w:r w:rsidRPr="00E04728">
        <w:rPr>
          <w:shd w:val="clear" w:color="auto" w:fill="FFFFFF"/>
        </w:rPr>
        <w:t xml:space="preserve"> Միևնույն ժամանակ, «Կոռուպցիայի կանխարգելման հանձնաժողովի մասին» օրենքի կարգավորումներում առկա է անհստակություն հայտարարագրերի ստուգում և վերլուծություն եզրույթների վերաբերյալ, բացակայում են ստուգման գործընթացի մանրամասների վերաբերյալ կարգավորումներ՝ ստուգման հասկացությունը, հիմքերը, ժամկետները, ստուգումների իրականացման կարգը և պայմանները, ինչը հանգեցնում է գործընթացի որոշակիության բացակայության։ Նշյալ օրենքի </w:t>
      </w:r>
      <w:r w:rsidRPr="00E04728">
        <w:rPr>
          <w:color w:val="000000"/>
          <w:shd w:val="clear" w:color="auto" w:fill="FFFFFF"/>
        </w:rPr>
        <w:t>կարգավորումների համաձայն՝ հրապարակային ծանուցումներ իրականացնելու գործիքակազմը բացակայում։</w:t>
      </w:r>
      <w:r w:rsidRPr="00E04728">
        <w:rPr>
          <w:shd w:val="clear" w:color="auto" w:fill="FFFFFF"/>
        </w:rPr>
        <w:t xml:space="preserve"> </w:t>
      </w:r>
      <w:r w:rsidRPr="00E04728">
        <w:t xml:space="preserve">Ուստի, անհրաժեշտ է </w:t>
      </w:r>
      <w:r w:rsidRPr="00E04728">
        <w:rPr>
          <w:color w:val="000000" w:themeColor="text1"/>
        </w:rPr>
        <w:t>Կոռուպցիայի կանխարգելման հանձնաժողովի կողմից իրականացվող վարույթների ընթացակարգերի բարելավում և առանձնահատկությունների սահմանում, իրավական որոշակիության համատեքստում ԿԿՀ գործառույթների և իրավասությունների հստակեցում, միևնույն ժամանակ այնպիսի հստակ կառուցակարգերի սահմանում, որոնք կապահովեն ԿԿՀ-ի՝ որպես վարչական մարմնի անխոչընդոտ գործունեությունը:</w:t>
      </w:r>
    </w:p>
    <w:p w14:paraId="0EFF32CE" w14:textId="350F6DF2" w:rsidR="002F7436" w:rsidRPr="00E04728" w:rsidRDefault="002F7436" w:rsidP="002F7436">
      <w:pPr>
        <w:spacing w:line="276" w:lineRule="auto"/>
      </w:pPr>
      <w:r w:rsidRPr="00E04728">
        <w:t xml:space="preserve">Վկայակոչելով կանխարգելման ինստիտուցիոնալ կառուցակարգերը՝ հարկ է անդրադառնալ էթիկայի հանձնաժողովիներին։ Հանրային ծառայողների բարեվարքության պահանջների պահպանմանը հետևելու լիազորությունը </w:t>
      </w:r>
      <w:r w:rsidRPr="00E04728">
        <w:rPr>
          <w:color w:val="000000"/>
          <w:shd w:val="clear" w:color="auto" w:fill="FFFFFF"/>
        </w:rPr>
        <w:t xml:space="preserve">«Հանրային ծառայության մասին» օրենքով վերապահված է </w:t>
      </w:r>
      <w:r w:rsidRPr="00E04728">
        <w:t xml:space="preserve">պետական ծառայության առանձին տեսակների և համայնքային </w:t>
      </w:r>
      <w:r w:rsidRPr="00E04728">
        <w:lastRenderedPageBreak/>
        <w:t>ծառայության մասին օրենքներով ստեղծված էթիկայի հանձնաժողովներին: Մինչդեռ, հանրային ծառայության ոլորտում էթիկայի հանձնաժողովների ստեղծման օրենսդրական կարգավորումների, գործնականում դրանց ձևավորման իրավիճակի վերլուծությունը</w:t>
      </w:r>
      <w:r w:rsidRPr="00E04728">
        <w:rPr>
          <w:vertAlign w:val="superscript"/>
        </w:rPr>
        <w:footnoteReference w:id="24"/>
      </w:r>
      <w:r w:rsidRPr="00E04728">
        <w:rPr>
          <w:vertAlign w:val="superscript"/>
        </w:rPr>
        <w:t xml:space="preserve"> </w:t>
      </w:r>
      <w:r w:rsidRPr="00E04728">
        <w:t xml:space="preserve">ցույց է տալիս, որ պետական ծառայության առանձին տեսակների </w:t>
      </w:r>
      <w:r w:rsidR="00D45441" w:rsidRPr="00E04728">
        <w:t xml:space="preserve">և համայնքային ծառայության մասին օրենքներով ստեղծված </w:t>
      </w:r>
      <w:r w:rsidRPr="00E04728">
        <w:t>էթիկայի հանձնաժողովների ձևավորումը և գործունեությունը լիարժեք երաշխավորված չէ։</w:t>
      </w:r>
    </w:p>
    <w:p w14:paraId="6F4CC779" w14:textId="77777777" w:rsidR="002F7436" w:rsidRPr="00E04728" w:rsidRDefault="002F7436" w:rsidP="002F7436">
      <w:pPr>
        <w:spacing w:line="276" w:lineRule="auto"/>
      </w:pPr>
      <w:r w:rsidRPr="00E04728">
        <w:t>Միևնույն ժամանակ, կանխարգելման ինստիտուցիոնալ կառուցակարգերի շրջանակում հարկ է անդրադառնալ նաև «Հանրային ծառայության մասին» օրենքը նախատեսում է պետական և տեղական ինքնակառավարման մարմինների անձնակազմի կառավարման ստորաբաժանումներում բարեվարքության հարցերով կազմակերպչի հանրային ծառայության պաշտոնին: Բարեվարքության հարցերով բոլոր կազմակերպիչները զբաղեցնում են ՔԾ օրենքով սահմանված Մ2 ենթախմբի պաշտոններ, որոնց պաշտոնի անձնագրով սահմանվում է, որ մասնագետը անմիջական ենթակա և հաշվետու է ստորաբաժանման ղեկավարին:</w:t>
      </w:r>
    </w:p>
    <w:p w14:paraId="6F8D6776" w14:textId="77777777" w:rsidR="002F7436" w:rsidRPr="00E04728" w:rsidRDefault="002F7436" w:rsidP="002F7436">
      <w:pPr>
        <w:spacing w:line="276" w:lineRule="auto"/>
      </w:pPr>
      <w:r w:rsidRPr="00E04728">
        <w:t xml:space="preserve">Ընդ որում, օրենքով նրան վերապահված են մի շարք կարևոր գործառույթներ, ինչպիսիք են, օրինակ </w:t>
      </w:r>
      <w:r w:rsidRPr="00E04728">
        <w:rPr>
          <w:color w:val="000000"/>
          <w:shd w:val="clear" w:color="auto" w:fill="FFFFFF"/>
        </w:rPr>
        <w:t>հանրային ծառայողներին անհամատեղելիության պահանջների, այլ սահմանափակումների, վարքագծի կանոնների վերաբերյալ մասնագիտական խորհրդատվություն տրամադրելը, շահերի բախման իրավիճակի լուծմանն ուղղված քայլեր ձեռնարկելու վերաբերյալ առաջարկություն ներկայացնելը, բարեվարքության հարցերով վերապատրաստման կարիքների բացահայտում և վերապատրաստման ծրագրերի իրականացումը, բարեվարքության պահանջների պահպանմանն ուղղված այլ ծրագրերի մշակում</w:t>
      </w:r>
      <w:r w:rsidRPr="00E04728">
        <w:t xml:space="preserve">ը, </w:t>
      </w:r>
      <w:r w:rsidRPr="00E04728">
        <w:rPr>
          <w:color w:val="000000"/>
          <w:shd w:val="clear" w:color="auto" w:fill="FFFFFF"/>
        </w:rPr>
        <w:t xml:space="preserve">հանրային ծառայողների կողմից անհամատեղելիության պահանջների, այլ սահմանափակումների, վարքագծի կանոնների խախտումների և շահերի բախման դեպքերի վիճակագրության վարումը, </w:t>
      </w:r>
      <w:r w:rsidRPr="00E04728">
        <w:t>ն</w:t>
      </w:r>
      <w:r w:rsidRPr="00E04728">
        <w:rPr>
          <w:color w:val="000000"/>
          <w:shd w:val="clear" w:color="auto" w:fill="FFFFFF"/>
        </w:rPr>
        <w:t>վերների ընդունման սահմանափակումների խախտման դեպքերի վերաբերյալ սահմանված կարգով Կոռուպցիայի կանխարգելման հանձնաժողովին տեղեկությունների տրամադրումը և այլն:</w:t>
      </w:r>
    </w:p>
    <w:p w14:paraId="1EC71979" w14:textId="77777777" w:rsidR="002F7436" w:rsidRPr="00E04728" w:rsidRDefault="002F7436" w:rsidP="002F7436">
      <w:pPr>
        <w:spacing w:line="276" w:lineRule="auto"/>
      </w:pPr>
      <w:r w:rsidRPr="00E04728">
        <w:t xml:space="preserve">Մինչդեռ, նման կարևոր դերակատարություն վերապահելով հանդերձ, գործնականում որոշ մարմիններում այս ինստիտուտը արդյունավետ չի գործում` կա՛մ նրանց հաստիքները թափուր են, կա՛մ էլ բարեվարքության հարցերով կազմակերպչի գործառույթները ժամանակավորապես վերապահված են այլ ծառայողի կամ պաշտոնատար անձի։ Այսպես, տեղական ինքնակառավարման մարմիներում բարեվարքության հարցերով կազմակերպչի գործառույթները հիմնականում վերապահվել են աշխատակազմի քարտուղարին կամ այլ աշխատակիցների։ Այսպիսով, քննարկվող </w:t>
      </w:r>
      <w:r w:rsidRPr="00E04728">
        <w:rPr>
          <w:color w:val="000000" w:themeColor="text1"/>
        </w:rPr>
        <w:t>ինստիտուտը դեռևս ամբողջությամբ  չի կայացել, առկա են մի շարք խնդիրներ բարեվարքության հարցերով կազմակերպիչների անկախության, երաշխիքների և նրանց իրավասությունների մասով:</w:t>
      </w:r>
    </w:p>
    <w:p w14:paraId="5728F752" w14:textId="77777777" w:rsidR="002F7436" w:rsidRPr="00E04728" w:rsidRDefault="002F7436" w:rsidP="002F7436">
      <w:pPr>
        <w:tabs>
          <w:tab w:val="left" w:pos="567"/>
        </w:tabs>
        <w:spacing w:line="276" w:lineRule="auto"/>
        <w:rPr>
          <w:color w:val="000000" w:themeColor="text1"/>
        </w:rPr>
      </w:pPr>
      <w:r w:rsidRPr="00E04728">
        <w:rPr>
          <w:color w:val="000000" w:themeColor="text1"/>
        </w:rPr>
        <w:lastRenderedPageBreak/>
        <w:t xml:space="preserve">Վերոգրյալից բխում է, որ անհրաժեշտ է օրենսդրական և գործնական քայլեր ձեռնարկել </w:t>
      </w:r>
      <w:r w:rsidRPr="00E04728">
        <w:rPr>
          <w:i/>
          <w:color w:val="000000" w:themeColor="text1"/>
        </w:rPr>
        <w:t>էթիկայի հանձնաժողովների և բարեվարքության հարցերով կազմակերպիչների ինստիտուտի շարունակական կատարելագործումն</w:t>
      </w:r>
      <w:r w:rsidRPr="00E04728">
        <w:rPr>
          <w:color w:val="000000" w:themeColor="text1"/>
        </w:rPr>
        <w:t xml:space="preserve"> ապահովելու համար: </w:t>
      </w:r>
    </w:p>
    <w:p w14:paraId="59A4DFC0" w14:textId="77777777" w:rsidR="002F7436" w:rsidRPr="00E04728" w:rsidRDefault="002F7436" w:rsidP="002F7436">
      <w:pPr>
        <w:tabs>
          <w:tab w:val="left" w:pos="567"/>
        </w:tabs>
        <w:spacing w:line="276" w:lineRule="auto"/>
        <w:rPr>
          <w:color w:val="000000" w:themeColor="text1"/>
        </w:rPr>
      </w:pPr>
      <w:r w:rsidRPr="00182599">
        <w:rPr>
          <w:color w:val="000000" w:themeColor="text1"/>
        </w:rPr>
        <w:t>Ռազմավարության շրջանակներում հարկ է դիտարկել նաև կոռուպցիայի կանխարգելման հաշվետվողականությունը: Այս համատեքստում հարկ է նշել, որ «Կոռուպցիայի կանխարգելման հանձնաժողովի մասին» օրենքի համաձայն՝ ԿԿՀ-ի պետք է ապահովի</w:t>
      </w:r>
      <w:r w:rsidRPr="00182599">
        <w:rPr>
          <w:color w:val="000000"/>
          <w:shd w:val="clear" w:color="auto" w:fill="FFFFFF"/>
        </w:rPr>
        <w:t xml:space="preserve"> անհամատեղելիության պահանջների և այլ սահմանափակումների, վարքագծի կանոնների խախտումների, շահերի բախման դեպքերի վիճակագրության վարումը և հրապարակումը,</w:t>
      </w:r>
      <w:r w:rsidRPr="00182599">
        <w:rPr>
          <w:color w:val="000000" w:themeColor="text1"/>
        </w:rPr>
        <w:t xml:space="preserve"> ինչպես նաև </w:t>
      </w:r>
      <w:r w:rsidRPr="00182599">
        <w:rPr>
          <w:color w:val="000000"/>
          <w:shd w:val="clear" w:color="auto" w:fill="FFFFFF"/>
        </w:rPr>
        <w:t>ազդարարման դեպքում իր իրավասության ոլորտին առնչվող յուրաքանչյուր հաղորդման հաշվառումը, քննարկման ապահովումը, միջոցների ձեռնարկումը, վիճակագրության վարումը։ Միևնույն ժամանակ, հարկ է նշել, որ սահմանված չէ վիճակագրության վարման մեթոդական կառուցակարգեր։ Իրավակիրառ մակարդակում ԿԿՀ-ի կողմից նշյալ թեմաների շուրջ վիճակագրական տվյալները որպես այդպիսին արտացոլվում են բացառապես ԿԿՀ տարեկան հաղորդումներում, որոնք ոչ բոլոր դեպքերում են հնարավորություն տալիս կատարելու համեմատություններ, տեսնելու կոնկերտ ուղղությամբ զարգացումը։ Այս համատեքստում հաճախ խնդրահարույց է նաև հրապարակային փաստաթղթերի՝ մեքենայորեն ընթեռնելի ձևաչափով ներբեռնված չլինելը, ինչը հնարավորություն չի տալիս արդյունավետորեն կիրառել որոնման գործիքները։</w:t>
      </w:r>
    </w:p>
    <w:p w14:paraId="2528B639" w14:textId="77777777" w:rsidR="002F7436" w:rsidRPr="00E04728" w:rsidRDefault="002F7436" w:rsidP="002F7436">
      <w:pPr>
        <w:tabs>
          <w:tab w:val="left" w:pos="567"/>
        </w:tabs>
        <w:spacing w:line="276" w:lineRule="auto"/>
        <w:rPr>
          <w:color w:val="000000"/>
          <w:shd w:val="clear" w:color="auto" w:fill="FFFFFF"/>
        </w:rPr>
      </w:pPr>
      <w:r w:rsidRPr="00E04728">
        <w:rPr>
          <w:color w:val="000000"/>
          <w:shd w:val="clear" w:color="auto" w:fill="FFFFFF"/>
        </w:rPr>
        <w:t>Անդրադառնալով էթիկայի հանձնաժողովների և բարեվարքության կազմակերպիչների գործունեությանը՝ հարկ է նշել, որ դրա առնչությամբ ևս վիճակագրական կառուցակարգեր առկա չեն։</w:t>
      </w:r>
    </w:p>
    <w:p w14:paraId="25E36AA5" w14:textId="77777777" w:rsidR="002F7436" w:rsidRPr="00E04728" w:rsidRDefault="002F7436" w:rsidP="002F7436">
      <w:pPr>
        <w:tabs>
          <w:tab w:val="left" w:pos="567"/>
        </w:tabs>
        <w:spacing w:line="276" w:lineRule="auto"/>
        <w:rPr>
          <w:color w:val="000000" w:themeColor="text1"/>
        </w:rPr>
      </w:pPr>
      <w:r w:rsidRPr="00E04728">
        <w:rPr>
          <w:color w:val="000000"/>
          <w:shd w:val="clear" w:color="auto" w:fill="FFFFFF"/>
        </w:rPr>
        <w:t>Նման պայմաններում հակակոռուպցիոն մոնիթորինգի և գնահատման շրջանակներում էականորեն բարդանում է զարգացումների վերլուծությունը, մոնիթորինգային ցուցիչների համեմատության անցկացման դժվարությունները, այդ համատեքստում առաջընթացի պարզումը և այլն։ Բացի այդ, հակակոռուպցիոն միջազգային պարտավորությունների շրջանակում ևս մշտապես տարեկան կտրվածքով պահանջվում են կոռուպցիայի կանխարգելմանն առնչվող վիճակագրական տվյալներ, որոնց առկայությունն ինքնին շատ հաճախ բավարար է պարտավորությունները կատարված գնահատվելու համար։</w:t>
      </w:r>
    </w:p>
    <w:p w14:paraId="207F0FCA" w14:textId="77777777" w:rsidR="002F7436" w:rsidRPr="00E04728" w:rsidRDefault="002F7436" w:rsidP="002F7436">
      <w:pPr>
        <w:tabs>
          <w:tab w:val="left" w:pos="567"/>
        </w:tabs>
        <w:spacing w:line="276" w:lineRule="auto"/>
        <w:rPr>
          <w:color w:val="000000" w:themeColor="text1"/>
        </w:rPr>
      </w:pPr>
      <w:r w:rsidRPr="00E04728">
        <w:rPr>
          <w:color w:val="000000" w:themeColor="text1"/>
        </w:rPr>
        <w:t>Ուստի, անհրաժեշտ է նաև կոռուպցիայի կանխարգելման հաշվետվողականության համատեքստում սահմանել վիճակագրության վարման և վիճակագրական հստակ և արդյունավետ կառուցակարգերը:</w:t>
      </w:r>
    </w:p>
    <w:p w14:paraId="458D75AD" w14:textId="103199D7" w:rsidR="002F7436" w:rsidRPr="00E04728" w:rsidRDefault="002F7436" w:rsidP="007341F6">
      <w:pPr>
        <w:pStyle w:val="ListParagraph"/>
        <w:tabs>
          <w:tab w:val="left" w:pos="567"/>
        </w:tabs>
        <w:spacing w:line="276" w:lineRule="auto"/>
        <w:ind w:left="0"/>
        <w:rPr>
          <w:color w:val="000000" w:themeColor="text1"/>
        </w:rPr>
      </w:pPr>
      <w:r w:rsidRPr="00E04728">
        <w:rPr>
          <w:color w:val="000000" w:themeColor="text1"/>
        </w:rPr>
        <w:t>Կոռուպցիայի կանխարգելման գործառույթների պատշաճ իրականացման և թափանցիկության ապահովման տեսանկյունից կարևորվում է նաև կանխարգելիչ մեխանիզմների թվայնացումը, ինչև հնարավորություն կտա «թվային խելացի» գործիքների կիրառման, «կարմիր դրոշակների», փոխգործելի հարթակերի ներդրման միջոցով մի կողմից բարձրացնել ԿԿՀ գործառույթների իրականացման` այդ թվում այլ մարինների հետ համագործակցության արդյունավետությունը, մյուս կողմից, օրինակ՝դյուրացնել հայտարարատու և բարեվարքության հարցաթերթիկ լրացնող անձանց կողմից կոռուպցիայի կանխարգելմանն առնչվող իրենց պարտականությունների կատարումը:</w:t>
      </w:r>
    </w:p>
    <w:p w14:paraId="5EE837A7" w14:textId="2800FCD1" w:rsidR="002F7436" w:rsidRDefault="002F7436" w:rsidP="001724FF">
      <w:pPr>
        <w:pStyle w:val="ListParagraph"/>
        <w:tabs>
          <w:tab w:val="left" w:pos="567"/>
        </w:tabs>
        <w:spacing w:line="276" w:lineRule="auto"/>
        <w:ind w:left="0"/>
        <w:rPr>
          <w:color w:val="000000" w:themeColor="text1"/>
        </w:rPr>
      </w:pPr>
      <w:r w:rsidRPr="00E04728">
        <w:rPr>
          <w:color w:val="000000" w:themeColor="text1"/>
        </w:rPr>
        <w:lastRenderedPageBreak/>
        <w:t>Ըստ այդմ, անհրաժեշտ է զարգացնել առկա էլեկտրոնային հարթակները, այդ հարթակներում ինտեգրել կոռուպցիայի կանխարգելման տարբեր գործիքներ, ինչպես նաև իրականացնել ինտեգրացիաների և փոխգործելիության ապահովում ԿԿՀ-ի և այլ պետական մարմինների միջև:</w:t>
      </w:r>
    </w:p>
    <w:p w14:paraId="48EFA3AF" w14:textId="2C674E89" w:rsidR="0053211E" w:rsidRDefault="0053211E" w:rsidP="001724FF">
      <w:pPr>
        <w:pStyle w:val="ListParagraph"/>
        <w:tabs>
          <w:tab w:val="left" w:pos="567"/>
        </w:tabs>
        <w:spacing w:line="276" w:lineRule="auto"/>
        <w:ind w:left="0"/>
        <w:rPr>
          <w:color w:val="000000" w:themeColor="text1"/>
        </w:rPr>
      </w:pPr>
    </w:p>
    <w:p w14:paraId="123CAF12" w14:textId="3D14FC16" w:rsidR="0053211E" w:rsidRDefault="0053211E" w:rsidP="001724FF">
      <w:pPr>
        <w:pStyle w:val="ListParagraph"/>
        <w:tabs>
          <w:tab w:val="left" w:pos="567"/>
        </w:tabs>
        <w:spacing w:line="276" w:lineRule="auto"/>
        <w:ind w:left="0"/>
        <w:rPr>
          <w:color w:val="000000" w:themeColor="text1"/>
        </w:rPr>
      </w:pPr>
    </w:p>
    <w:p w14:paraId="0154C9EA" w14:textId="572F1B59" w:rsidR="0053211E" w:rsidRPr="00CA777E" w:rsidRDefault="0053211E" w:rsidP="00CA777E">
      <w:pPr>
        <w:pStyle w:val="ListParagraph"/>
        <w:tabs>
          <w:tab w:val="left" w:pos="567"/>
        </w:tabs>
        <w:spacing w:line="276" w:lineRule="auto"/>
        <w:jc w:val="center"/>
        <w:rPr>
          <w:color w:val="000000" w:themeColor="text1"/>
        </w:rPr>
      </w:pPr>
      <w:r w:rsidRPr="0053211E">
        <w:rPr>
          <w:b/>
          <w:bCs/>
          <w:color w:val="000000" w:themeColor="text1"/>
        </w:rPr>
        <w:t>ԻՐԱՎԱԿԱՆ</w:t>
      </w:r>
      <w:r w:rsidRPr="00FD15E1">
        <w:rPr>
          <w:b/>
          <w:bCs/>
          <w:color w:val="000000" w:themeColor="text1"/>
        </w:rPr>
        <w:t xml:space="preserve"> </w:t>
      </w:r>
      <w:r w:rsidRPr="0053211E">
        <w:rPr>
          <w:b/>
          <w:bCs/>
          <w:color w:val="000000" w:themeColor="text1"/>
        </w:rPr>
        <w:t xml:space="preserve">ԱԿՏԵՐԻ ՆԱԽԱԳԾԵՐԻ </w:t>
      </w:r>
      <w:r w:rsidRPr="0053211E">
        <w:rPr>
          <w:b/>
          <w:bCs/>
          <w:color w:val="000000" w:themeColor="text1"/>
          <w:lang w:val="x-none"/>
        </w:rPr>
        <w:t>ՀԱԿԱԿՈՌՈՒՊՑԻՈՆ ԱԶԴԵ</w:t>
      </w:r>
      <w:r w:rsidR="00506EA7">
        <w:rPr>
          <w:b/>
          <w:bCs/>
          <w:color w:val="000000" w:themeColor="text1"/>
          <w:lang w:val="x-none"/>
        </w:rPr>
        <w:t>Ց</w:t>
      </w:r>
      <w:r w:rsidRPr="0053211E">
        <w:rPr>
          <w:b/>
          <w:bCs/>
          <w:color w:val="000000" w:themeColor="text1"/>
          <w:lang w:val="x-none"/>
        </w:rPr>
        <w:t>ՈՒԹՅԱՆ ԳՆԱՀԱՏՈՒՄ</w:t>
      </w:r>
    </w:p>
    <w:p w14:paraId="6917BAD2" w14:textId="77777777" w:rsidR="0053211E" w:rsidRDefault="0053211E" w:rsidP="001724FF">
      <w:pPr>
        <w:pStyle w:val="ListParagraph"/>
        <w:tabs>
          <w:tab w:val="left" w:pos="567"/>
        </w:tabs>
        <w:spacing w:line="276" w:lineRule="auto"/>
        <w:ind w:left="0"/>
        <w:rPr>
          <w:color w:val="000000" w:themeColor="text1"/>
        </w:rPr>
      </w:pPr>
    </w:p>
    <w:p w14:paraId="3799CE12" w14:textId="5F2D7399" w:rsidR="002B5328" w:rsidRPr="00CA777E" w:rsidRDefault="001724FF" w:rsidP="00CA777E">
      <w:pPr>
        <w:spacing w:line="276" w:lineRule="auto"/>
      </w:pPr>
      <w:r w:rsidRPr="00CA777E">
        <w:rPr>
          <w:color w:val="000000" w:themeColor="text1"/>
        </w:rPr>
        <w:t xml:space="preserve">Ռազմավարությամբ </w:t>
      </w:r>
      <w:r>
        <w:rPr>
          <w:color w:val="0D0D0D" w:themeColor="text1" w:themeTint="F2"/>
        </w:rPr>
        <w:t xml:space="preserve">կարևորվում է </w:t>
      </w:r>
      <w:r w:rsidRPr="00357EA1">
        <w:t>իրավական ակտերի հակակոռուպցիոն փորձաքննությ</w:t>
      </w:r>
      <w:r>
        <w:t xml:space="preserve">ան` </w:t>
      </w:r>
      <w:r w:rsidRPr="006E5177">
        <w:rPr>
          <w:color w:val="000000" w:themeColor="text1"/>
        </w:rPr>
        <w:t xml:space="preserve">որպես </w:t>
      </w:r>
      <w:r w:rsidRPr="00357EA1">
        <w:rPr>
          <w:color w:val="0D0D0D" w:themeColor="text1" w:themeTint="F2"/>
        </w:rPr>
        <w:t>կանխարգելիչ հակակոռուպցիոն գործիք</w:t>
      </w:r>
      <w:r>
        <w:rPr>
          <w:color w:val="0D0D0D" w:themeColor="text1" w:themeTint="F2"/>
        </w:rPr>
        <w:t>ի</w:t>
      </w:r>
      <w:r>
        <w:t xml:space="preserve"> զարգացումը: Վերջինիս կիրառմամբ</w:t>
      </w:r>
      <w:r w:rsidRPr="00357EA1">
        <w:rPr>
          <w:color w:val="0D0D0D" w:themeColor="text1" w:themeTint="F2"/>
        </w:rPr>
        <w:t xml:space="preserve"> բացահայտ</w:t>
      </w:r>
      <w:r>
        <w:rPr>
          <w:color w:val="0D0D0D" w:themeColor="text1" w:themeTint="F2"/>
        </w:rPr>
        <w:t>վ</w:t>
      </w:r>
      <w:r w:rsidRPr="00357EA1">
        <w:rPr>
          <w:color w:val="0D0D0D" w:themeColor="text1" w:themeTint="F2"/>
        </w:rPr>
        <w:t>ում և նվազեց</w:t>
      </w:r>
      <w:r>
        <w:rPr>
          <w:color w:val="0D0D0D" w:themeColor="text1" w:themeTint="F2"/>
        </w:rPr>
        <w:t>վ</w:t>
      </w:r>
      <w:r w:rsidRPr="00357EA1">
        <w:rPr>
          <w:color w:val="0D0D0D" w:themeColor="text1" w:themeTint="F2"/>
        </w:rPr>
        <w:t xml:space="preserve">ում </w:t>
      </w:r>
      <w:r>
        <w:rPr>
          <w:color w:val="0D0D0D" w:themeColor="text1" w:themeTint="F2"/>
        </w:rPr>
        <w:t>են</w:t>
      </w:r>
      <w:r w:rsidRPr="00357EA1">
        <w:rPr>
          <w:color w:val="0D0D0D" w:themeColor="text1" w:themeTint="F2"/>
        </w:rPr>
        <w:t xml:space="preserve"> կոռուպցիոն ռիսկերը </w:t>
      </w:r>
      <w:r>
        <w:rPr>
          <w:color w:val="0D0D0D" w:themeColor="text1" w:themeTint="F2"/>
        </w:rPr>
        <w:t>իրավական ակտերի նախագծերում</w:t>
      </w:r>
      <w:r w:rsidRPr="00357EA1">
        <w:rPr>
          <w:color w:val="0D0D0D" w:themeColor="text1" w:themeTint="F2"/>
        </w:rPr>
        <w:t>,</w:t>
      </w:r>
      <w:r w:rsidR="002B5328">
        <w:rPr>
          <w:color w:val="0D0D0D" w:themeColor="text1" w:themeTint="F2"/>
        </w:rPr>
        <w:t xml:space="preserve"> կիրառվող իրավական ակտերում</w:t>
      </w:r>
      <w:r w:rsidRPr="00357EA1">
        <w:rPr>
          <w:color w:val="0D0D0D" w:themeColor="text1" w:themeTint="F2"/>
        </w:rPr>
        <w:t xml:space="preserve"> և կանոնակարգերում: Այն, որպես կանոն, օգտագործում է գնահատման արդյունքները պետական մարմիններին համապատասխան առաջարկություններ ներկայացնելու համար: Այդ առաջարկությունները վերաբերում են այն դրույթներին, որոնք պարունակում են կոռուպցիոն ռիսկեր: Որպես այդպիսին՝ գործիքն օգնում է բարձրացնել համապատասխան գործընթացների թափանցիկությունը պետական կառավարման մարմիններում և հանրային ծառայություններ մատուցող պետական կազմակերպություններում:</w:t>
      </w:r>
      <w:r w:rsidR="002B5328">
        <w:rPr>
          <w:rFonts w:cs="Sylfaen"/>
        </w:rPr>
        <w:t xml:space="preserve"> Ըստ այդմ, անհրաժեշտ է երաշխավորել </w:t>
      </w:r>
      <w:r w:rsidR="002B5328" w:rsidRPr="00357EA1">
        <w:rPr>
          <w:rFonts w:cs="Sylfaen"/>
        </w:rPr>
        <w:t>իրավական</w:t>
      </w:r>
      <w:r w:rsidR="002B5328" w:rsidRPr="00357EA1">
        <w:t xml:space="preserve"> </w:t>
      </w:r>
      <w:r w:rsidR="002B5328" w:rsidRPr="00357EA1">
        <w:rPr>
          <w:rFonts w:cs="Sylfaen"/>
        </w:rPr>
        <w:t>ակտերի</w:t>
      </w:r>
      <w:r w:rsidR="002B5328" w:rsidRPr="00357EA1">
        <w:t xml:space="preserve"> </w:t>
      </w:r>
      <w:r w:rsidR="002B5328" w:rsidRPr="00357EA1">
        <w:rPr>
          <w:rFonts w:cs="Sylfaen"/>
        </w:rPr>
        <w:t>նախագծերի</w:t>
      </w:r>
      <w:r w:rsidR="002B5328" w:rsidRPr="00357EA1">
        <w:t xml:space="preserve"> </w:t>
      </w:r>
      <w:r w:rsidR="002B5328" w:rsidRPr="00357EA1">
        <w:rPr>
          <w:rFonts w:cs="Sylfaen"/>
        </w:rPr>
        <w:t>հակակոռուպցիոն</w:t>
      </w:r>
      <w:r w:rsidR="002B5328" w:rsidRPr="00357EA1">
        <w:t xml:space="preserve"> </w:t>
      </w:r>
      <w:r w:rsidR="002B5328" w:rsidRPr="00357EA1">
        <w:rPr>
          <w:rFonts w:cs="Sylfaen"/>
        </w:rPr>
        <w:t>փորձաքննություն</w:t>
      </w:r>
      <w:r w:rsidR="002B5328">
        <w:rPr>
          <w:rFonts w:cs="Sylfaen"/>
        </w:rPr>
        <w:t>ը</w:t>
      </w:r>
      <w:r w:rsidR="002B5328" w:rsidRPr="00357EA1">
        <w:rPr>
          <w:rFonts w:cs="Sylfaen"/>
        </w:rPr>
        <w:t>՝</w:t>
      </w:r>
      <w:r w:rsidR="002B5328" w:rsidRPr="00357EA1">
        <w:t xml:space="preserve"> </w:t>
      </w:r>
      <w:r w:rsidR="002B5328" w:rsidRPr="00357EA1">
        <w:rPr>
          <w:rFonts w:cs="Sylfaen"/>
        </w:rPr>
        <w:t>մշակվող</w:t>
      </w:r>
      <w:r w:rsidR="002B5328" w:rsidRPr="00357EA1">
        <w:t xml:space="preserve"> </w:t>
      </w:r>
      <w:r w:rsidR="002B5328" w:rsidRPr="00357EA1">
        <w:rPr>
          <w:rFonts w:cs="Sylfaen"/>
        </w:rPr>
        <w:t>ակտերի</w:t>
      </w:r>
      <w:r w:rsidR="002B5328" w:rsidRPr="00357EA1">
        <w:t xml:space="preserve"> </w:t>
      </w:r>
      <w:r w:rsidR="002B5328" w:rsidRPr="00CA777E">
        <w:t xml:space="preserve">(ex ante) </w:t>
      </w:r>
      <w:r w:rsidR="002B5328" w:rsidRPr="00357EA1">
        <w:rPr>
          <w:rFonts w:cs="Sylfaen"/>
        </w:rPr>
        <w:t>և</w:t>
      </w:r>
      <w:r w:rsidR="002B5328" w:rsidRPr="00357EA1">
        <w:t xml:space="preserve"> </w:t>
      </w:r>
      <w:r w:rsidR="002B5328" w:rsidRPr="00357EA1">
        <w:rPr>
          <w:rFonts w:cs="Sylfaen"/>
        </w:rPr>
        <w:t>անհրաժեշտության</w:t>
      </w:r>
      <w:r w:rsidR="002B5328" w:rsidRPr="00357EA1">
        <w:t xml:space="preserve"> </w:t>
      </w:r>
      <w:r w:rsidR="002B5328" w:rsidRPr="00357EA1">
        <w:rPr>
          <w:rFonts w:cs="Sylfaen"/>
        </w:rPr>
        <w:t>դեպքում</w:t>
      </w:r>
      <w:r w:rsidR="001C5E1D">
        <w:rPr>
          <w:rFonts w:cs="Sylfaen"/>
        </w:rPr>
        <w:t>`</w:t>
      </w:r>
      <w:r w:rsidR="002B5328" w:rsidRPr="00357EA1">
        <w:t xml:space="preserve"> </w:t>
      </w:r>
      <w:r w:rsidR="002B5328" w:rsidRPr="00357EA1">
        <w:rPr>
          <w:rFonts w:cs="Sylfaen"/>
        </w:rPr>
        <w:t>դրանց</w:t>
      </w:r>
      <w:r w:rsidR="002B5328" w:rsidRPr="00357EA1">
        <w:t xml:space="preserve"> </w:t>
      </w:r>
      <w:r w:rsidR="001B2AAE">
        <w:rPr>
          <w:rFonts w:cs="Sylfaen"/>
        </w:rPr>
        <w:t>հիմքում ընկած կամ դրանց հետ փոխկապակցված իրավակ</w:t>
      </w:r>
      <w:r w:rsidR="001C5E1D">
        <w:rPr>
          <w:rFonts w:cs="Sylfaen"/>
        </w:rPr>
        <w:t>ա</w:t>
      </w:r>
      <w:r w:rsidR="001B2AAE">
        <w:rPr>
          <w:rFonts w:cs="Sylfaen"/>
        </w:rPr>
        <w:t>ն ակտերի</w:t>
      </w:r>
      <w:r w:rsidR="002B5328" w:rsidRPr="00357EA1">
        <w:t xml:space="preserve"> </w:t>
      </w:r>
      <w:r w:rsidR="002B5328" w:rsidRPr="00CA777E">
        <w:t xml:space="preserve">(ex </w:t>
      </w:r>
      <w:r w:rsidR="001B2AAE">
        <w:t>p</w:t>
      </w:r>
      <w:r w:rsidR="001B2AAE" w:rsidRPr="00CA777E">
        <w:t>ost</w:t>
      </w:r>
      <w:r w:rsidR="002B5328" w:rsidRPr="00CA777E">
        <w:t>)</w:t>
      </w:r>
      <w:r w:rsidR="002B5328">
        <w:t xml:space="preserve"> փորձաքննությունը:</w:t>
      </w:r>
    </w:p>
    <w:p w14:paraId="14954176" w14:textId="77777777" w:rsidR="002F7436" w:rsidRPr="00E04728" w:rsidRDefault="002F7436" w:rsidP="002F7436">
      <w:pPr>
        <w:spacing w:line="276" w:lineRule="auto"/>
        <w:rPr>
          <w:b/>
          <w:color w:val="000000" w:themeColor="text1"/>
        </w:rPr>
      </w:pPr>
    </w:p>
    <w:p w14:paraId="61885AB5" w14:textId="77777777" w:rsidR="002F7436" w:rsidRPr="00E04728" w:rsidRDefault="002F7436" w:rsidP="002F7436">
      <w:pPr>
        <w:spacing w:line="276" w:lineRule="auto"/>
        <w:jc w:val="center"/>
        <w:rPr>
          <w:b/>
          <w:color w:val="000000" w:themeColor="text1"/>
        </w:rPr>
      </w:pPr>
      <w:r w:rsidRPr="00E04728">
        <w:rPr>
          <w:b/>
          <w:color w:val="000000" w:themeColor="text1"/>
        </w:rPr>
        <w:t>ՀԱՆՐԱՅԻՆ ՈԼՈՐՏՈՒՄ ԿՈՌՈՒՊՑԻԱՅԻ ԿԱՆԽԱՐԳԵԼՄԱՆ ԵՎ ԲԱՐԵՎԱՐՔՈՒԹՅԱՆ ԱՄՐԱՊՆԴՄԱՆ ՄԵԽԱՆԻԶՄՆԵՐԻ ԿԱՏԱՐԵԼԱԳՈՐԾՈՒՄ</w:t>
      </w:r>
    </w:p>
    <w:p w14:paraId="470CC5F8" w14:textId="77777777" w:rsidR="002F7436" w:rsidRPr="00E04728" w:rsidRDefault="002F7436" w:rsidP="002F7436">
      <w:pPr>
        <w:tabs>
          <w:tab w:val="left" w:pos="284"/>
          <w:tab w:val="left" w:pos="426"/>
          <w:tab w:val="left" w:pos="630"/>
          <w:tab w:val="left" w:pos="851"/>
          <w:tab w:val="left" w:pos="1134"/>
        </w:tabs>
        <w:spacing w:line="276" w:lineRule="auto"/>
        <w:rPr>
          <w:color w:val="000000" w:themeColor="text1"/>
        </w:rPr>
      </w:pPr>
      <w:r w:rsidRPr="00E04728">
        <w:rPr>
          <w:color w:val="000000" w:themeColor="text1"/>
        </w:rPr>
        <w:t xml:space="preserve"> </w:t>
      </w:r>
    </w:p>
    <w:p w14:paraId="50138A5E" w14:textId="59E78214" w:rsidR="002F7436" w:rsidRPr="00E04728" w:rsidRDefault="002F7436" w:rsidP="007341F6">
      <w:pPr>
        <w:tabs>
          <w:tab w:val="left" w:pos="284"/>
          <w:tab w:val="left" w:pos="426"/>
          <w:tab w:val="left" w:pos="630"/>
          <w:tab w:val="left" w:pos="851"/>
          <w:tab w:val="left" w:pos="1134"/>
        </w:tabs>
        <w:spacing w:line="276" w:lineRule="auto"/>
        <w:rPr>
          <w:color w:val="000000" w:themeColor="text1"/>
        </w:rPr>
      </w:pPr>
      <w:r w:rsidRPr="00E04728">
        <w:t xml:space="preserve">Հանրային ծառայության և հանրային պաշտոնների առնչությամբ օրենսդրական ակտերի վերլուծությունը ցույց է տալիս, որ բացակայում է հանրային պաշտոն զբաղեցնող անձանց և հանրային ծառայողների բարեվարքության համակարգի տարրերը համընդհանուր ձևով կարգավորող միասնական օրենսդրական ակտ։ Դրա փոխարեն, այս հարցերի լուծումները տրված են </w:t>
      </w:r>
      <w:r w:rsidRPr="00E04728">
        <w:rPr>
          <w:color w:val="000000" w:themeColor="text1"/>
        </w:rPr>
        <w:t xml:space="preserve">«Հանրային ծառայության մասին» օրենքում և </w:t>
      </w:r>
      <w:r w:rsidRPr="00E04728">
        <w:t xml:space="preserve">հանրային ծառայության ոլորտային առանձին օրենքներում, ընդ որում նշյալ իրավանորմերի մեկնաբանող և կիրարկող իրավասու մարմինները ևս տարբեր են։ Նման պայմաններում, շատ հաճախ ապահովված չէ կարգավորումների միասնական մոտեցումը, բացի այդ,իրավանորմերի մեկնաբանման և կիրարկման մակարդակում հաճախ միմյանից տարբերվող մոտեցումներ են կիրառվում։ </w:t>
      </w:r>
      <w:r w:rsidRPr="00E04728">
        <w:rPr>
          <w:i/>
          <w:color w:val="000000" w:themeColor="text1"/>
        </w:rPr>
        <w:t xml:space="preserve">Ըստ այդմ, անհրաժեշտ է ապահովել կոռուպցիայի կանխարգելմանն առնչվող օրենսդրության միասնականացում` </w:t>
      </w:r>
      <w:r w:rsidRPr="00E04728">
        <w:rPr>
          <w:color w:val="000000" w:themeColor="text1"/>
        </w:rPr>
        <w:t xml:space="preserve">«Կոռուպցիայի կանխարգելման մասին» վերտառությամբ օրենսդրական առանձին ակտով ամբողջականացնելով բարեվարքության համակարգի տարրերի՝ շահերի բախման, նվերների ընդունման սահմանափակումների, վարքագծի </w:t>
      </w:r>
      <w:r w:rsidRPr="00E04728">
        <w:rPr>
          <w:color w:val="000000" w:themeColor="text1"/>
        </w:rPr>
        <w:lastRenderedPageBreak/>
        <w:t>կանոնների, անհամատեղելիության պահանջների, այլ սահմանափակումներիմիասնական կիրառման և կառավարման, կոռուպցիայի կանխարգելմանն առնչվող այլ կառուցակարգերի օրենսդրական կարգավորումները:</w:t>
      </w:r>
    </w:p>
    <w:p w14:paraId="49CAD9C8" w14:textId="77777777" w:rsidR="00CB4125" w:rsidRDefault="002F7436" w:rsidP="002F7436">
      <w:pPr>
        <w:tabs>
          <w:tab w:val="left" w:pos="284"/>
          <w:tab w:val="left" w:pos="426"/>
          <w:tab w:val="left" w:pos="630"/>
          <w:tab w:val="left" w:pos="851"/>
          <w:tab w:val="left" w:pos="1134"/>
        </w:tabs>
        <w:spacing w:line="276" w:lineRule="auto"/>
        <w:ind w:firstLine="0"/>
        <w:rPr>
          <w:color w:val="000000" w:themeColor="text1"/>
        </w:rPr>
      </w:pPr>
      <w:r w:rsidRPr="00E04728">
        <w:tab/>
      </w:r>
      <w:r w:rsidRPr="00E04728">
        <w:rPr>
          <w:color w:val="000000"/>
        </w:rPr>
        <w:t xml:space="preserve">Կոռուպցիան անկախ երևույթ չէ, այլ պետական քաղաքականության և վարչարարության, հանրային ծառայության, քաղաքացիական գիտակցության և վարքագծի համակարգային խնդիրների ախտանիշ: Այն պետք է դիտարկվի պետական կառավարման համակարգի որակի և արդյունավետության ավելի լայն համատեքստում, և դրան անհրաժեշտ է տալ խորը վերլուծության արդյունքում ստացված համապատասխան գնահատական: Հնարավոր չէ հակազդել կոռուպցիային բացառապես հակակոռուպցիոն լծակների կիրառմամբ, այն կառավարման մասնակից գործընթաց է, հետևաբար այն լուծելու համար անհրաժեշտ են կառավարչական փոփոխություններ հանրային կառավարման ոլորտում: Այս համատեքստում </w:t>
      </w:r>
      <w:r w:rsidRPr="00E04728">
        <w:t xml:space="preserve">վարչական կոռուպցիայի հաղթահարման, հանրային կառավարման մարմիններում և ոլորտներում </w:t>
      </w:r>
      <w:r w:rsidRPr="00E04728">
        <w:rPr>
          <w:color w:val="000000" w:themeColor="text1"/>
        </w:rPr>
        <w:t xml:space="preserve">թափանցիկության, հրապարակայնության, հաշվետվողականության բարձրացման, օրինականության ապահովման </w:t>
      </w:r>
      <w:r w:rsidRPr="00E04728">
        <w:t xml:space="preserve">կոռուպցիոն ռիսկերի ու ռիսկեր ծնող գործոնների չեզոքացման համար առանցքային նշանակություն ունի </w:t>
      </w:r>
      <w:r w:rsidRPr="00E04728">
        <w:rPr>
          <w:i/>
          <w:color w:val="000000" w:themeColor="text1"/>
        </w:rPr>
        <w:t xml:space="preserve">պետական և տեղական ինքնակառավարման մարմիններում կոռուպցիոն ռիսկերի գնահատման և կառավարման համակարգի ներդրումը, </w:t>
      </w:r>
      <w:r w:rsidRPr="00E04728">
        <w:rPr>
          <w:color w:val="000000" w:themeColor="text1"/>
        </w:rPr>
        <w:t>որը պետք է հիմնված լինի միջազգայնորեն ընդունելի չափանիշների և կառուցակարգերի, միջազգային հակակոռուպցիոն կազմակերպությունների կողմից տրված առաջարկությունների վրա:</w:t>
      </w:r>
      <w:r w:rsidRPr="00E04728">
        <w:rPr>
          <w:i/>
          <w:color w:val="000000" w:themeColor="text1"/>
        </w:rPr>
        <w:t xml:space="preserve"> </w:t>
      </w:r>
      <w:r w:rsidRPr="00E04728">
        <w:rPr>
          <w:color w:val="000000" w:themeColor="text1"/>
        </w:rPr>
        <w:t xml:space="preserve">Կոռուպցիոն ռիսկերի կառավարման համակարգի ներդնումն ուղղված է հակակոռուպցիոն ոլորտի զարգացման, կոռուպցիոն ռիսկերի բացահայտման, վերլուծության և կառավարման միասնական քաղաքականության մշակմանը, այնպիսի կառուցակարգերի կիրառմանը, որոնք կառավարելի կդարձնեն կոռուպցիոն ռիսկերի առաջացումը, բարեվարք միջավայր կստեղծեն ողջ հանրային կառավարման համակարգում։ </w:t>
      </w:r>
      <w:r w:rsidRPr="00E04728">
        <w:t>Հետևաբար, ռազմավարությամբ կարևորվում է քննարկվող համակարգի ներդրումը</w:t>
      </w:r>
      <w:r w:rsidRPr="00E04728">
        <w:rPr>
          <w:color w:val="000000" w:themeColor="text1"/>
        </w:rPr>
        <w:t>՝ նշված գործընթացների շարունակական իրականացումն ու ներդրված համակարգի շարունակական բարելավումը կանխարգելիչ բնույթի աշխատանքներ են, որոնք թույլ կտան կոռուպցիոն սխեմաների արդյունավետությունը նվազեցնել կամ մոտեցնել նվազագույնի: Որպես առաջնահերթ թիրախ՝ կոռուպցիոն ռիսկերի կառավարման համակարգի ներդնումը խնդիր ունի ազդելու համակարգային կոռուպցիայի դրսևորումների վրա:</w:t>
      </w:r>
    </w:p>
    <w:p w14:paraId="18B018BC" w14:textId="3B7F1F0D" w:rsidR="002F7436" w:rsidRPr="00E04728" w:rsidRDefault="002F7436" w:rsidP="00CB4125">
      <w:pPr>
        <w:tabs>
          <w:tab w:val="left" w:pos="284"/>
          <w:tab w:val="left" w:pos="426"/>
          <w:tab w:val="left" w:pos="630"/>
          <w:tab w:val="left" w:pos="851"/>
          <w:tab w:val="left" w:pos="1134"/>
        </w:tabs>
        <w:spacing w:line="276" w:lineRule="auto"/>
        <w:ind w:firstLine="284"/>
        <w:rPr>
          <w:color w:val="FF0000"/>
        </w:rPr>
      </w:pPr>
      <w:r w:rsidRPr="00E04728">
        <w:t>Կոռուպցիայի կանխարգելման ամենատարածված և ունիվերսալ գործիքը գույքի, եկամուտների, շահերի և ծախսերի հայտարարագրումն է։ Վերջին տարիներին հայտարարագրման համակարգի օրենսդրական փոփոխությունների արդյունքում էապես բարելավվել է պաշտոնատար անձանց հայտարարագրման համակարգը։ Ներդրվել է նոր՝ ծախսերի հայտարարագրման ինստիտուտը, նվազեցվել է օրենքով սահմանված հայտարարագրման ենթակա թանկարժեք գույքի դրամական շեմը՝ սահմանելով 4 միլիոն ՀՀ դրամ, նվազեցվել է նաև օրինական համարվող հայտարարատուի կողմից միանվագ ստացվող և տրվող կանխիկ գումարի շեմը՝ 2 մլնդրամից 1 մլն</w:t>
      </w:r>
      <w:r w:rsidRPr="00E04728">
        <w:rPr>
          <w:rFonts w:ascii="MS Mincho" w:eastAsia="MS Mincho" w:hAnsi="MS Mincho" w:cs="MS Mincho" w:hint="eastAsia"/>
        </w:rPr>
        <w:t>․</w:t>
      </w:r>
      <w:r w:rsidRPr="00E04728">
        <w:t xml:space="preserve"> դրամի, ընդլայնվել է </w:t>
      </w:r>
      <w:r w:rsidRPr="00E04728">
        <w:lastRenderedPageBreak/>
        <w:t>հայտարարատու պաշտոնատար անձանց շրջանակը և կատարվել են այս համակարգը բարելավող այլ փոփոխություններ: Այդուհանդերձ, ներկայումս հայտարարատու պաշտոնատար անձանց շրջանակը ներառում է բացառապես պետական և տեղական ինքնակառավարման մարմիններում պաշտոն զբաղեցնող անձանց, ինչի արդյունքում չի ապահովվում պետական և համայնքների մասնակցությամբ կազմակերպությունների՝ ղեկավար պաշտոն զբաղեցնող անձանց հաշվետվողականությունն ու թափանցիկությունը: Այս համատեքստում</w:t>
      </w:r>
      <w:r w:rsidR="005D0EC5">
        <w:t xml:space="preserve">, </w:t>
      </w:r>
      <w:r w:rsidRPr="00E04728">
        <w:t xml:space="preserve">թեև 2024 թվականից ուժի մեջ են մտնելու այն կարգավորումները, համաձայն որոնց՝ </w:t>
      </w:r>
      <w:r w:rsidRPr="00E04728">
        <w:rPr>
          <w:color w:val="000000"/>
          <w:shd w:val="clear" w:color="auto" w:fill="FFFFFF"/>
        </w:rPr>
        <w:t>պետական և համայնքային ոչ առևտրային կազմակերպությունների, պետության կողմից հիմնադրված հիմնադրամների, 50 և ավելի տոկոս Հայաստանի Հանրապետության և համայնքի մասնակցությամբ առևտրային կազմակերպության գործադիր մարմնի ղեկավարները (կոլեգիալ գործադիր մարմնի անդամները), որոնք օրենսդրությամբ սահմանված հիմքերի առկայության դեպքում Կոռուպցիայի կանխարգելման հանձնաժողովի պահանջով ներկայացնելու են գույքի, եկամուտների, շահերի և ծախսերի իրավիճակային հայտարարագիր, սակայն անհրաժեշտ է դիտարկել նշյալ անձանց տարեկան, ինչպես նաև պաշտոնի ստանձնելու և դադարեցնելու հայտարարագիր ներկայացնելու պարտականության սահմանման հնարավորությունը։</w:t>
      </w:r>
      <w:r w:rsidRPr="00E04728">
        <w:t xml:space="preserve"> Միևնույն ժամանակ, հարկ է նկատել, որ «Հանրային ծառայության մասին» օրենքով հայտարարատու որոշ պաշտոնների համար սահմանված չէ շահերի հայտարարագիր ներկայացնելու պարտականություն, որպիսի պարտականության սահմանումը բոլոր հայտարարատու պաշտոնատար անձանց համար ևս կարևոր է հայտարարատու անձանց և վերջիններիս փոխկապակցված անձանց իրական շահառու հանդիսանալու, շահերի բախման հնարավոր իրավիճակները բացահայտելու տեսանկյունից:</w:t>
      </w:r>
    </w:p>
    <w:p w14:paraId="36B19CF2" w14:textId="77777777" w:rsidR="002F7436" w:rsidRPr="00E04728" w:rsidRDefault="002F7436" w:rsidP="002F7436">
      <w:pPr>
        <w:spacing w:line="276" w:lineRule="auto"/>
      </w:pPr>
      <w:r w:rsidRPr="00E04728">
        <w:t>Հատկանշական է նաև, որ 2023 թվականից ներդրվել է հայտարարագրերի լրացման նոր էլեկտրոնային համակարգ, որը ինքնաշխատ կերպով տվյալները բեռնում է նախորդ տարվա հայտարարագրից, այլ պետական շտեմարաններից, ապահովում է տվյալների ավտոմատացված համադրում: Այդուհանդերձ, ստեղծված և գործարկված համակարգն իր ֆունկցիոնալությամբ դեռևս չի ապահովում պետական բոլոր շտեմարանների հետ փոխգործելիությունը (շտեմարաններում առկա որոշ տվյալներ չեն համապատասխանում համակարգի որակական պահանջներին), ներքին և արտաքին հաշվետվողականությունը, հրապարակային տվյալների ընտրանքային որոնումը, մեքենայական ընթեռնելի տվյալների արտահանումը ինքնաշխատ եղանակով: Բացի այդ, հայտարարագրերի ստուգման գործընթացի առավել դյուրացման նպատակով անհրաժեշտ է զարգացնել էլեկտրոնային համակարգի վերլուծական հատվածը։ Ըստ այդմ, անհրաժեշտ է զարգացնել հայտարարագրման էլեկտրոնային համակարգը՝ առկա խնդիրները լուծման համար։</w:t>
      </w:r>
    </w:p>
    <w:p w14:paraId="56DEAFAD" w14:textId="77777777" w:rsidR="002F7436" w:rsidRPr="00E04728" w:rsidRDefault="002F7436" w:rsidP="002F7436">
      <w:pPr>
        <w:spacing w:line="276" w:lineRule="auto"/>
      </w:pPr>
      <w:r w:rsidRPr="00E04728">
        <w:t xml:space="preserve">Վերոգրյալի հաշվառմամբ ռազմավարության խնդիրներից է նաև </w:t>
      </w:r>
      <w:r w:rsidRPr="00E04728">
        <w:rPr>
          <w:i/>
          <w:color w:val="000000" w:themeColor="text1"/>
        </w:rPr>
        <w:t>հայտարարագրման համակարգի կատարելագործումը:</w:t>
      </w:r>
      <w:r w:rsidRPr="00E04728">
        <w:rPr>
          <w:color w:val="000000" w:themeColor="text1"/>
        </w:rPr>
        <w:t xml:space="preserve"> </w:t>
      </w:r>
    </w:p>
    <w:p w14:paraId="38066FCB" w14:textId="77777777" w:rsidR="002F7436" w:rsidRPr="00E04728" w:rsidRDefault="002F7436" w:rsidP="002F7436">
      <w:pPr>
        <w:spacing w:line="276" w:lineRule="auto"/>
      </w:pPr>
      <w:r w:rsidRPr="00E04728">
        <w:t xml:space="preserve">Կոռուպցիայի կանխարգելման կարևորագույն նպատակներից է ազնիվ, բարեխիղճ և գործունյա հանրային պաշտոն զբաղեցնող անձի և ծառայողի կերպարի ստեղծումը, հանրային ծառայության համակարգի նկատմամբ հասարակության վստահության </w:t>
      </w:r>
      <w:r w:rsidRPr="00E04728">
        <w:lastRenderedPageBreak/>
        <w:t>բարձրացումը: Այս տեսանկյունից 2019-2022թթ</w:t>
      </w:r>
      <w:r w:rsidRPr="00E04728">
        <w:rPr>
          <w:rFonts w:ascii="MS Mincho" w:eastAsia="MS Mincho" w:hAnsi="MS Mincho" w:cs="MS Mincho" w:hint="eastAsia"/>
        </w:rPr>
        <w:t>․</w:t>
      </w:r>
      <w:r w:rsidRPr="00E04728">
        <w:t xml:space="preserve"> հակակոռուպցիոն քաղաքականությունը ուղղված էր բարեվարքության ստուգման այնպիսի նոր գործիքակազմի ներդրմանը, որը հնարավորություն կտար ուսումնասիրելու Հայաստանի Հանրապետության պետական պաշտոնի հավակնող անձանց բարեվարքությունը: Ըստ այդմ, 2020 թվականին «Կոռուպցիայի կանխարգելման հանձնաժողովի մասին» օրենքով ԿԿՀ-ին է վերապահվել պետական պաշտոնի հավակնող անձանց բարեվարքության ուսումնասիրության իրականացումը՝ այն սահմանափակելով </w:t>
      </w:r>
      <w:r w:rsidRPr="00E04728">
        <w:rPr>
          <w:color w:val="000000" w:themeColor="text1"/>
        </w:rPr>
        <w:t>որոշակի հանրային պաշտոններ զբաղեցնելու համար բարեվարքության ուսումնասիրությամբ</w:t>
      </w:r>
      <w:r w:rsidRPr="00E04728">
        <w:t>:</w:t>
      </w:r>
    </w:p>
    <w:p w14:paraId="69FB8075" w14:textId="16D71449" w:rsidR="002F7436" w:rsidRPr="00E04728" w:rsidRDefault="002F7436" w:rsidP="002F7436">
      <w:pPr>
        <w:spacing w:line="276" w:lineRule="auto"/>
      </w:pPr>
      <w:r w:rsidRPr="00E04728">
        <w:t>Այս առումով օրենսդրորեն ամրագրված չէ լիազորությունների լայն շրջանակ ունեցող և ինքնուրույն որոշումների կայացման իրավասություն ունեցող հանրային պաշտոն զբաղեցնող անձանց (օրինակ, քաղաքական պաշտոններ զբաղեցնոր անձանց) համար բարեվարքության ուսումնասիրության պարտադիր պահանջ: Նշվածը նաև կարևորվում է ինչպես միջազգային կազմակերպությունների, օրինակ՝ ԳՐԵԿՈ-ի 5-րդ փուլի գնահատման շրջանակներում, այնպես էլ ներպետական սոցիալական հարցումների արդյունքներով վերհանված ռիսկային պաշտոնների և գործընթացների համատեքստում:</w:t>
      </w:r>
      <w:r w:rsidRPr="00E04728">
        <w:rPr>
          <w:color w:val="000000" w:themeColor="text1"/>
        </w:rPr>
        <w:t xml:space="preserve"> Սա պայմանավորված է օրենսդրական և գործնական կառուցակարգերի բացակայությամբ: Բացի այդ, </w:t>
      </w:r>
      <w:r w:rsidRPr="00E04728">
        <w:t>տարանջատված չեն բարեվարքության ուսումնասիրությունը հանրային պաշտոնում նշանակման կամ առաջխաղացման համար և ընթացիկ բարեվարքության ստուգումը (շրջանակը, մեխանիզմները): Միևնույն ժամանակ, բարեվարքության վերաբերյալ ուսումնասիրությունների արդյունքների հրապարակային չլինելը հնարավորություն չի տալիս հանրային վերահսկողության մեխանիզմների միջոցով ևս ամրապնդել բարեվարքության համակարգը։ Միևնույն ժամանակ</w:t>
      </w:r>
      <w:r w:rsidR="005D0EC5">
        <w:t>,</w:t>
      </w:r>
      <w:r w:rsidRPr="00E04728">
        <w:t xml:space="preserve"> հարկ է հաշվի առնել բարեվարքության ուսումնասիրության շրջանակում քննարկվող՝ օրենքով գաղտնիք հանդիսացող տեղեկությունների, երրորդ անձանց մասին տեղեկությունների և անձնական տվյալների, անձի մասնավոր կյանքին առնչվող տեղեկությունների և օպերատիվ-հետախուզական ճանապարհով ստացված տեղեկությունների առկայության հանգամանքը, ինչպես նաև դրանց հրապարակայնության առնչությամբ ՄԻԵԴ-ի նախադեպային որոշումները և օտարերկրյա պետությունների փորձը, որի համատեքստում առավել նպատակահարմար է դիտարկել բարեվարքության վերաբերյալ եզրակացության միայն եզրափակիչ մասի հրապարակայնության պահանջի սահմանումը։ </w:t>
      </w:r>
    </w:p>
    <w:p w14:paraId="707BEDCE" w14:textId="77777777" w:rsidR="002F7436" w:rsidRPr="00E04728" w:rsidRDefault="002F7436" w:rsidP="002F7436">
      <w:pPr>
        <w:spacing w:line="276" w:lineRule="auto"/>
        <w:rPr>
          <w:color w:val="000000"/>
        </w:rPr>
      </w:pPr>
      <w:r w:rsidRPr="00E04728">
        <w:rPr>
          <w:color w:val="000000" w:themeColor="text1"/>
        </w:rPr>
        <w:t xml:space="preserve">Նշյալից բացի, առկա են բարեվարքության ուսումնասիրության համակարգի արդյունավետությունը նվազեցնող խոչընդոտներ և հանգամանքներ, ինչպես օրինակ, բարեվարքության ուսումնասիրության սեղմ ժամկետները, ԿԿՀ-ի կողմից թեկնածուի բարեվարքության բացասական եզրակացության պարագայում, նրա` համապատասխան պաշտոնի նշանակումը կամ առաջխաղացումն առանց պատճառաբանված որոշման իրականացնելը, ԿԿՀ բարեվարքության եզրակացության եզրափակիչ մասը չհրապարակելը, </w:t>
      </w:r>
      <w:r w:rsidRPr="00E04728">
        <w:t>բարեվարքության ուսումնասիրության առանձին էլեկտրոնային հարթակի բացակայությունը, բարեվարքության հարցաթերթիկների՝ էլեկտրոնային եղանակով լրացումը և այլն:</w:t>
      </w:r>
      <w:r w:rsidRPr="00E04728">
        <w:rPr>
          <w:color w:val="000000" w:themeColor="text1"/>
        </w:rPr>
        <w:t xml:space="preserve"> Միևնույն </w:t>
      </w:r>
      <w:r w:rsidRPr="00E04728">
        <w:rPr>
          <w:color w:val="000000" w:themeColor="text1"/>
        </w:rPr>
        <w:lastRenderedPageBreak/>
        <w:t xml:space="preserve">ժամանակ, բարեվարքության համակարգի ամրապնդման տեսանկյունից կարևոր է նաև </w:t>
      </w:r>
      <w:r w:rsidRPr="00E04728">
        <w:rPr>
          <w:color w:val="000000"/>
        </w:rPr>
        <w:t>բարեվարքության</w:t>
      </w:r>
      <w:r w:rsidRPr="00E04728">
        <w:t xml:space="preserve"> ուսումնասիրության</w:t>
      </w:r>
      <w:r w:rsidRPr="00E04728">
        <w:rPr>
          <w:color w:val="000000"/>
        </w:rPr>
        <w:t xml:space="preserve"> համակարգի վերաբերյալ մոտեցումների ներդրումը կրթական հաստատություններում, որը նպատակ է հետապնդում ապահովել, որպեսզի ուսանողները՝ որպես ապագա պետական պաշտոն զբաղեցնող անձինք՝ լինեն բարեվարքության բաղադրիչները կրողները և պահպանողները։ </w:t>
      </w:r>
    </w:p>
    <w:p w14:paraId="5D5EE7DA" w14:textId="77777777" w:rsidR="002F7436" w:rsidRPr="00E04728" w:rsidRDefault="002F7436" w:rsidP="007341F6">
      <w:pPr>
        <w:spacing w:line="276" w:lineRule="auto"/>
        <w:rPr>
          <w:color w:val="000000" w:themeColor="text1"/>
        </w:rPr>
      </w:pPr>
      <w:r w:rsidRPr="00E04728">
        <w:rPr>
          <w:color w:val="000000" w:themeColor="text1"/>
        </w:rPr>
        <w:t xml:space="preserve">Ամբողջ վերոգրյալը ցույց է տալիս </w:t>
      </w:r>
      <w:r w:rsidRPr="00E04728">
        <w:rPr>
          <w:i/>
          <w:color w:val="000000" w:themeColor="text1"/>
        </w:rPr>
        <w:t xml:space="preserve">բարեվարքության ուսումնասիրության համակարգի կատարելագործման </w:t>
      </w:r>
      <w:r w:rsidRPr="00E04728">
        <w:rPr>
          <w:color w:val="000000" w:themeColor="text1"/>
        </w:rPr>
        <w:t>անհրաժեշտությունը:</w:t>
      </w:r>
    </w:p>
    <w:p w14:paraId="1CF18551" w14:textId="77777777" w:rsidR="002F7436" w:rsidRPr="00E04728" w:rsidRDefault="002F7436" w:rsidP="007341F6">
      <w:pPr>
        <w:tabs>
          <w:tab w:val="left" w:pos="284"/>
          <w:tab w:val="left" w:pos="426"/>
          <w:tab w:val="left" w:pos="630"/>
          <w:tab w:val="left" w:pos="851"/>
          <w:tab w:val="left" w:pos="1134"/>
        </w:tabs>
        <w:spacing w:line="276" w:lineRule="auto"/>
        <w:rPr>
          <w:color w:val="000000" w:themeColor="text1"/>
        </w:rPr>
      </w:pPr>
      <w:r w:rsidRPr="00E04728">
        <w:rPr>
          <w:color w:val="000000" w:themeColor="text1"/>
        </w:rPr>
        <w:t xml:space="preserve">Քաղաքական կոռուպցիան կանխարգելելու և չեզոքացնելու կարևոր երաշխիքներից է կուսակցությունների ֆինանսական գործունեության թափանցիկությունը: 2021թ. դեկտեմբերի 29-ին ընդունված «Կուսակցությունների մասին» սահմանադրական օրենքում և հարակից մի շարք օրենքներում կատարված ծավալուն փոփոխություններով վերանայվեցին կուսակցությունների ֆինանսավորման և դրա նկատմամբ վերահսկողության մեխանիզմները։ Մասնավորապես, կուսակցությունների ֆինանսական գործունեության նկատմամբ վերահսկողության գործառույթը Կենտրոնական ընտրական հանձնաժողովի  Վերահսկիչ-վերստուգիչ ծառայությունից փոխանցվեց Կոռուպցիայի կանխարգելման հանձնաժողովին: </w:t>
      </w:r>
    </w:p>
    <w:p w14:paraId="78943636" w14:textId="77777777" w:rsidR="002F7436" w:rsidRPr="00E04728" w:rsidRDefault="002F7436" w:rsidP="007341F6">
      <w:pPr>
        <w:tabs>
          <w:tab w:val="left" w:pos="284"/>
          <w:tab w:val="left" w:pos="426"/>
          <w:tab w:val="left" w:pos="630"/>
          <w:tab w:val="left" w:pos="851"/>
          <w:tab w:val="left" w:pos="1134"/>
        </w:tabs>
        <w:spacing w:line="276" w:lineRule="auto"/>
        <w:rPr>
          <w:color w:val="000000" w:themeColor="text1"/>
        </w:rPr>
      </w:pPr>
      <w:r w:rsidRPr="00E04728">
        <w:rPr>
          <w:b/>
          <w:color w:val="000000" w:themeColor="text1"/>
        </w:rPr>
        <w:tab/>
      </w:r>
      <w:r w:rsidRPr="00E04728">
        <w:rPr>
          <w:color w:val="000000" w:themeColor="text1"/>
        </w:rPr>
        <w:t>Նշված գործառույթն իրականացնելու համար ԿԿՀ-ն ընդունել է մի շարք ենթաօրենսդրական ակտեր, իրականացրել կուսակցությունների հայտարարատու պաշտոնատար անձանց հայտարարագրերի ստուգում և վերլուծություն,  աուդիտի կազմակերպում և անցկացում, կուսակցությունների տարեկան հաշվետվությունների ստուգում և այլն: Այդուհանդերձ, բացակայում են կուսակցությունների նկատմամբ ֆինանսական վերահսկողության այդ գործառույթն ամբողջությամբ իրականացնելու համար անհրաժեշտ կառուցակարգերը (ընթացիկ ստուգման եղանակները, համագործակցությունը այլ մարմինների հետ) և ներուժը: Արձանագրված այլ խնդիրներից է կուսակցությունների` իրենց ֆինանսական հաշվետվողականությանն ու վերահսկողությանն առնչվող հարցերի վերաբերյալ բավարար չափով տեղեկացված չլինելը, օրենսդրորեն կուսակցությունների տարեկան հաշվետվությունների ստուգման և աուդիտի արդյունքները կուսակցությունների պետական ընդհանուր ֆինանսավորման ստացման պայման չհանդիսանալը և այլն:</w:t>
      </w:r>
    </w:p>
    <w:p w14:paraId="68F0A1E3" w14:textId="21762337" w:rsidR="002F7436" w:rsidRPr="00E04728" w:rsidRDefault="002F7436" w:rsidP="007341F6">
      <w:pPr>
        <w:tabs>
          <w:tab w:val="left" w:pos="284"/>
          <w:tab w:val="left" w:pos="426"/>
          <w:tab w:val="left" w:pos="630"/>
          <w:tab w:val="left" w:pos="851"/>
          <w:tab w:val="left" w:pos="1134"/>
        </w:tabs>
        <w:spacing w:line="276" w:lineRule="auto"/>
        <w:rPr>
          <w:i/>
          <w:color w:val="000000" w:themeColor="text1"/>
        </w:rPr>
      </w:pPr>
      <w:r w:rsidRPr="00E04728">
        <w:rPr>
          <w:color w:val="000000" w:themeColor="text1"/>
        </w:rPr>
        <w:t>Նշվածը պահանջում է</w:t>
      </w:r>
      <w:r w:rsidRPr="00E04728">
        <w:rPr>
          <w:i/>
          <w:color w:val="000000" w:themeColor="text1"/>
        </w:rPr>
        <w:t xml:space="preserve"> կուսակցությունների ֆինանսական գործունեության նկատմամբ վերահսկողության մեխանիզմների արդյունավետության մեծացում և կատարելագործում:</w:t>
      </w:r>
    </w:p>
    <w:p w14:paraId="727F6D6F" w14:textId="77777777" w:rsidR="002F7436" w:rsidRPr="00E04728" w:rsidRDefault="002F7436" w:rsidP="002F7436">
      <w:pPr>
        <w:spacing w:line="276" w:lineRule="auto"/>
        <w:rPr>
          <w:b/>
          <w:color w:val="000000" w:themeColor="text1"/>
        </w:rPr>
      </w:pPr>
    </w:p>
    <w:p w14:paraId="1D9631B7" w14:textId="77777777" w:rsidR="002F7436" w:rsidRPr="00E04728" w:rsidRDefault="002F7436" w:rsidP="002F7436">
      <w:pPr>
        <w:spacing w:line="276" w:lineRule="auto"/>
        <w:jc w:val="center"/>
        <w:rPr>
          <w:b/>
          <w:color w:val="000000" w:themeColor="text1"/>
        </w:rPr>
      </w:pPr>
    </w:p>
    <w:p w14:paraId="25FDECA9" w14:textId="77777777" w:rsidR="002F7436" w:rsidRPr="00E04728" w:rsidRDefault="002F7436" w:rsidP="002F7436">
      <w:pPr>
        <w:spacing w:line="276" w:lineRule="auto"/>
        <w:jc w:val="center"/>
        <w:rPr>
          <w:b/>
          <w:color w:val="000000" w:themeColor="text1"/>
        </w:rPr>
      </w:pPr>
      <w:r w:rsidRPr="00E04728">
        <w:rPr>
          <w:b/>
          <w:color w:val="000000" w:themeColor="text1"/>
        </w:rPr>
        <w:t>ԲԱՐԵՎԱՐՔՈՒԹՅԱՆ ՀԱՄԱԿԱՐԳԻ ՇԱՐՈՒՆԱԿԱԿԱՆ ԿԱՏԱՐԵԼԱԳՈՐԾՈՒՄ</w:t>
      </w:r>
      <w:bookmarkStart w:id="15" w:name="_Toc130287588"/>
    </w:p>
    <w:p w14:paraId="196CC532" w14:textId="77777777" w:rsidR="002F7436" w:rsidRPr="00E04728" w:rsidRDefault="002F7436" w:rsidP="002F7436">
      <w:pPr>
        <w:tabs>
          <w:tab w:val="left" w:pos="284"/>
          <w:tab w:val="left" w:pos="426"/>
          <w:tab w:val="left" w:pos="709"/>
          <w:tab w:val="left" w:pos="851"/>
          <w:tab w:val="left" w:pos="993"/>
        </w:tabs>
        <w:spacing w:line="276" w:lineRule="auto"/>
        <w:rPr>
          <w:b/>
          <w:color w:val="000000" w:themeColor="text1"/>
        </w:rPr>
      </w:pPr>
    </w:p>
    <w:p w14:paraId="7CD5D2AC" w14:textId="77777777" w:rsidR="002F7436" w:rsidRPr="00E04728" w:rsidRDefault="002F7436" w:rsidP="002F7436">
      <w:pPr>
        <w:spacing w:line="276" w:lineRule="auto"/>
        <w:rPr>
          <w:rFonts w:eastAsia="Times New Roman" w:cs="Times New Roman"/>
        </w:rPr>
      </w:pPr>
      <w:r w:rsidRPr="00E04728">
        <w:rPr>
          <w:color w:val="000000" w:themeColor="text1"/>
        </w:rPr>
        <w:t>Կոռուպցիայի կանխարգելման հարցում առանցքային նշանակություն ունի բարեվարքության համակարգի` հանրային</w:t>
      </w:r>
      <w:r w:rsidRPr="00E04728">
        <w:rPr>
          <w:rFonts w:ascii="Cambria" w:hAnsi="Cambria" w:cs="Cambria"/>
          <w:color w:val="000000" w:themeColor="text1"/>
        </w:rPr>
        <w:t> </w:t>
      </w:r>
      <w:r w:rsidRPr="00E04728">
        <w:rPr>
          <w:color w:val="000000" w:themeColor="text1"/>
        </w:rPr>
        <w:t>պաշտոն զբաղեցնող անձանց և</w:t>
      </w:r>
      <w:r w:rsidRPr="00E04728">
        <w:rPr>
          <w:rFonts w:ascii="Cambria" w:hAnsi="Cambria" w:cs="Cambria"/>
          <w:color w:val="000000" w:themeColor="text1"/>
        </w:rPr>
        <w:t> </w:t>
      </w:r>
      <w:r w:rsidRPr="00E04728">
        <w:rPr>
          <w:color w:val="000000" w:themeColor="text1"/>
        </w:rPr>
        <w:t>հանրային</w:t>
      </w:r>
      <w:r w:rsidRPr="00E04728">
        <w:rPr>
          <w:rFonts w:ascii="Cambria" w:hAnsi="Cambria" w:cs="Cambria"/>
          <w:color w:val="000000" w:themeColor="text1"/>
        </w:rPr>
        <w:t> </w:t>
      </w:r>
      <w:r w:rsidRPr="00E04728">
        <w:rPr>
          <w:color w:val="000000" w:themeColor="text1"/>
        </w:rPr>
        <w:t xml:space="preserve">ծառայողների վարքագծի սկզբունքների և դրանցից բխող վարքագծի կանոնների (այդ թվում՝ պաշտոնեական (ծառայողական) պարտականությունների իրականացման հետ կապված նվերներ ընդունելու սահմանափակումների վերաբերյալ), </w:t>
      </w:r>
      <w:r w:rsidRPr="00E04728">
        <w:rPr>
          <w:color w:val="000000" w:themeColor="text1"/>
        </w:rPr>
        <w:lastRenderedPageBreak/>
        <w:t>անհամատեղելիության պահանջների, այլ սահմանափակումների և շահերի բախման առնչությամբ հարցերիշարունակական կատարելագործումը և արդիականացումը:</w:t>
      </w:r>
    </w:p>
    <w:p w14:paraId="32000393" w14:textId="3B4ACF33" w:rsidR="002F7436" w:rsidRPr="00E04728" w:rsidRDefault="002F7436" w:rsidP="002F7436">
      <w:pPr>
        <w:tabs>
          <w:tab w:val="left" w:pos="284"/>
          <w:tab w:val="left" w:pos="426"/>
          <w:tab w:val="left" w:pos="709"/>
          <w:tab w:val="left" w:pos="851"/>
          <w:tab w:val="left" w:pos="993"/>
        </w:tabs>
        <w:spacing w:line="276" w:lineRule="auto"/>
      </w:pPr>
      <w:r w:rsidRPr="00E04728">
        <w:rPr>
          <w:color w:val="000000" w:themeColor="text1"/>
        </w:rPr>
        <w:t xml:space="preserve">Հանրային պաշտոն զբաղեցնող անձանց և հանրային ծառայողների բարեվարքության ապահովման կարևոր բաղադրատարրերից է վարքագծի կանոնագրքերի ընդունումը, դրանց պահանջների պահպանմանը միտված վերապատրաստումների անցկացումը և շարունակական վերահսկողության իրականացումը: Այս առնչությամբ որոշակի </w:t>
      </w:r>
      <w:r w:rsidRPr="00E04728">
        <w:t>աշխատանքներ իրականացվեցին նախորդող չորս տարիների ընթացքում, որի արդյունքում հաստատվեցին հանրային ծառայողների վարքագծի տիպային կանոնները և դրա հիման վրա սահմանվել է քաղաքացիական ծառայողների</w:t>
      </w:r>
      <w:r w:rsidRPr="00E04728">
        <w:rPr>
          <w:rFonts w:ascii="Cambria" w:hAnsi="Cambria" w:cs="Cambria"/>
        </w:rPr>
        <w:t> </w:t>
      </w:r>
      <w:r w:rsidRPr="00E04728">
        <w:t>վարքագծի</w:t>
      </w:r>
      <w:r w:rsidRPr="00E04728">
        <w:rPr>
          <w:rFonts w:ascii="Cambria" w:hAnsi="Cambria" w:cs="Cambria"/>
        </w:rPr>
        <w:t> </w:t>
      </w:r>
      <w:r w:rsidRPr="00E04728">
        <w:t>կանոնագիրքը, իրականացվեցին մի շարք վերապատրաստումներ։ Զուգահեռաբար, լրամշակվեցին քննիչների վարքագծի կանոնները</w:t>
      </w:r>
      <w:r w:rsidR="005D0EC5">
        <w:t>:</w:t>
      </w:r>
      <w:r w:rsidRPr="00E04728">
        <w:t>Մինչև տիպային կանոնների ընդունումը արդեն առկա էին վարքագծի կանոններ դատավորների և դատախազների համար։</w:t>
      </w:r>
    </w:p>
    <w:p w14:paraId="4595F83E" w14:textId="77777777" w:rsidR="002F7436" w:rsidRPr="00E04728" w:rsidRDefault="002F7436" w:rsidP="002F7436">
      <w:pPr>
        <w:tabs>
          <w:tab w:val="left" w:pos="284"/>
          <w:tab w:val="left" w:pos="426"/>
          <w:tab w:val="left" w:pos="709"/>
          <w:tab w:val="left" w:pos="851"/>
          <w:tab w:val="left" w:pos="993"/>
        </w:tabs>
        <w:spacing w:line="276" w:lineRule="auto"/>
      </w:pPr>
      <w:r w:rsidRPr="00E04728">
        <w:t>Այնուամենայնիվ, անհրաժեշտ է միջազգային փորձի, միջազգային պարտավորությունների և բարեվարքության համակարգում վերջին չորս տարիներին իրականացված բարեփոխումների ուսումնասիրություն իրականացնել և դիտարկել քննիչների, դատախազների և դատավորների վարքագծի կանոնների վերանայման և բարեվարքության համակարգին համահունչ կարգավուոմների սահմանման անհրաժեշտությունը։</w:t>
      </w:r>
    </w:p>
    <w:p w14:paraId="25613432" w14:textId="681949B7" w:rsidR="002F7436" w:rsidRPr="00E04728" w:rsidRDefault="002F7436" w:rsidP="002F7436">
      <w:pPr>
        <w:tabs>
          <w:tab w:val="left" w:pos="284"/>
          <w:tab w:val="left" w:pos="426"/>
          <w:tab w:val="left" w:pos="709"/>
          <w:tab w:val="left" w:pos="851"/>
          <w:tab w:val="left" w:pos="993"/>
        </w:tabs>
        <w:spacing w:line="276" w:lineRule="auto"/>
        <w:rPr>
          <w:b/>
          <w:color w:val="000000" w:themeColor="text1"/>
        </w:rPr>
      </w:pPr>
      <w:r w:rsidRPr="00E04728">
        <w:rPr>
          <w:u w:val="single"/>
        </w:rPr>
        <w:t>Հարկ է հավելել, որ պետական և համայնքային պաշտոն զբաղեցնող անձանց վարքագծի կանոնագրքերի համակարգի</w:t>
      </w:r>
      <w:r w:rsidRPr="00E04728">
        <w:t xml:space="preserve"> ուսումնասիրությունից պարզ է դարձել, որ </w:t>
      </w:r>
      <w:hyperlink r:id="rId9" w:history="1">
        <w:r w:rsidRPr="00E04728">
          <w:rPr>
            <w:rStyle w:val="Hyperlink"/>
            <w:shd w:val="clear" w:color="auto" w:fill="FFFFFF"/>
          </w:rPr>
          <w:t>«Ազգային ժողովի պատգամավորի գործունեության երաշխիքների մասին» ՀՀ օրենքի</w:t>
        </w:r>
      </w:hyperlink>
      <w:r w:rsidRPr="00E04728">
        <w:rPr>
          <w:color w:val="000000"/>
          <w:shd w:val="clear" w:color="auto" w:fill="FFFFFF"/>
        </w:rPr>
        <w:t xml:space="preserve"> </w:t>
      </w:r>
      <w:r w:rsidRPr="00E04728">
        <w:rPr>
          <w:rStyle w:val="Strong"/>
          <w:b w:val="0"/>
          <w:color w:val="000000"/>
          <w:shd w:val="clear" w:color="auto" w:fill="FFFFFF"/>
        </w:rPr>
        <w:t xml:space="preserve">3-րդ հոդվածով սահմանված են պատգամավորական էթիկայի կանոնները, որոնք </w:t>
      </w:r>
      <w:r w:rsidRPr="00E04728">
        <w:rPr>
          <w:color w:val="000000"/>
          <w:shd w:val="clear" w:color="auto" w:fill="FFFFFF"/>
        </w:rPr>
        <w:t xml:space="preserve">ամբողջությամբ չեն արտացոլում </w:t>
      </w:r>
      <w:r w:rsidRPr="00E04728">
        <w:rPr>
          <w:rStyle w:val="Strong"/>
          <w:b w:val="0"/>
          <w:color w:val="000000"/>
          <w:shd w:val="clear" w:color="auto" w:fill="FFFFFF"/>
        </w:rPr>
        <w:t>«Հանրային ծառայության մասին</w:t>
      </w:r>
      <w:r w:rsidRPr="00E04728">
        <w:rPr>
          <w:b/>
          <w:color w:val="000000"/>
          <w:shd w:val="clear" w:color="auto" w:fill="FFFFFF"/>
        </w:rPr>
        <w:t>»</w:t>
      </w:r>
      <w:r w:rsidRPr="00E04728">
        <w:rPr>
          <w:color w:val="000000"/>
          <w:shd w:val="clear" w:color="auto" w:fill="FFFFFF"/>
        </w:rPr>
        <w:t xml:space="preserve"> օրենքով սահմանված պաշտոն զբաղեցնող անձի վարքագծի սկզբունքները և այդ իմաստով չեն կարող համարվել վարքագծի կանոններ: Հարկ է նշել, որ պատգամավորի վարքագծի կանոնների ընդունման իրավասություն սահմանող դրույթ ևս ամրագրված չէ, որպիսի պայմաններում առկա չեն նաև պատգամավորների վարքագծի կանոններ: Միևնույն ժամանակ, անհրաժեշտ է սահմանել պատգամավորների վարքագծի կանոնների նկատմամբ հսկողության մշտական հիմունքներով ին</w:t>
      </w:r>
      <w:r w:rsidR="00614F5B">
        <w:rPr>
          <w:color w:val="000000"/>
          <w:shd w:val="clear" w:color="auto" w:fill="FFFFFF"/>
        </w:rPr>
        <w:t>ս</w:t>
      </w:r>
      <w:r w:rsidRPr="00E04728">
        <w:rPr>
          <w:color w:val="000000"/>
          <w:shd w:val="clear" w:color="auto" w:fill="FFFFFF"/>
        </w:rPr>
        <w:t>տիտուցիոնալ կառուցակարգեր։</w:t>
      </w:r>
    </w:p>
    <w:p w14:paraId="1D1C3B8E" w14:textId="77777777" w:rsidR="002F7436" w:rsidRPr="00E04728" w:rsidRDefault="002F7436" w:rsidP="002F7436">
      <w:pPr>
        <w:spacing w:line="276" w:lineRule="auto"/>
      </w:pPr>
      <w:r w:rsidRPr="00E04728">
        <w:rPr>
          <w:color w:val="000000"/>
          <w:shd w:val="clear" w:color="auto" w:fill="FFFFFF"/>
        </w:rPr>
        <w:t xml:space="preserve">Ուսումնասիրության արդյունքում պարզվել է նաև, որ «Հանրային ծառայության մասին» օրենքով վարքագծի կանոնների կիրառելիությունը համայնքային պաշտոնների առումով սահմանափակ է, քանի որ տարածվում է միայն համայնքների ղեկավարների, նրանց տեղակալների, Երևան համայնքի վարչական շրջանների ղեկավարների, նրանց տեղակալների պաշտոն զբաղեցնող անձանց վրա: </w:t>
      </w:r>
      <w:r w:rsidRPr="00E04728">
        <w:t>Փաստացիորեն, իրավական կարգավորման ենթարկված չէ ավագանու անդամների, բազմաբնակավայր համայնքի բնակավայրի վարչական ղեկավարների, և համայնքային հայեցողական պաշտոն զբաղեցնող անձանց (</w:t>
      </w:r>
      <w:r w:rsidRPr="00E04728">
        <w:rPr>
          <w:color w:val="000000"/>
          <w:shd w:val="clear" w:color="auto" w:fill="FFFFFF"/>
        </w:rPr>
        <w:t>համայնքի ղեկավարի խորհրդականի, մամուլի քարտուղարի, օգնականի, համայնքների ղեկավարի տեղակալի օգնականի,</w:t>
      </w:r>
      <w:r w:rsidRPr="00E04728">
        <w:rPr>
          <w:rFonts w:ascii="Cambria" w:hAnsi="Cambria" w:cs="Cambria"/>
          <w:color w:val="000000"/>
          <w:shd w:val="clear" w:color="auto" w:fill="FFFFFF"/>
        </w:rPr>
        <w:t> </w:t>
      </w:r>
      <w:r w:rsidRPr="00E04728">
        <w:rPr>
          <w:color w:val="000000"/>
          <w:shd w:val="clear" w:color="auto" w:fill="FFFFFF"/>
        </w:rPr>
        <w:t xml:space="preserve">համայնքների ավագանու </w:t>
      </w:r>
      <w:r w:rsidRPr="00E04728">
        <w:rPr>
          <w:color w:val="000000"/>
          <w:shd w:val="clear" w:color="auto" w:fill="FFFFFF"/>
        </w:rPr>
        <w:lastRenderedPageBreak/>
        <w:t>խմբակցությունների փորձագետների</w:t>
      </w:r>
      <w:r w:rsidRPr="00E04728">
        <w:t xml:space="preserve">) համար վարքագծի կանոնագրքի ընդունման հարցը և այս անձինք դուրս են մնացել վարքագծի կանոնագրքերի ընդհանուր համակարգից: </w:t>
      </w:r>
    </w:p>
    <w:p w14:paraId="5F2584CF" w14:textId="77777777" w:rsidR="002F7436" w:rsidRPr="00E04728" w:rsidRDefault="002F7436" w:rsidP="002F7436">
      <w:pPr>
        <w:spacing w:line="276" w:lineRule="auto"/>
      </w:pPr>
      <w:r w:rsidRPr="00E04728">
        <w:rPr>
          <w:color w:val="000000" w:themeColor="text1"/>
        </w:rPr>
        <w:t>Այսպիսով, ներկայումս վարքագծի կանոնները որոշ պետական և համայնքային պաշտոնների դեպքում առկա չեն, եղած վարգագծի նորմերը միասնական չեն, ինչպես նաև հաճախ բացակայում է նշված կանոնների նկատմամբ պատշաճ հսկողությունը:</w:t>
      </w:r>
      <w:r w:rsidRPr="00E04728">
        <w:rPr>
          <w:b/>
          <w:color w:val="000000" w:themeColor="text1"/>
        </w:rPr>
        <w:t xml:space="preserve"> </w:t>
      </w:r>
      <w:r w:rsidRPr="00E04728">
        <w:rPr>
          <w:color w:val="000000" w:themeColor="text1"/>
        </w:rPr>
        <w:t>Հետևաբար, անհրաժեշտ է</w:t>
      </w:r>
      <w:r w:rsidRPr="00E04728">
        <w:rPr>
          <w:b/>
          <w:color w:val="000000" w:themeColor="text1"/>
        </w:rPr>
        <w:t xml:space="preserve"> </w:t>
      </w:r>
      <w:r w:rsidRPr="00E04728">
        <w:rPr>
          <w:i/>
          <w:color w:val="000000" w:themeColor="text1"/>
        </w:rPr>
        <w:t>կատարելագործել վարքագծի կանոնագրքերը և դրանց կիրարկման կառուցակարգերը պետական և տեղական ինքնակառավարման մարմիններում</w:t>
      </w:r>
      <w:bookmarkEnd w:id="15"/>
      <w:r w:rsidRPr="00E04728">
        <w:rPr>
          <w:i/>
          <w:color w:val="000000" w:themeColor="text1"/>
        </w:rPr>
        <w:t xml:space="preserve">: </w:t>
      </w:r>
    </w:p>
    <w:p w14:paraId="531A4053" w14:textId="77777777" w:rsidR="00245636" w:rsidRDefault="002F7436" w:rsidP="00245636">
      <w:pPr>
        <w:spacing w:line="276" w:lineRule="auto"/>
      </w:pPr>
      <w:r w:rsidRPr="00E04728">
        <w:rPr>
          <w:color w:val="000000" w:themeColor="text1"/>
        </w:rPr>
        <w:t>Բարեվարքության համակարգի շարունակական կատարելագործումը պահանջում է նաև</w:t>
      </w:r>
      <w:r w:rsidRPr="00E04728">
        <w:rPr>
          <w:i/>
          <w:color w:val="000000" w:themeColor="text1"/>
        </w:rPr>
        <w:t xml:space="preserve"> շահերի բախման, անհամատեղելիության պահանջների, նվերների արգելքի և  այլ սահմանափակումների արդյունավետ գործադրման, վերահսկման մեխանիզմների  կատարելագործում: </w:t>
      </w:r>
      <w:r w:rsidRPr="00E04728">
        <w:rPr>
          <w:color w:val="000000" w:themeColor="text1"/>
        </w:rPr>
        <w:t>Թեև նշված ուղղությամբ Կառավարությունը շարունակական աշխատանքներ է իրականացրել վերջին տարիներին, որոնց արդյունքում էականորեն բարելավվել են շահերի բախման, անհամատեղելիության պահանջների և այլ սահամանափակումներին, նվերների արգելքին առնչվող օրենսդրական կարգավորումները</w:t>
      </w:r>
      <w:r w:rsidRPr="00E04728">
        <w:rPr>
          <w:rStyle w:val="FootnoteReference"/>
          <w:color w:val="000000" w:themeColor="text1"/>
        </w:rPr>
        <w:footnoteReference w:id="25"/>
      </w:r>
      <w:r w:rsidRPr="00E04728">
        <w:rPr>
          <w:color w:val="000000" w:themeColor="text1"/>
        </w:rPr>
        <w:t xml:space="preserve">, այդուհանդերձ, դեռևս առկա են որոշ խնդիրներ և բացեր: Մասնավորապես, </w:t>
      </w:r>
      <w:r w:rsidRPr="00E04728">
        <w:t xml:space="preserve">նվերների ընդունման սահմանափակումների իրացման կառուցակարգերը լրիվությամբ ամրապնդված չեն, նվերների հաշվառման կառուցակարգերը թերի են, դեռևս ձևավորված չէ նվերների ռեեստրը, </w:t>
      </w:r>
      <w:r w:rsidR="00245636">
        <w:t xml:space="preserve">սահմանված չեն պետության և համայնքի սեփականությունը հանդիսացող նվերների տնօրինման հետ կապված կարգավորումներ, որևէ պետական մարմնի վերապահված չէ նվերները հաշվառելու լիազորություն, իսկ պետության սեփականությունը դարձող նվերների տնօրինման լիազորությունը, ըստ էության, վերապահված է միայն Պետական գույքի կառավարման կոմիտեին, ինչը խնդրահարույց է և իրավակիրառ պրակտիկայում մի շարք խնդիրներ կարող է առաջացնել: Այս համատեքստում անհրաժեշտ է սահմանել պետության և համայնքի սեփականությունը դարձող նվերների տնօրինման եղանակները, կարգը, ըստ այդ նվերների առանձին տեսակների դրանց տնօրինման առանձնահատկությունները՝ տարանջատելով մշակութային արժեք ներկայացնող, շուտ փչացող, պահպանման էական ծախսեր պահանջող արարողակարգային նվերների, ոչ թույլատրելի նվերների, որպես պարգևատրում տրվող նվերների տնօրինման կանոնները, ինչպես նաև իրավասու մարմնին օրենքով վերապահել արարողակարգային նվերները հաշվառելու և դրանք տնօրինելու լիազորություն: </w:t>
      </w:r>
    </w:p>
    <w:p w14:paraId="3D64EB51" w14:textId="37471051" w:rsidR="002F7436" w:rsidRPr="00E04728" w:rsidRDefault="00245636" w:rsidP="00245636">
      <w:pPr>
        <w:spacing w:line="276" w:lineRule="auto"/>
        <w:rPr>
          <w:color w:val="000000" w:themeColor="text1"/>
        </w:rPr>
      </w:pPr>
      <w:r>
        <w:t xml:space="preserve">Ի լրումն վերոգրյալի՝ ներկայումս </w:t>
      </w:r>
      <w:r w:rsidRPr="009676A4">
        <w:t xml:space="preserve">ամբողջությամբ կատարելագործված չեն </w:t>
      </w:r>
      <w:r w:rsidR="002F7436" w:rsidRPr="00E04728">
        <w:t xml:space="preserve">անհամատեղելիության պահանջների բացահայտման գործիքները և դրանց կիրառման հնարավորությունները, ապահովված չէ </w:t>
      </w:r>
      <w:r w:rsidR="002F7436" w:rsidRPr="00E04728">
        <w:rPr>
          <w:color w:val="000000" w:themeColor="text1"/>
        </w:rPr>
        <w:t>այլ սահմանափակումների պահանջների կիրառման միասնականությունը, հանրային պաշտոն զբաղեցնող անձանց և հանրային ծառայողներին ներկայացվող այլ սահմանափակումների պահանջների կառուցակարգերը և դրանց բացահայտման գործիքները և կիրառման հնարավորությունները ամբողջությամբ չեն բարելավվել:</w:t>
      </w:r>
    </w:p>
    <w:p w14:paraId="63A44E67" w14:textId="77777777" w:rsidR="002F7436" w:rsidRPr="00E04728" w:rsidRDefault="002F7436" w:rsidP="002F7436">
      <w:pPr>
        <w:tabs>
          <w:tab w:val="left" w:pos="284"/>
          <w:tab w:val="left" w:pos="426"/>
          <w:tab w:val="left" w:pos="709"/>
          <w:tab w:val="left" w:pos="851"/>
          <w:tab w:val="left" w:pos="993"/>
        </w:tabs>
        <w:spacing w:line="276" w:lineRule="auto"/>
      </w:pPr>
      <w:r w:rsidRPr="00E04728">
        <w:lastRenderedPageBreak/>
        <w:t xml:space="preserve">Միաժամանակ, բարեվարքության համակարգի զարգացումը պահանջում է պետական և համայնքային մասնակցությամբ ոչ առևտրային </w:t>
      </w:r>
      <w:r w:rsidRPr="00E04728">
        <w:rPr>
          <w:color w:val="000000" w:themeColor="text1"/>
        </w:rPr>
        <w:t>կազմակերպություններում բարեվարքության</w:t>
      </w:r>
      <w:r w:rsidRPr="00E04728">
        <w:t>համակարգի ներդրում և զարգացում: Այսպես, պետական մասնակցությամբ ոչ առևտրային կազմակերպություններում ներգրավված անձինք/աշխատակիցները չեն հանդիսանում  վարքագծի կանոնների սուբյեկտներ, ինչպես նաև նշված կազմակերպություններում չեն գործում կամ մասնակի չեն գործում շահերի բախման, անհամատեղելիության պահանջների պահպանման, այլ սահմանափակումների վերաբերյալ  կարգավորումները: Հետևաբար, հարկ է նաև դիտարկել պետական մասնակցությամբ ոչ առևտրային կազմակերպություններում բարեվարքության համակարգի ներդնումը:</w:t>
      </w:r>
    </w:p>
    <w:p w14:paraId="3160A64D" w14:textId="77777777" w:rsidR="002F7436" w:rsidRPr="00E04728" w:rsidRDefault="002F7436" w:rsidP="002F7436">
      <w:pPr>
        <w:tabs>
          <w:tab w:val="left" w:pos="284"/>
          <w:tab w:val="left" w:pos="426"/>
          <w:tab w:val="left" w:pos="709"/>
          <w:tab w:val="left" w:pos="851"/>
          <w:tab w:val="left" w:pos="993"/>
        </w:tabs>
        <w:spacing w:line="276" w:lineRule="auto"/>
      </w:pPr>
      <w:r w:rsidRPr="00E04728">
        <w:t>Հարկ է նաև անդրադառնալ բարեվարքության պահանջների պահպանման համար պատասխանատվության միջոցներին: Ներկայումս առկա չէ բարեվարքության համակարգի տարրերի խախտման հիմքով պատասխանատվության միջոցների կիրառման միասնական համակարգ: Այսպես, թեև սահմանվել են վարքագծի տիպային կանոնները, դրանց խախտումների համար պատասխանատվության միասնական նորմեր սահմանված չեն, յուրաքանչյուր մարմին ազատ է կոնկրետ խախտման համար պատասխանատվության միջոց սահմանել: Այսինքն՝ գործնականում ձևավորվում է այնպիսի իրավիճակ, երբ նույն տեսակի խախտման համար տարբեր մարմիններ կարող են կիրառել պատասխանատվության տարբեր միջոցներ:</w:t>
      </w:r>
    </w:p>
    <w:p w14:paraId="63D8AC7D" w14:textId="77777777" w:rsidR="002F7436" w:rsidRPr="00E04728" w:rsidRDefault="002F7436" w:rsidP="002F7436">
      <w:pPr>
        <w:tabs>
          <w:tab w:val="left" w:pos="284"/>
          <w:tab w:val="left" w:pos="426"/>
          <w:tab w:val="left" w:pos="709"/>
          <w:tab w:val="left" w:pos="851"/>
          <w:tab w:val="left" w:pos="993"/>
        </w:tabs>
        <w:spacing w:line="276" w:lineRule="auto"/>
        <w:ind w:right="-1"/>
      </w:pPr>
      <w:r w:rsidRPr="00E04728">
        <w:t xml:space="preserve">Բացի այդ, վարքագծի կանոնների, այլ սահմանափակումների և անհամատեղելիության պահանջների խախտման համար օրենքով սահմանված կարգապահական պատասխանատվությունը կիրառելի չէ քաղաքական պաշտոն զբաղեցնող անձանց նկատմամբ, ինչի արդյունքում նշված պաշտոնատար անձանց կողմից համապատասխան խախտման դեպքերը որևէ իրավական հետևանք չեն առաջացնում, ուստի և չեն սահմանափակում որևէ կերպ քաղաքական պաշտոն զբաղեցնող անձանց զերծ մնալու նմանատիպ խախտումներից և պատասխանատվության բացակայության պայմաններում նման դեպքերը չեն կանխարգելվում: Ավելին, հանրային պաշտոն զբաղեցնող անձանց՝ վարչական և հայեցողական խմբի պաշտոնատար անձանց համար, ինչպես նաև հանրային ծառայության առանձին ոլորտային օրենքներով (համայնքային, դիվանագիտական, ոստիկանական, զինվորական, ազգային անվտանգության մարմիններում ծառայությունների մասին) պատասխանատվության միջոցների կիրառման պարտադիր պահանջ սահմանված չէ: </w:t>
      </w:r>
      <w:r w:rsidRPr="00E04728">
        <w:tab/>
        <w:t xml:space="preserve">Հարկ է նաև նշել, որ հանրային ծառայության առանձին տեսակները, որոնք ունեն հատուկ օրենքներով կարգավորումներ, ունեն իրենց վարքագծի կանոնները կամ այդ կանոնների ընդունման ընթացակարգերը, ինչպես նաև այդ կանոնների խախտման համար պատասխանատվության ընթացակարգը։ Ի սկզբանե առանձին ծառայության տեսակների համար ընդունված օրենքներում շարադրվել են վարքագծի կանոններ կամ դրանք ընդունելու տարբերակներ և սահմանվել է պատասխանատվության միջոցի կիրառումը։ Այնուամենայնիվ՝ դեռևս տարբեր ծառայությունների տեսակները կարգավորող օրենքները շարունակում են պահպանել իրենց կարգավորումները և շատ հաճախ չեն </w:t>
      </w:r>
      <w:r w:rsidRPr="00E04728">
        <w:lastRenderedPageBreak/>
        <w:t xml:space="preserve">համապատասխանում այն միասնականացման գաղափարին, որը դրված է Հանրային ծառայության մասին օրենքով։ Արդյունքում ոչ միայն վարքագծի կանոնների խախտումների, այլ նաև շահերի բախման, անհամատեղելիության պահանջների, այլ սահմանափակումների խախտման հիմքերով նշանակվող կարգապահական տույժերի նշանակման համար չկան միասնական չափանիշներ և կառուցակարգեր, ինչպես նաև ղեկավարի կամ էթիկայի հանձնաժողովների կողմից նշանակվող տույժերը չեն կրում միասնական բնույթ: </w:t>
      </w:r>
    </w:p>
    <w:p w14:paraId="4FF80D3E" w14:textId="1B032DC2" w:rsidR="00566BC5" w:rsidRPr="00E04728" w:rsidRDefault="002F7436" w:rsidP="00566BC5">
      <w:pPr>
        <w:tabs>
          <w:tab w:val="left" w:pos="284"/>
          <w:tab w:val="left" w:pos="426"/>
          <w:tab w:val="left" w:pos="709"/>
          <w:tab w:val="left" w:pos="851"/>
          <w:tab w:val="left" w:pos="993"/>
        </w:tabs>
        <w:spacing w:line="276" w:lineRule="auto"/>
        <w:rPr>
          <w:color w:val="000000" w:themeColor="text1"/>
        </w:rPr>
      </w:pPr>
      <w:r w:rsidRPr="00E04728">
        <w:t xml:space="preserve">Ըստ այդմ, </w:t>
      </w:r>
      <w:r w:rsidRPr="00E04728">
        <w:rPr>
          <w:i/>
          <w:color w:val="000000" w:themeColor="text1"/>
        </w:rPr>
        <w:t xml:space="preserve">բարեվարքության պահանջների պահպանման համար պատասխանատվության միջոցների կառուցակարգերի կատարելագործումն </w:t>
      </w:r>
      <w:r w:rsidRPr="00E04728">
        <w:rPr>
          <w:color w:val="000000" w:themeColor="text1"/>
        </w:rPr>
        <w:t>անհրաժեշտություն է:</w:t>
      </w:r>
    </w:p>
    <w:p w14:paraId="63FF2F0F" w14:textId="748AF2B1" w:rsidR="00566BC5" w:rsidRPr="00E04728" w:rsidRDefault="00566BC5" w:rsidP="00566BC5">
      <w:pPr>
        <w:tabs>
          <w:tab w:val="left" w:pos="284"/>
          <w:tab w:val="left" w:pos="426"/>
          <w:tab w:val="left" w:pos="709"/>
          <w:tab w:val="left" w:pos="851"/>
          <w:tab w:val="left" w:pos="993"/>
        </w:tabs>
        <w:spacing w:line="276" w:lineRule="auto"/>
        <w:rPr>
          <w:color w:val="000000" w:themeColor="text1"/>
        </w:rPr>
      </w:pPr>
    </w:p>
    <w:p w14:paraId="6C4E139E" w14:textId="77777777" w:rsidR="00566BC5" w:rsidRPr="00E04728" w:rsidRDefault="00566BC5" w:rsidP="00566BC5">
      <w:pPr>
        <w:tabs>
          <w:tab w:val="left" w:pos="284"/>
          <w:tab w:val="left" w:pos="426"/>
          <w:tab w:val="left" w:pos="709"/>
          <w:tab w:val="left" w:pos="851"/>
          <w:tab w:val="left" w:pos="993"/>
        </w:tabs>
        <w:spacing w:line="276" w:lineRule="auto"/>
        <w:rPr>
          <w:color w:val="000000" w:themeColor="text1"/>
        </w:rPr>
        <w:sectPr w:rsidR="00566BC5" w:rsidRPr="00E04728" w:rsidSect="00272737">
          <w:headerReference w:type="default" r:id="rId10"/>
          <w:footerReference w:type="even" r:id="rId11"/>
          <w:footerReference w:type="default" r:id="rId12"/>
          <w:pgSz w:w="11906" w:h="16838"/>
          <w:pgMar w:top="851" w:right="567" w:bottom="567" w:left="1134" w:header="709" w:footer="709" w:gutter="0"/>
          <w:cols w:space="720"/>
          <w:titlePg/>
          <w:docGrid w:linePitch="360"/>
        </w:sectPr>
      </w:pPr>
    </w:p>
    <w:p w14:paraId="2B1872CA" w14:textId="763B3A35" w:rsidR="00630268" w:rsidRPr="00E04728" w:rsidRDefault="00630268" w:rsidP="00630268">
      <w:pPr>
        <w:keepNext/>
        <w:keepLines/>
        <w:ind w:firstLine="0"/>
        <w:jc w:val="center"/>
        <w:outlineLvl w:val="0"/>
        <w:rPr>
          <w:b/>
          <w:color w:val="000000" w:themeColor="text1"/>
        </w:rPr>
      </w:pPr>
      <w:bookmarkStart w:id="16" w:name="_Toc140181771"/>
      <w:r w:rsidRPr="00E04728">
        <w:rPr>
          <w:b/>
          <w:color w:val="000000" w:themeColor="text1"/>
        </w:rPr>
        <w:lastRenderedPageBreak/>
        <w:t>ՆՊԱՏԱԿ</w:t>
      </w:r>
      <w:r w:rsidR="00C876F5" w:rsidRPr="00E04728">
        <w:rPr>
          <w:b/>
          <w:color w:val="000000" w:themeColor="text1"/>
        </w:rPr>
        <w:t xml:space="preserve"> 2</w:t>
      </w:r>
      <w:r w:rsidRPr="00E04728">
        <w:rPr>
          <w:b/>
          <w:color w:val="000000" w:themeColor="text1"/>
        </w:rPr>
        <w:t>. ԿՈՌՈՒՊՑԻԱՅԻ ՀԱԿԱԶԴՈՒՄ</w:t>
      </w:r>
      <w:bookmarkEnd w:id="11"/>
      <w:bookmarkEnd w:id="16"/>
    </w:p>
    <w:p w14:paraId="63F8669A" w14:textId="77777777" w:rsidR="00630268" w:rsidRPr="00E04728" w:rsidRDefault="00630268" w:rsidP="00630268">
      <w:pPr>
        <w:tabs>
          <w:tab w:val="left" w:pos="284"/>
          <w:tab w:val="left" w:pos="426"/>
          <w:tab w:val="left" w:pos="709"/>
          <w:tab w:val="left" w:pos="993"/>
        </w:tabs>
        <w:spacing w:line="276" w:lineRule="auto"/>
        <w:contextualSpacing/>
        <w:jc w:val="center"/>
        <w:rPr>
          <w:b/>
          <w:i/>
          <w:color w:val="000000" w:themeColor="text1"/>
        </w:rPr>
      </w:pPr>
    </w:p>
    <w:p w14:paraId="4B851D21" w14:textId="1267C235" w:rsidR="00630268" w:rsidRPr="00E04728" w:rsidRDefault="00630268" w:rsidP="00630268">
      <w:pPr>
        <w:tabs>
          <w:tab w:val="left" w:pos="426"/>
          <w:tab w:val="left" w:pos="993"/>
          <w:tab w:val="left" w:pos="1418"/>
        </w:tabs>
        <w:spacing w:line="276" w:lineRule="auto"/>
      </w:pPr>
      <w:r w:rsidRPr="00E04728">
        <w:t>2019-2022թթ. հակակոռուպցիոն ռազմավարության իրականացման արդյունքում երաշխավորվեց հակակոռուպցիոն հակազդման մարմինների ստեղծումը` 2020 թվականին` ՀՀ Գլխավոր դատախազության ապօրինի ծագում ունեցող գույքի բռնագանձման գործերով վարչությունը, 2021 թվականին՝ Հակակոռուպցիոն կոմիտեն, 2021 թվականին ուժի մեջ մտավ հակակոռուպցիոն դատարանի ստեղծումն ապահովող օրենսդրությունը, տրվեց հակակոռուպցիոն դատարանների ստեղծման մեկնարկը, ստեղծվեց ՀՀ Գլխավոր դատախազության ՀՀ հակակոռուպցիոն կոմիտեում մինչդատական վարույթի օրինականության նկատմամբ հսկողություն իրականացնող վարչությունը:</w:t>
      </w:r>
    </w:p>
    <w:p w14:paraId="319220AE" w14:textId="3B3AEEB3" w:rsidR="00C24F42" w:rsidRPr="00E04728" w:rsidRDefault="00C24F42" w:rsidP="00C24F42">
      <w:pPr>
        <w:tabs>
          <w:tab w:val="left" w:pos="426"/>
          <w:tab w:val="left" w:pos="993"/>
          <w:tab w:val="left" w:pos="1418"/>
        </w:tabs>
        <w:spacing w:line="276" w:lineRule="auto"/>
      </w:pPr>
      <w:r w:rsidRPr="00E04728">
        <w:t>Զուգահեռաբար նոր քրեական օրենսգրքի շրջանակում ընդլայնվեց կոռուպցիոն հանցագործությունների շրջանակը և բարելավվեցին հանցակազմերը։ Կոռուպցիոն հանցագործությունների մինչդատական քրեական վարույթի ընթացի վերաբերյալ վիճակագրության վարման և դրանց վերլուծության վերկառուցակարգերը կատարելագործվեցին, կոռուպցիոն հանցագործությունների քննության մեթոդական փաստաթուղթը մշակվեց։</w:t>
      </w:r>
    </w:p>
    <w:p w14:paraId="4CBB4624" w14:textId="77777777" w:rsidR="00630268" w:rsidRPr="00E04728" w:rsidRDefault="00630268" w:rsidP="00630268">
      <w:pPr>
        <w:tabs>
          <w:tab w:val="left" w:pos="426"/>
          <w:tab w:val="left" w:pos="993"/>
          <w:tab w:val="left" w:pos="1418"/>
        </w:tabs>
        <w:spacing w:line="276" w:lineRule="auto"/>
      </w:pPr>
      <w:r w:rsidRPr="00E04728">
        <w:t xml:space="preserve">Այդուհանդերձ, հակակոռուպցիոն մասնագիտացված ինստիտուցիոնալ մարմինների ձևավորման պայմաններում, դեռևս լրիվությամբ ապահովված չեն այդ մարմինների արդյունավետ գործունեության գործիքակազմերն ու կարողությունները։ Հակակոռուպցիոն կոմիտեն, հակակոռուպցիոն մասնագիտացված դատարանները, ՀՀ գլխավոր դատախազության </w:t>
      </w:r>
      <w:r w:rsidRPr="00E04728">
        <w:rPr>
          <w:color w:val="000000" w:themeColor="text1"/>
        </w:rPr>
        <w:t>հակակոռուպցիոն կոմիտեում մինչդատական վարույթի օրինականության նկատմամբ հսկողության վարչության</w:t>
      </w:r>
      <w:r w:rsidRPr="00E04728">
        <w:t xml:space="preserve"> և ապօրինի ծագում ունեցող գույքի բռնագանձման գործերով վարչությունները կարիք ունեն անձնակազմերի համալրման, կարողությունների զարգացման, օրենքով վերապահված լիազորությունները կյանքի կոչելու գործիքների ու կառուցակարգերի ներդրման և առկա կառուցակարգերի զարգացման:</w:t>
      </w:r>
    </w:p>
    <w:p w14:paraId="477EB409" w14:textId="77777777" w:rsidR="00630268" w:rsidRPr="00E04728" w:rsidRDefault="00630268" w:rsidP="00630268">
      <w:pPr>
        <w:tabs>
          <w:tab w:val="left" w:pos="426"/>
        </w:tabs>
        <w:spacing w:line="276" w:lineRule="auto"/>
      </w:pPr>
      <w:r w:rsidRPr="00E04728">
        <w:t>«Կոռուպցիայի դեմ» կոնվենցիայի 13-րդ հոդվածի 2-րդ մասի համաձայն՝ Յյուրաքանչյուր Մասնակից պետություն պետք է համապատասխան միջոցներ ձեռնարկի` ապահովելու համար, որ սույն Կոնվենցիայում հիշատակված հակակոռուպցիոն մարմինները հայտնի լինեն հանրությանը, և պետք է ապահովի մուտքը դեպի այդ մարմինները, այդ թվում՝ անանուն ձևով` ամեն մի դեպքի մասին նրանց հաղորդումներ տրամադրելու համար, որը կարող են դիտարկվել որպես իրավախախտում` սույն Կոնվենցիային համապատասխան։</w:t>
      </w:r>
    </w:p>
    <w:p w14:paraId="62CD98C1" w14:textId="77777777" w:rsidR="00630268" w:rsidRPr="00E04728" w:rsidRDefault="00630268" w:rsidP="00630268">
      <w:pPr>
        <w:tabs>
          <w:tab w:val="left" w:pos="426"/>
        </w:tabs>
        <w:spacing w:line="276" w:lineRule="auto"/>
      </w:pPr>
      <w:r w:rsidRPr="00E04728">
        <w:t xml:space="preserve">Այս տեսանկյունից պետք է նշել, որ պետության հակակոռուպցիոն պայքարի կարևոր բաղադրիչ է ազդարարման ինստիտուտը, որի գործարկման հիմքը դրվել է 2017 թվականի հունիսի 9-ին «Ազդարարման համակարգի մասին» օրենքի ընդունմամբ։ </w:t>
      </w:r>
    </w:p>
    <w:p w14:paraId="046A1C01" w14:textId="77777777" w:rsidR="00630268" w:rsidRPr="00E04728" w:rsidRDefault="00630268" w:rsidP="00630268">
      <w:pPr>
        <w:tabs>
          <w:tab w:val="left" w:pos="426"/>
        </w:tabs>
        <w:spacing w:line="276" w:lineRule="auto"/>
      </w:pPr>
      <w:r w:rsidRPr="00E04728">
        <w:t>Նպատակ ունենալով ապահովել ազդարարման համակարգի շարունակական զարգացումը և շտկել գործող օրենսդրական կարգավորումների որոշ թերությունները, այդ թվում արձանագրված «ՏՀԶԿ (2022) Հակակոռուպցիոն բարեփոխումները Հայաստանում</w:t>
      </w:r>
      <w:r w:rsidRPr="00E04728">
        <w:rPr>
          <w:rFonts w:ascii="MS Mincho" w:eastAsia="MS Mincho" w:hAnsi="MS Mincho" w:cs="MS Mincho" w:hint="eastAsia"/>
        </w:rPr>
        <w:t>․</w:t>
      </w:r>
      <w:r w:rsidRPr="00E04728">
        <w:t xml:space="preserve"> Ստամբուլյան հակակոռուպցիոն գործողությունների ծրագրի պիլոտային մոնիթորինգի 5-րդ փուլի վերաբերյալ» զեկույցի դիտարկումներում (ցուցիչներ 4.1.1-4.3.2) ՀՀ Կառավարության </w:t>
      </w:r>
      <w:r w:rsidRPr="00E04728">
        <w:lastRenderedPageBreak/>
        <w:t>կողմից նախաձեռնվել են օրենսդրական փոփոխություններ, որոնց արդյունքում լուծվել են այնպիսի խնդիրներ, ինչպիսիք են՝</w:t>
      </w:r>
    </w:p>
    <w:p w14:paraId="75C0F773" w14:textId="77777777" w:rsidR="00630268" w:rsidRPr="00E04728" w:rsidRDefault="00630268" w:rsidP="00630268">
      <w:pPr>
        <w:numPr>
          <w:ilvl w:val="0"/>
          <w:numId w:val="5"/>
        </w:numPr>
        <w:tabs>
          <w:tab w:val="left" w:pos="426"/>
          <w:tab w:val="left" w:pos="851"/>
          <w:tab w:val="left" w:pos="1134"/>
        </w:tabs>
        <w:spacing w:line="276" w:lineRule="auto"/>
        <w:ind w:left="0" w:firstLine="567"/>
        <w:contextualSpacing/>
      </w:pPr>
      <w:r w:rsidRPr="00E04728">
        <w:t xml:space="preserve">ազդարարման հասկացության ընդլայնումն, հանրային ազդարարման կառուցակարգի սահմանումը, </w:t>
      </w:r>
    </w:p>
    <w:p w14:paraId="06E1F39D" w14:textId="77777777" w:rsidR="00630268" w:rsidRPr="00E04728" w:rsidRDefault="00630268" w:rsidP="00630268">
      <w:pPr>
        <w:numPr>
          <w:ilvl w:val="0"/>
          <w:numId w:val="5"/>
        </w:numPr>
        <w:tabs>
          <w:tab w:val="left" w:pos="426"/>
          <w:tab w:val="left" w:pos="851"/>
          <w:tab w:val="left" w:pos="1134"/>
        </w:tabs>
        <w:spacing w:line="276" w:lineRule="auto"/>
        <w:ind w:left="0" w:firstLine="567"/>
        <w:contextualSpacing/>
      </w:pPr>
      <w:r w:rsidRPr="00E04728">
        <w:t xml:space="preserve"> ազդարարման տարածումը պետական մասնակցություն չունեցող կամ հանրային նշանակության կարգավիճակ չունեցող իրավաբանական անձանց վրա, </w:t>
      </w:r>
    </w:p>
    <w:p w14:paraId="254B72D4" w14:textId="77777777" w:rsidR="00630268" w:rsidRPr="00E04728" w:rsidRDefault="00630268" w:rsidP="00630268">
      <w:pPr>
        <w:numPr>
          <w:ilvl w:val="0"/>
          <w:numId w:val="5"/>
        </w:numPr>
        <w:tabs>
          <w:tab w:val="left" w:pos="426"/>
          <w:tab w:val="left" w:pos="851"/>
          <w:tab w:val="left" w:pos="1276"/>
        </w:tabs>
        <w:spacing w:line="276" w:lineRule="auto"/>
        <w:ind w:left="0" w:firstLine="567"/>
        <w:contextualSpacing/>
      </w:pPr>
      <w:r w:rsidRPr="00E04728">
        <w:t xml:space="preserve">ազդարարման հաղորդումների վերաբերյալ վիճակագրության վարումը, </w:t>
      </w:r>
    </w:p>
    <w:p w14:paraId="5A80E99C" w14:textId="77777777" w:rsidR="00630268" w:rsidRPr="00E04728" w:rsidRDefault="00630268" w:rsidP="00630268">
      <w:pPr>
        <w:numPr>
          <w:ilvl w:val="0"/>
          <w:numId w:val="5"/>
        </w:numPr>
        <w:tabs>
          <w:tab w:val="left" w:pos="426"/>
          <w:tab w:val="left" w:pos="851"/>
          <w:tab w:val="left" w:pos="1276"/>
        </w:tabs>
        <w:spacing w:line="276" w:lineRule="auto"/>
        <w:ind w:left="0" w:firstLine="567"/>
        <w:contextualSpacing/>
      </w:pPr>
      <w:r w:rsidRPr="00E04728">
        <w:t>ազդարարների պաշտպանության նպատակով կիրառվող միջոցների տեսակների ճշգրտումն և օրենքում դրանց սահմանումը և այլն</w:t>
      </w:r>
      <w:r w:rsidRPr="00E04728">
        <w:rPr>
          <w:vertAlign w:val="superscript"/>
        </w:rPr>
        <w:footnoteReference w:id="26"/>
      </w:r>
      <w:r w:rsidRPr="00E04728">
        <w:t>։</w:t>
      </w:r>
    </w:p>
    <w:p w14:paraId="1E8EE129" w14:textId="5C7E4C2F" w:rsidR="00630268" w:rsidRPr="00E04728" w:rsidRDefault="00837924" w:rsidP="00630268">
      <w:pPr>
        <w:tabs>
          <w:tab w:val="left" w:pos="284"/>
          <w:tab w:val="left" w:pos="426"/>
          <w:tab w:val="left" w:pos="709"/>
          <w:tab w:val="left" w:pos="851"/>
          <w:tab w:val="left" w:pos="993"/>
        </w:tabs>
        <w:spacing w:line="276" w:lineRule="auto"/>
      </w:pPr>
      <w:r w:rsidRPr="00E04728">
        <w:t xml:space="preserve">Այս համատեքստում  2022 թվականին կատարվեցին օրենսդրական բարեփոխումներ՝ ուղղված ազդարարման վարույթի կատարելագործմանը, </w:t>
      </w:r>
      <w:r w:rsidR="003B7EF4" w:rsidRPr="00E04728">
        <w:t xml:space="preserve">հանցագործության հատկանիշներ չպարունակող </w:t>
      </w:r>
      <w:r w:rsidRPr="00E04728">
        <w:t xml:space="preserve">կոռուպցիոն բնույթի  </w:t>
      </w:r>
      <w:r w:rsidR="003B7EF4" w:rsidRPr="00E04728">
        <w:t>դեպքերի (օրինակ, շահերի բախման կամ անհամատեղելիության դեպքերը և այլն) վերաբերյալ ազդարարման միասնական էլեկտրոնային հարթակով ազդարարման</w:t>
      </w:r>
      <w:r w:rsidR="005431AE" w:rsidRPr="00E04728">
        <w:t xml:space="preserve"> և դրանց ընթացք տալու կարգավորումների նախատեսմանը, ազդարարների պաշտպանության գործիքակազմի կատերլագործմանը</w:t>
      </w:r>
      <w:r w:rsidR="00670E22" w:rsidRPr="00E04728">
        <w:t xml:space="preserve"> և դրա համատեքստում Մարդու իրավունքների պաշտպանի դերակատարման շրջանակի սահմանմանը</w:t>
      </w:r>
      <w:r w:rsidR="005431AE" w:rsidRPr="00E04728">
        <w:t xml:space="preserve">։ </w:t>
      </w:r>
      <w:r w:rsidR="0009554B" w:rsidRPr="00E04728">
        <w:t>Նաև ավելացվեց ազդարարման նոր տեսակ՝ ազդարարում հան</w:t>
      </w:r>
      <w:r w:rsidR="00670E22" w:rsidRPr="00E04728">
        <w:t>րությանը, ինչ հնարավորություն կտ</w:t>
      </w:r>
      <w:r w:rsidR="0009554B" w:rsidRPr="00E04728">
        <w:t>ա ԶԼՄ-ների միջոցով ևս ապահովել ազդրարաման դեպքերի քննության հետևողականությանը։</w:t>
      </w:r>
      <w:r w:rsidR="00670E22" w:rsidRPr="00E04728">
        <w:t xml:space="preserve"> </w:t>
      </w:r>
      <w:r w:rsidR="0009554B" w:rsidRPr="00E04728">
        <w:t xml:space="preserve">Կատարելագործվեցին ազդարարման վիճակագրական կառուցակարգերը։ </w:t>
      </w:r>
      <w:r w:rsidR="00630268" w:rsidRPr="00E04728">
        <w:t>Չնայած ազդարարման համակարգի արդյունավետ գործարկման ուղղությամբ ձեռնարկված բարեփոխումներին, հարկ է նշել, որ դեռևս չի ապահովվել այս ինստիտուտի ներդրման հիմքերում նախանշված հիմնական նպատակների արդյունավետ իրացումը</w:t>
      </w:r>
      <w:r w:rsidR="00670E22" w:rsidRPr="00E04728">
        <w:t>, ինչպես նաև նշյալ իրավակարգավորումների կիրարկումը պրակտիկայում</w:t>
      </w:r>
      <w:r w:rsidR="00630268" w:rsidRPr="00E04728">
        <w:t>:</w:t>
      </w:r>
    </w:p>
    <w:p w14:paraId="6A60B36A" w14:textId="77777777" w:rsidR="00630268" w:rsidRPr="00E04728" w:rsidRDefault="00630268">
      <w:pPr>
        <w:tabs>
          <w:tab w:val="left" w:pos="450"/>
          <w:tab w:val="left" w:pos="851"/>
          <w:tab w:val="left" w:pos="1276"/>
        </w:tabs>
        <w:spacing w:line="276" w:lineRule="auto"/>
        <w:contextualSpacing/>
      </w:pPr>
    </w:p>
    <w:p w14:paraId="331DD59F" w14:textId="074993A8" w:rsidR="00630268" w:rsidRPr="00E04728" w:rsidRDefault="00630268" w:rsidP="00755A04">
      <w:pPr>
        <w:tabs>
          <w:tab w:val="left" w:pos="450"/>
          <w:tab w:val="left" w:pos="993"/>
          <w:tab w:val="left" w:pos="1418"/>
        </w:tabs>
        <w:spacing w:line="276" w:lineRule="auto"/>
        <w:ind w:firstLine="0"/>
        <w:rPr>
          <w:b/>
          <w:color w:val="000000" w:themeColor="text1"/>
        </w:rPr>
      </w:pPr>
    </w:p>
    <w:p w14:paraId="1A98FFC4" w14:textId="77777777" w:rsidR="00630268" w:rsidRPr="00E04728" w:rsidRDefault="00630268" w:rsidP="00630268">
      <w:pPr>
        <w:tabs>
          <w:tab w:val="left" w:pos="450"/>
          <w:tab w:val="left" w:pos="993"/>
          <w:tab w:val="left" w:pos="1418"/>
        </w:tabs>
        <w:spacing w:line="276" w:lineRule="auto"/>
        <w:ind w:firstLine="0"/>
        <w:jc w:val="center"/>
        <w:rPr>
          <w:b/>
          <w:color w:val="000000" w:themeColor="text1"/>
        </w:rPr>
      </w:pPr>
      <w:r w:rsidRPr="00E04728">
        <w:rPr>
          <w:b/>
          <w:color w:val="000000" w:themeColor="text1"/>
        </w:rPr>
        <w:t>ՌԱԶՄԱՎԱՐԱԿԱՆ ՈՒՂՂՈՒԹՅՈՒՆՆԵՐ</w:t>
      </w:r>
    </w:p>
    <w:p w14:paraId="7A98D538" w14:textId="77777777" w:rsidR="00630268" w:rsidRPr="00E04728" w:rsidRDefault="00630268" w:rsidP="00630268">
      <w:pPr>
        <w:tabs>
          <w:tab w:val="left" w:pos="450"/>
          <w:tab w:val="left" w:pos="993"/>
          <w:tab w:val="left" w:pos="1418"/>
        </w:tabs>
        <w:spacing w:line="276" w:lineRule="auto"/>
        <w:ind w:firstLine="0"/>
        <w:jc w:val="center"/>
        <w:rPr>
          <w:b/>
          <w:color w:val="000000" w:themeColor="text1"/>
        </w:rPr>
      </w:pPr>
    </w:p>
    <w:p w14:paraId="5438CF70" w14:textId="77777777" w:rsidR="00630268" w:rsidRPr="00E04728" w:rsidRDefault="00630268" w:rsidP="00630268">
      <w:pPr>
        <w:ind w:firstLine="0"/>
        <w:jc w:val="center"/>
        <w:rPr>
          <w:b/>
          <w:color w:val="000000" w:themeColor="text1"/>
        </w:rPr>
      </w:pPr>
      <w:r w:rsidRPr="00E04728">
        <w:rPr>
          <w:b/>
          <w:color w:val="000000" w:themeColor="text1"/>
        </w:rPr>
        <w:t>ՀԱԿԱԿՈՌՈՒՊՑԻՈՆ ՀԱԿԱԶԴՄԱՆ ԻՐԱՎԱՊԱՀ ՄԱՐՄԻՆՆԵՐԻ ԻՆՍՏԻՏՈՒՑԻՈՆԱԼ ՀԶՈՐԱՑՈՒՄ</w:t>
      </w:r>
    </w:p>
    <w:p w14:paraId="227ACC8A" w14:textId="77777777" w:rsidR="00630268" w:rsidRPr="00E04728" w:rsidRDefault="00630268" w:rsidP="00630268">
      <w:pPr>
        <w:tabs>
          <w:tab w:val="left" w:pos="0"/>
          <w:tab w:val="left" w:pos="1276"/>
        </w:tabs>
        <w:spacing w:line="276" w:lineRule="auto"/>
        <w:contextualSpacing/>
        <w:rPr>
          <w:b/>
          <w:color w:val="000000" w:themeColor="text1"/>
        </w:rPr>
      </w:pPr>
    </w:p>
    <w:p w14:paraId="5C057D3C" w14:textId="2F74F5DA" w:rsidR="00630268" w:rsidRPr="00E04728" w:rsidRDefault="00630268" w:rsidP="00630268">
      <w:pPr>
        <w:tabs>
          <w:tab w:val="left" w:pos="567"/>
          <w:tab w:val="left" w:pos="1276"/>
        </w:tabs>
        <w:spacing w:line="276" w:lineRule="auto"/>
        <w:contextualSpacing/>
        <w:rPr>
          <w:color w:val="000000"/>
          <w:highlight w:val="white"/>
        </w:rPr>
      </w:pPr>
      <w:r w:rsidRPr="00E04728">
        <w:rPr>
          <w:color w:val="000000"/>
          <w:highlight w:val="white"/>
        </w:rPr>
        <w:t>Կոռուպցիոն հանցագործությունների բացահայտման և քննության արդյունավետությունն ապահովելու նպատակով 2021 թվականին ստեղծվեց Հայաստանի Հանրապետության հակակոռուպցիոն կոմիտեն, իսկ «Հակակոռուպցիոն կոմիտեի մասին» օրենքով սահմանվեցին Կոմիտեի գործունեության կարգը, վերջինիս թափանցիկության և հաշվետվողականության ապահովմանն ուղղված մեխանիզմները</w:t>
      </w:r>
      <w:r w:rsidR="00A15672" w:rsidRPr="00E04728">
        <w:rPr>
          <w:rStyle w:val="FootnoteReference"/>
          <w:color w:val="000000"/>
          <w:highlight w:val="white"/>
        </w:rPr>
        <w:footnoteReference w:id="27"/>
      </w:r>
      <w:r w:rsidRPr="00E04728">
        <w:rPr>
          <w:color w:val="000000"/>
          <w:highlight w:val="white"/>
        </w:rPr>
        <w:t xml:space="preserve">: Ներկայումս, թեև ստեղծվել են Հակակոռուպցիոն կոմիտեի բնականոն գործունեության ապահովման </w:t>
      </w:r>
      <w:r w:rsidRPr="00E04728">
        <w:rPr>
          <w:color w:val="000000"/>
          <w:highlight w:val="white"/>
        </w:rPr>
        <w:lastRenderedPageBreak/>
        <w:t xml:space="preserve">նախապայմանները, Կոմիտեին վերապահված գործառույթների իրականացման արդյունավետությունը բարձրացնելու նպատակով անհրաժեշտ է </w:t>
      </w:r>
      <w:r w:rsidRPr="00E04728">
        <w:rPr>
          <w:color w:val="000000" w:themeColor="text1"/>
        </w:rPr>
        <w:t xml:space="preserve">երաշխավորել </w:t>
      </w:r>
      <w:r w:rsidRPr="00E04728">
        <w:rPr>
          <w:i/>
          <w:color w:val="000000" w:themeColor="text1"/>
        </w:rPr>
        <w:t>Հակակոռուպցիոն կոմիտեի ինստիտուցիոնալ հզորացումը</w:t>
      </w:r>
      <w:r w:rsidRPr="00E04728">
        <w:rPr>
          <w:color w:val="000000" w:themeColor="text1"/>
        </w:rPr>
        <w:t xml:space="preserve">: Ըստ այդմ, անհրաժեշտ է </w:t>
      </w:r>
      <w:r w:rsidRPr="00E04728">
        <w:rPr>
          <w:color w:val="000000"/>
          <w:highlight w:val="white"/>
        </w:rPr>
        <w:t xml:space="preserve">իրականացնել շարունակական աշխատանք՝ Կոմիտեի կարողությունների զարգացման, վերջինիս անկախության, գործունեության թափանցիկության և հաշվետվողականության երաշխիքների ամրապնդման ուղղությամբ։ Միաժամանակ, </w:t>
      </w:r>
      <w:r w:rsidRPr="00E04728">
        <w:rPr>
          <w:color w:val="000000" w:themeColor="text1"/>
        </w:rPr>
        <w:t>Հակակոռուպցիոն կոմիտեի անկախության երաշխավորման տեսանկյունից կարևորվում է նաև վերջինիս ձևավորման կարգի վերանայումը</w:t>
      </w:r>
      <w:r w:rsidR="00F226AE" w:rsidRPr="00E04728">
        <w:rPr>
          <w:color w:val="000000" w:themeColor="text1"/>
        </w:rPr>
        <w:t xml:space="preserve">՝ Կոմիտեին  </w:t>
      </w:r>
      <w:r w:rsidR="00260CA2" w:rsidRPr="00E04728">
        <w:rPr>
          <w:color w:val="000000" w:themeColor="text1"/>
        </w:rPr>
        <w:t>նախագահի</w:t>
      </w:r>
      <w:r w:rsidR="00F226AE" w:rsidRPr="00E04728">
        <w:rPr>
          <w:color w:val="000000" w:themeColor="text1"/>
        </w:rPr>
        <w:t xml:space="preserve"> </w:t>
      </w:r>
      <w:r w:rsidR="00260CA2" w:rsidRPr="00E04728">
        <w:rPr>
          <w:color w:val="000000" w:themeColor="text1"/>
        </w:rPr>
        <w:t>և վերջինիս</w:t>
      </w:r>
      <w:r w:rsidR="00F226AE" w:rsidRPr="00E04728">
        <w:rPr>
          <w:color w:val="000000" w:themeColor="text1"/>
        </w:rPr>
        <w:t xml:space="preserve"> </w:t>
      </w:r>
      <w:r w:rsidR="00260CA2" w:rsidRPr="00E04728">
        <w:rPr>
          <w:color w:val="000000" w:themeColor="text1"/>
        </w:rPr>
        <w:t>տեղակալների</w:t>
      </w:r>
      <w:r w:rsidR="00F226AE" w:rsidRPr="00E04728">
        <w:rPr>
          <w:color w:val="000000" w:themeColor="text1"/>
        </w:rPr>
        <w:t xml:space="preserve"> </w:t>
      </w:r>
      <w:r w:rsidR="00260CA2" w:rsidRPr="00E04728">
        <w:rPr>
          <w:color w:val="000000" w:themeColor="text1"/>
        </w:rPr>
        <w:t xml:space="preserve"> նշանակման ա</w:t>
      </w:r>
      <w:r w:rsidR="00F226AE" w:rsidRPr="00E04728">
        <w:rPr>
          <w:color w:val="000000" w:themeColor="text1"/>
        </w:rPr>
        <w:t>ռ</w:t>
      </w:r>
      <w:r w:rsidR="00260CA2" w:rsidRPr="00E04728">
        <w:rPr>
          <w:color w:val="000000" w:themeColor="text1"/>
        </w:rPr>
        <w:t>ն</w:t>
      </w:r>
      <w:r w:rsidR="00F226AE" w:rsidRPr="00E04728">
        <w:rPr>
          <w:color w:val="000000" w:themeColor="text1"/>
        </w:rPr>
        <w:t>չությամբ հնարավոր ռիսկերի մեղմացման անհրաժեշտությունը</w:t>
      </w:r>
      <w:r w:rsidRPr="00E04728">
        <w:rPr>
          <w:color w:val="000000" w:themeColor="text1"/>
        </w:rPr>
        <w:t xml:space="preserve">: Բացի </w:t>
      </w:r>
      <w:r w:rsidRPr="00E04728">
        <w:rPr>
          <w:color w:val="000000"/>
          <w:highlight w:val="white"/>
        </w:rPr>
        <w:t xml:space="preserve">այդ, թեև </w:t>
      </w:r>
      <w:r w:rsidRPr="00E04728">
        <w:rPr>
          <w:highlight w:val="white"/>
        </w:rPr>
        <w:t>«</w:t>
      </w:r>
      <w:r w:rsidRPr="00E04728">
        <w:rPr>
          <w:color w:val="000000"/>
          <w:highlight w:val="white"/>
        </w:rPr>
        <w:t xml:space="preserve">Հակակոռուպցիոն կոմիտեի մասին» օրենքը սահմանում է Կոմիտեի գործունեության հաշվետվողականության և թափանցիկությանն ուղղված որոշակի կարգավորումներ, դրանք ևս ունեն բարելավման կարիք՝ նկատի ունենալով </w:t>
      </w:r>
      <w:r w:rsidR="009D7F6E" w:rsidRPr="00E04728">
        <w:rPr>
          <w:color w:val="000000"/>
          <w:highlight w:val="white"/>
        </w:rPr>
        <w:t>հաշվետվողականության</w:t>
      </w:r>
      <w:r w:rsidRPr="00E04728">
        <w:rPr>
          <w:color w:val="000000"/>
          <w:highlight w:val="white"/>
        </w:rPr>
        <w:t xml:space="preserve"> շրջանակի՝ օրենքով ամրագրելու անհրաժեշտությունը։</w:t>
      </w:r>
    </w:p>
    <w:p w14:paraId="3FE446E8" w14:textId="3C96A90B" w:rsidR="00630268" w:rsidRPr="00E04728" w:rsidRDefault="00630268" w:rsidP="00AA70E2">
      <w:pPr>
        <w:tabs>
          <w:tab w:val="left" w:pos="567"/>
          <w:tab w:val="left" w:pos="1276"/>
        </w:tabs>
        <w:spacing w:line="276" w:lineRule="auto"/>
        <w:contextualSpacing/>
        <w:rPr>
          <w:color w:val="000000"/>
          <w:highlight w:val="white"/>
        </w:rPr>
      </w:pPr>
      <w:r w:rsidRPr="00E04728">
        <w:rPr>
          <w:color w:val="000000"/>
          <w:highlight w:val="white"/>
        </w:rPr>
        <w:t>Հակակոռուպցիոն ինստիտուցիոնալ համակարգի հաջորդ կարևոր բաղադրիչը Կոմիտեի գործունեության նկատմամբ անկախ և անաչառ հսկողության իրականացման նպատակով ՀՀ գլխավոր դատախազության համակարգում մասնագիտացված ստորաբաժանման ձևավորումն ու վերջինիս բնականոն գործունեության ապահովումն է։</w:t>
      </w:r>
      <w:r w:rsidR="00AA70E2" w:rsidRPr="00E04728">
        <w:rPr>
          <w:color w:val="000000"/>
          <w:highlight w:val="white"/>
        </w:rPr>
        <w:t xml:space="preserve"> </w:t>
      </w:r>
      <w:r w:rsidRPr="00E04728">
        <w:rPr>
          <w:color w:val="000000"/>
          <w:highlight w:val="white"/>
        </w:rPr>
        <w:t xml:space="preserve">Վարչության հաստիքների ճնշող մեծամասնությունը համալրվել է, համապատասխան պաշտոններում նշանակումն իրականացվել է բարեվարքության ստուգման արդյունքներով, դատախազների մեծ մասն անցել է անհրաժեշտ վերապատրաստումներ։ Այնուամենայնիվ, անհրաժեշտ է ձեռնարկել շարունակական քայլեր կոռուպցիոն հանցագործությունների քննության նկատմամբ հսկողությունն ուժեղացնելու, այդ թվում՝ Հակակոռուպցիոն կոմիտեի կողմից իրականացվող մինչդատական քրեական վարույթի օրինականության նկատմամբ հսկողություն իրականացնող դատախազների կարողությունների </w:t>
      </w:r>
      <w:r w:rsidR="00B766BF" w:rsidRPr="00E04728">
        <w:rPr>
          <w:color w:val="000000"/>
          <w:highlight w:val="white"/>
        </w:rPr>
        <w:t xml:space="preserve">շարունակական </w:t>
      </w:r>
      <w:r w:rsidRPr="00E04728">
        <w:rPr>
          <w:color w:val="000000"/>
          <w:highlight w:val="white"/>
        </w:rPr>
        <w:t xml:space="preserve">զարգացման միջոցով։ </w:t>
      </w:r>
    </w:p>
    <w:p w14:paraId="3380FEA2" w14:textId="074E4681" w:rsidR="00630268" w:rsidRPr="00E04728" w:rsidRDefault="00630268" w:rsidP="00630268">
      <w:pPr>
        <w:tabs>
          <w:tab w:val="left" w:pos="567"/>
          <w:tab w:val="left" w:pos="1276"/>
        </w:tabs>
        <w:spacing w:line="276" w:lineRule="auto"/>
        <w:contextualSpacing/>
        <w:rPr>
          <w:color w:val="000000" w:themeColor="text1"/>
        </w:rPr>
      </w:pPr>
      <w:r w:rsidRPr="00E04728">
        <w:rPr>
          <w:color w:val="000000" w:themeColor="text1"/>
        </w:rPr>
        <w:t>Հակակոռուպցիոն հակազդման իրավապահ մարմինների ինստիտուցիոնալ հզորացումը պահանջում է նաև Կոմիտեի քննիչների, ՀՀ գլխավոր դատախազության հակակոռուպցիոն կոմիտեում մինչդատական վարույթի օրինականության նկատմամբ հսկողության վարչության, ապօրինի ծագում ունեցող գույքի բռնագանձման վարչության դատախազների կոռուպցիայի դեմ պայքարի թեմաներով` այդ թվում կոռուպցիոն հանցագործությունների բացահայտման և քննության վերաբերյալ մշակված նյութերով, մասնագիտական պատրաստումների և վերապատրաստումների անցկացում</w:t>
      </w:r>
      <w:r w:rsidR="00B766BF" w:rsidRPr="00E04728">
        <w:rPr>
          <w:color w:val="000000" w:themeColor="text1"/>
        </w:rPr>
        <w:t>, որի համատեսքտում ևս շարունակականություն և համակողմանիություն ապահովող կառուցակարգեր պետք է ներդրվեն։</w:t>
      </w:r>
    </w:p>
    <w:p w14:paraId="76B56A36" w14:textId="6FA1E2EF" w:rsidR="00630268" w:rsidRPr="00E04728" w:rsidRDefault="00630268" w:rsidP="00630268">
      <w:pPr>
        <w:tabs>
          <w:tab w:val="left" w:pos="426"/>
          <w:tab w:val="left" w:pos="1276"/>
        </w:tabs>
        <w:spacing w:line="276" w:lineRule="auto"/>
        <w:rPr>
          <w:color w:val="000000" w:themeColor="text1"/>
          <w:highlight w:val="yellow"/>
        </w:rPr>
      </w:pPr>
      <w:r w:rsidRPr="00E04728">
        <w:rPr>
          <w:color w:val="000000" w:themeColor="text1"/>
        </w:rPr>
        <w:t xml:space="preserve">2019-2022թթ. հակակոռուպցիոն ռազմավարության իրականացման արդյունքում ապահովվեց կոռուպցիոն հանցագործությունների շրջանակի հստակեցումը: Այդուհանդերձ, կոռուպցիոն հանցանքների ցանկի, ինչպես նաև դրանց քննչական ենթակայության առնչությամբ </w:t>
      </w:r>
      <w:r w:rsidRPr="007A31CA">
        <w:rPr>
          <w:color w:val="000000" w:themeColor="text1"/>
        </w:rPr>
        <w:t xml:space="preserve">վերջերս մի շարք խնդիրներ են բարձրաձայնվել: </w:t>
      </w:r>
      <w:r w:rsidR="007A31CA" w:rsidRPr="00BA6EE5">
        <w:rPr>
          <w:color w:val="000000" w:themeColor="text1"/>
        </w:rPr>
        <w:t xml:space="preserve">Մասնավորապես, </w:t>
      </w:r>
      <w:r w:rsidR="007A31CA">
        <w:rPr>
          <w:color w:val="000000" w:themeColor="text1"/>
        </w:rPr>
        <w:t xml:space="preserve">որոշ հանցանքների դեպքում </w:t>
      </w:r>
      <w:r w:rsidR="007A31CA" w:rsidRPr="00BA6EE5">
        <w:rPr>
          <w:color w:val="000000" w:themeColor="text1"/>
        </w:rPr>
        <w:t xml:space="preserve">հստակ չէ, թե ինչ չափանիշների հիման վրա է եղել </w:t>
      </w:r>
      <w:r w:rsidR="007A31CA">
        <w:rPr>
          <w:color w:val="000000" w:themeColor="text1"/>
        </w:rPr>
        <w:t xml:space="preserve">դրանց </w:t>
      </w:r>
      <w:r w:rsidR="007A31CA" w:rsidRPr="00BA6EE5">
        <w:rPr>
          <w:color w:val="000000" w:themeColor="text1"/>
        </w:rPr>
        <w:lastRenderedPageBreak/>
        <w:t>կոռուպցիոն և ոչ կոռուպցիոն դասակարգումը</w:t>
      </w:r>
      <w:r w:rsidR="007A31CA">
        <w:rPr>
          <w:color w:val="000000" w:themeColor="text1"/>
        </w:rPr>
        <w:t xml:space="preserve">: Բացի այդ, կատարված ուսումնասիրություններով բարձրաձայնվել է նաև այն հարցադրումը, թե </w:t>
      </w:r>
      <w:r w:rsidR="007A31CA" w:rsidRPr="00BA6EE5">
        <w:rPr>
          <w:color w:val="000000" w:themeColor="text1"/>
        </w:rPr>
        <w:t>արդյոք կոռուպցիոն հանցանքների ցանկում ներառված հանցանքները սպառիչ են:</w:t>
      </w:r>
      <w:r w:rsidR="007A31CA">
        <w:rPr>
          <w:color w:val="000000" w:themeColor="text1"/>
          <w:sz w:val="16"/>
          <w:szCs w:val="16"/>
        </w:rPr>
        <w:t xml:space="preserve"> </w:t>
      </w:r>
      <w:r w:rsidRPr="00E04728">
        <w:rPr>
          <w:color w:val="000000" w:themeColor="text1"/>
        </w:rPr>
        <w:t xml:space="preserve">Ուստի, անհրաժեշտ է իրականացնել </w:t>
      </w:r>
      <w:r w:rsidRPr="00E04728">
        <w:rPr>
          <w:i/>
          <w:color w:val="000000" w:themeColor="text1"/>
        </w:rPr>
        <w:t>կոռուպցիոն հանցագործությունների շրջանակի վերաբերյալ ուսումնասիրություն, ըստ անհրաժեշտության՝ շրջանակի, քննչական ենթակայության վերաբերյալ կանոնակարգերի վերանայում:</w:t>
      </w:r>
    </w:p>
    <w:p w14:paraId="28B87FE5" w14:textId="287C5262" w:rsidR="00630268" w:rsidRPr="00E04728" w:rsidRDefault="00630268" w:rsidP="00630268">
      <w:pPr>
        <w:tabs>
          <w:tab w:val="left" w:pos="426"/>
          <w:tab w:val="left" w:pos="1276"/>
        </w:tabs>
        <w:spacing w:line="276" w:lineRule="auto"/>
        <w:rPr>
          <w:color w:val="000000" w:themeColor="text1"/>
        </w:rPr>
      </w:pPr>
      <w:r w:rsidRPr="00E04728">
        <w:rPr>
          <w:color w:val="000000" w:themeColor="text1"/>
        </w:rPr>
        <w:t>Կոռուպցիոն հանցագործությունների բացահայտման և քննության արդյունավետությունը երաշխավորելու համար</w:t>
      </w:r>
      <w:r w:rsidR="00A32CE9" w:rsidRPr="00E04728">
        <w:rPr>
          <w:color w:val="000000" w:themeColor="text1"/>
        </w:rPr>
        <w:t xml:space="preserve"> անհրաժեշտ է դիտարկել </w:t>
      </w:r>
      <w:r w:rsidRPr="00E04728">
        <w:rPr>
          <w:i/>
          <w:color w:val="000000" w:themeColor="text1"/>
        </w:rPr>
        <w:t>կոռուպցիոն հանցագործությունների բացահայտման և քննության համապարփակ մեթոդիկայի և ուղեցույցների մշակում</w:t>
      </w:r>
      <w:r w:rsidR="00A32CE9" w:rsidRPr="00E04728">
        <w:rPr>
          <w:i/>
          <w:color w:val="000000" w:themeColor="text1"/>
        </w:rPr>
        <w:t>ը</w:t>
      </w:r>
      <w:r w:rsidR="00A32CE9" w:rsidRPr="00E04728">
        <w:rPr>
          <w:color w:val="000000" w:themeColor="text1"/>
        </w:rPr>
        <w:t xml:space="preserve">՝ </w:t>
      </w:r>
      <w:r w:rsidR="00A94165" w:rsidRPr="00E04728">
        <w:rPr>
          <w:color w:val="000000" w:themeColor="text1"/>
        </w:rPr>
        <w:t>որը</w:t>
      </w:r>
      <w:r w:rsidR="00A32CE9" w:rsidRPr="00E04728">
        <w:rPr>
          <w:color w:val="000000" w:themeColor="text1"/>
        </w:rPr>
        <w:t xml:space="preserve"> կներառի մինչդատական քրեկան վարույթի փուլից մինչև դատական քննության փուլ</w:t>
      </w:r>
      <w:r w:rsidR="00A94165" w:rsidRPr="00E04728">
        <w:rPr>
          <w:color w:val="000000" w:themeColor="text1"/>
        </w:rPr>
        <w:t>ը</w:t>
      </w:r>
      <w:r w:rsidRPr="00E04728">
        <w:rPr>
          <w:color w:val="000000" w:themeColor="text1"/>
        </w:rPr>
        <w:t>:</w:t>
      </w:r>
    </w:p>
    <w:p w14:paraId="490F4BC8" w14:textId="77777777" w:rsidR="00630268" w:rsidRPr="00E04728" w:rsidRDefault="00630268" w:rsidP="00630268">
      <w:pPr>
        <w:tabs>
          <w:tab w:val="left" w:pos="426"/>
          <w:tab w:val="left" w:pos="1276"/>
        </w:tabs>
        <w:spacing w:line="276" w:lineRule="auto"/>
        <w:rPr>
          <w:color w:val="000000" w:themeColor="text1"/>
        </w:rPr>
      </w:pPr>
      <w:r w:rsidRPr="00E04728">
        <w:rPr>
          <w:color w:val="000000" w:themeColor="text1"/>
        </w:rPr>
        <w:t xml:space="preserve">Միաժամանակ, նկատի ունենալով հակակոռուպցիոն հակազդման իրավապահ մարմինների գործունեության ոլորտի առանձնահատկությունները և նրանից կողմից քննարկման առարկա դարձվող հարցերի ֆինանսական տարրը` անհրաժեշտ է երաշխավորել </w:t>
      </w:r>
      <w:r w:rsidRPr="00E04728">
        <w:rPr>
          <w:i/>
          <w:color w:val="000000" w:themeColor="text1"/>
        </w:rPr>
        <w:t>տնտեսագիտական/ֆինանսական և անհրաժեշտ այլ ոլորտներում գիտելիքներ ունեցող փորձագետների հակակոռուպցիոն հակազդման իրավապահ մարմինների աշխատանքներին ներգրավվելու մեխանիզմի ներդրումը:</w:t>
      </w:r>
    </w:p>
    <w:p w14:paraId="0B099F91" w14:textId="77777777" w:rsidR="00630268" w:rsidRPr="006423D2" w:rsidRDefault="00630268" w:rsidP="00630268">
      <w:pPr>
        <w:jc w:val="center"/>
        <w:rPr>
          <w:b/>
          <w:color w:val="000000" w:themeColor="text1"/>
        </w:rPr>
      </w:pPr>
    </w:p>
    <w:p w14:paraId="06169BC1" w14:textId="654B0B9E" w:rsidR="00630268" w:rsidRPr="00E04728" w:rsidRDefault="00630268" w:rsidP="00630268">
      <w:pPr>
        <w:ind w:firstLine="0"/>
        <w:jc w:val="center"/>
        <w:rPr>
          <w:b/>
          <w:color w:val="000000" w:themeColor="text1"/>
        </w:rPr>
      </w:pPr>
      <w:r w:rsidRPr="00E04728">
        <w:rPr>
          <w:b/>
          <w:color w:val="000000" w:themeColor="text1"/>
        </w:rPr>
        <w:t>ՀԱԿԱԿՈՌՈՒՊՑԻՈՆ ԴԱՏԱՐԱՆՆԵՐԻ ԻՆՍՏԻՏՈՒՑԻՈՆԱԼ ՀԶՈՐԱՑՈՒՄ</w:t>
      </w:r>
    </w:p>
    <w:p w14:paraId="2C61DE1B" w14:textId="77777777" w:rsidR="00630268" w:rsidRPr="00E04728" w:rsidRDefault="00630268" w:rsidP="00630268">
      <w:pPr>
        <w:tabs>
          <w:tab w:val="left" w:pos="1276"/>
        </w:tabs>
        <w:spacing w:line="276" w:lineRule="auto"/>
        <w:contextualSpacing/>
        <w:rPr>
          <w:b/>
          <w:color w:val="000000" w:themeColor="text1"/>
        </w:rPr>
      </w:pPr>
    </w:p>
    <w:p w14:paraId="2D045C7D" w14:textId="227B1F69" w:rsidR="00630268" w:rsidRPr="00E04728" w:rsidRDefault="00630268" w:rsidP="000E6C21">
      <w:pPr>
        <w:spacing w:line="276" w:lineRule="auto"/>
        <w:contextualSpacing/>
        <w:rPr>
          <w:color w:val="000000" w:themeColor="text1"/>
        </w:rPr>
      </w:pPr>
      <w:r w:rsidRPr="00E04728">
        <w:rPr>
          <w:color w:val="000000" w:themeColor="text1"/>
        </w:rPr>
        <w:t>2019-2022 թվականների հակակոռուպցիոն ռազմավարության շրջանակներում նախատեսվել էր մասնագիտացված դատարանների ստեղծում: Վերոգրյալի հաշվառմամբ 2022 թվականին ձևավորվեց Հակակոռուպցիոն մասնագիտացված դատարանը, Վերաքննիչ դատարանում քննարկվող գործերը սկսեցին քննվել մասնագիտացված դատարանների կողմից, իսկ Վճռաբեկ դատարանում ձևավորվեց Հակակոռուպցիոն պալատը: Միաժամանակ, 2024 թվականի հունվարի 1-ից կսկսի գործել Հակակոռուպցիոն վերաքննիչ դատարանը:</w:t>
      </w:r>
      <w:r w:rsidR="00B75B3C">
        <w:rPr>
          <w:color w:val="000000" w:themeColor="text1"/>
        </w:rPr>
        <w:t xml:space="preserve"> Չ</w:t>
      </w:r>
      <w:r w:rsidR="00A94165" w:rsidRPr="00E04728">
        <w:rPr>
          <w:color w:val="000000" w:themeColor="text1"/>
        </w:rPr>
        <w:t>նայած ն</w:t>
      </w:r>
      <w:r w:rsidR="009C11C0" w:rsidRPr="00E04728">
        <w:rPr>
          <w:color w:val="000000" w:themeColor="text1"/>
        </w:rPr>
        <w:t>շ</w:t>
      </w:r>
      <w:r w:rsidR="00A94165" w:rsidRPr="00E04728">
        <w:rPr>
          <w:color w:val="000000" w:themeColor="text1"/>
        </w:rPr>
        <w:t xml:space="preserve">յալ դատարանների նոր լինելուն՝ հակակոռուպցիոն միջազգային պարտավորությունների և հակակոռուպցիոն ինստիտուցիոնալ հզորացման համատեքստում </w:t>
      </w:r>
      <w:r w:rsidRPr="00E04728">
        <w:rPr>
          <w:color w:val="000000" w:themeColor="text1"/>
        </w:rPr>
        <w:t xml:space="preserve">կարևոր է ապահովել </w:t>
      </w:r>
      <w:r w:rsidR="009C11C0" w:rsidRPr="00E04728">
        <w:rPr>
          <w:color w:val="000000" w:themeColor="text1"/>
        </w:rPr>
        <w:t>հակակոռուպցիոն</w:t>
      </w:r>
      <w:r w:rsidRPr="00E04728">
        <w:rPr>
          <w:color w:val="000000" w:themeColor="text1"/>
        </w:rPr>
        <w:t xml:space="preserve"> </w:t>
      </w:r>
      <w:r w:rsidR="009C11C0" w:rsidRPr="00E04728">
        <w:rPr>
          <w:color w:val="000000" w:themeColor="text1"/>
        </w:rPr>
        <w:t>դատարանների</w:t>
      </w:r>
      <w:r w:rsidRPr="00E04728">
        <w:rPr>
          <w:color w:val="000000" w:themeColor="text1"/>
        </w:rPr>
        <w:t xml:space="preserve"> ինստիտուցիոնալ կարողությունների շարունակական զարգացման հնարավորությունը՝ համապատասխան գործեր քննող դատավորների մասնագիտական բարձր պատրաստվածությունը ապահովելու</w:t>
      </w:r>
      <w:r w:rsidR="00176C1F" w:rsidRPr="00E04728">
        <w:rPr>
          <w:color w:val="000000" w:themeColor="text1"/>
        </w:rPr>
        <w:t>, կոռուպցիոն բնույթի գործերի քննության առանձնահատկությունների, այդ թվում՝ միջազգային առկա ստանդարտների հաշվառմամբ շարունակական հիմունքներով պարբերական վերապատրաստումների անցկացման</w:t>
      </w:r>
      <w:r w:rsidRPr="00E04728">
        <w:rPr>
          <w:color w:val="000000" w:themeColor="text1"/>
        </w:rPr>
        <w:t xml:space="preserve"> և այլ եղանակներով: </w:t>
      </w:r>
    </w:p>
    <w:p w14:paraId="1B5CEFF1" w14:textId="77777777" w:rsidR="00630268" w:rsidRPr="00E04728" w:rsidRDefault="00630268" w:rsidP="00630268">
      <w:pPr>
        <w:spacing w:line="276" w:lineRule="auto"/>
        <w:contextualSpacing/>
        <w:rPr>
          <w:color w:val="000000" w:themeColor="text1"/>
        </w:rPr>
      </w:pPr>
      <w:r w:rsidRPr="00E04728">
        <w:rPr>
          <w:color w:val="000000" w:themeColor="text1"/>
        </w:rPr>
        <w:t xml:space="preserve">Բացի այդ, անհրաժեշտ է հակակոռուպցիոն մասնագիտացված դատարանների և դատավորների կողմից քննվող ապօրինի ծագում ունեցող գույքի բռնագանձման և կոռուպցիոն հանցագործությունների քննության գործերի առանձնահատկություններով </w:t>
      </w:r>
      <w:r w:rsidRPr="00E04728">
        <w:rPr>
          <w:color w:val="000000" w:themeColor="text1"/>
        </w:rPr>
        <w:lastRenderedPageBreak/>
        <w:t>պայմանավորված մեթոդական ուղեցույցերի մշակում՝ նկատի ունենալով նշված գործերի առանձնահատուկ բնույթը:</w:t>
      </w:r>
    </w:p>
    <w:p w14:paraId="576DC3CC" w14:textId="77777777" w:rsidR="00630268" w:rsidRPr="00E04728" w:rsidRDefault="00630268" w:rsidP="00630268">
      <w:pPr>
        <w:spacing w:line="276" w:lineRule="auto"/>
        <w:contextualSpacing/>
        <w:rPr>
          <w:color w:val="000000" w:themeColor="text1"/>
        </w:rPr>
      </w:pPr>
      <w:r w:rsidRPr="00E04728">
        <w:rPr>
          <w:color w:val="000000" w:themeColor="text1"/>
        </w:rPr>
        <w:t>Միաժամանակ պետք է նկատի ունենալ, որ հակակոռուպցիոն մասնագիտացված մարմինների կողմից քննվող գործերի մեծ հատվածը առնչվում են ֆինանսական միջոցների անօրինական տեղաշարժերի, դրանց փոխարկման և օրինականացման հետ: Նման պայմաններում ներկայումս ՀՀ գլխավոր դատախազության ապօրինի ծագում ունեցող գույքի բռնագանձման գործերը քննող մասնագիտացված ստորաբաժանման շրջանակներում ներգրավվել են տնտեսագիտական ոլորտային մասնագետներ: Սակայն հարկ է նշել, որ նման մշտական մասնագիտական աջակցության կարիք ունեն նաև Կոռուպցիոն գործերի քննություն իրականացնող դատավորները:</w:t>
      </w:r>
      <w:r w:rsidRPr="00E04728">
        <w:rPr>
          <w:b/>
          <w:color w:val="000000" w:themeColor="text1"/>
        </w:rPr>
        <w:t xml:space="preserve"> </w:t>
      </w:r>
      <w:r w:rsidRPr="00E04728">
        <w:rPr>
          <w:i/>
          <w:color w:val="000000" w:themeColor="text1"/>
        </w:rPr>
        <w:t>Ուստի, հարկ է ներդնել տնտեսագիտական և անհրաժեշտ այլ ոլորտներում գիտելիքներ ունեցող փորձագետների` Հակակոռուպցիոն մասնագիտացված դատարանների աշխատանքներին ներգրավվելու մեխանիզմ:</w:t>
      </w:r>
    </w:p>
    <w:p w14:paraId="28FD3B62" w14:textId="0B2EE768" w:rsidR="00630268" w:rsidRPr="00E04728" w:rsidRDefault="00630268" w:rsidP="00630268">
      <w:pPr>
        <w:tabs>
          <w:tab w:val="left" w:pos="426"/>
          <w:tab w:val="left" w:pos="1134"/>
        </w:tabs>
        <w:spacing w:line="276" w:lineRule="auto"/>
        <w:rPr>
          <w:color w:val="000000" w:themeColor="text1"/>
        </w:rPr>
      </w:pPr>
      <w:r w:rsidRPr="00E04728">
        <w:t xml:space="preserve">Հայաստանի Հանրապետության կողմից միջազգային պարտավորությունների զգալի մասի ցածր գնահատականը պայմանավորված է վիճակագրական տվյալների բացակայությամբ: Մյուս կողմից, տվյալների անբավարար լինելը թույլ չի տալիս վերլուծելու մի շարք ոլորտներում իրականացվող </w:t>
      </w:r>
      <w:r w:rsidR="00E223ED" w:rsidRPr="00E04728">
        <w:t>բարեփոխումների</w:t>
      </w:r>
      <w:r w:rsidRPr="00E04728">
        <w:t xml:space="preserve"> արդյունավետությունը</w:t>
      </w:r>
      <w:r w:rsidR="00E223ED" w:rsidRPr="00E04728">
        <w:t>, կոռուպցիոն հանցագործությունների առնչությամբ առկա իրավիճակը</w:t>
      </w:r>
      <w:r w:rsidR="000666DE" w:rsidRPr="00E04728">
        <w:t>, գործի քննության ողջ շղթայի վերաբերյալ ամբողջական պատկեր ստանալ</w:t>
      </w:r>
      <w:r w:rsidR="00E223ED" w:rsidRPr="00E04728">
        <w:t xml:space="preserve"> և այլն</w:t>
      </w:r>
      <w:r w:rsidRPr="00E04728">
        <w:t>:</w:t>
      </w:r>
      <w:r w:rsidR="00E91140" w:rsidRPr="00E04728">
        <w:t xml:space="preserve"> Միևնույն ժամանակ հարկ է նկատել, որ հակակոռուպցիոն միջազգային պարտավորությունների շրջանակում կոռուպցիոն վիճակագրական առնաձին տվյալների ինքնին բացակայությունը հանգեցնում է պարտավորության՝ չկատարված գնահատվելուն։</w:t>
      </w:r>
      <w:r w:rsidRPr="00E04728">
        <w:t xml:space="preserve"> Այս տեսանկյունից հատկապես խնդրահարույց </w:t>
      </w:r>
      <w:r w:rsidR="000666DE" w:rsidRPr="00E04728">
        <w:t>է</w:t>
      </w:r>
      <w:r w:rsidRPr="00E04728">
        <w:t xml:space="preserve"> դատական քննության փուլին առնչվող վիճակագրական տվյալների ոչ ամբողջականությունը և դրանց անհամադրելիությունը մինչդատական </w:t>
      </w:r>
      <w:r w:rsidR="000666DE" w:rsidRPr="00E04728">
        <w:t xml:space="preserve">քրեական </w:t>
      </w:r>
      <w:r w:rsidRPr="00E04728">
        <w:t xml:space="preserve">վարույթի փուլում վարվող վիճակագրական տվյալների հետ։  </w:t>
      </w:r>
      <w:r w:rsidR="00B75B3C">
        <w:t xml:space="preserve">Սույն </w:t>
      </w:r>
      <w:r w:rsidRPr="00E04728">
        <w:t xml:space="preserve">ռազմավարությամբ կարևոր խնդիր է դիտարկվում կոռուպցիոն հանցագործությունների քննության, բացահայտման, դատապարտման, ապօրինի ծագմամբ գույքի վերականգնման </w:t>
      </w:r>
      <w:r w:rsidR="00BC162E" w:rsidRPr="00E04728">
        <w:t xml:space="preserve">և կառավարման </w:t>
      </w:r>
      <w:r w:rsidRPr="00E04728">
        <w:t>վերաբերյալ տվյալների հավաքագրումն ու վերլուծության համակարգի ստեղծումը: Արդյունավետ և փոխլրացնող վիճակագրական համակարգի ներդնումը կբարձրացնի հակակոռուպցիոն կառույցների հաշվետվողականությունը և հանրային վստահությունը՝ կոռուպցիայի դեմ պայքարի արդյունավետության նկատմամբ: Այս առնչությամբ անհրաժեշտ է</w:t>
      </w:r>
      <w:r w:rsidR="00BC162E">
        <w:t xml:space="preserve"> </w:t>
      </w:r>
      <w:r w:rsidRPr="00E04728">
        <w:t xml:space="preserve">ապահովել </w:t>
      </w:r>
      <w:r w:rsidRPr="00E04728">
        <w:rPr>
          <w:i/>
          <w:color w:val="000000" w:themeColor="text1"/>
        </w:rPr>
        <w:t>կոռուպցիոն հանցագործությունների վիճակագրության միասնական կարգի սահմանումը և առկա կառուցակարգերի կատարելագործումը:</w:t>
      </w:r>
    </w:p>
    <w:p w14:paraId="15DBE304" w14:textId="77777777" w:rsidR="00630268" w:rsidRPr="00E04728" w:rsidRDefault="00630268" w:rsidP="00630268">
      <w:pPr>
        <w:tabs>
          <w:tab w:val="left" w:pos="450"/>
          <w:tab w:val="left" w:pos="1276"/>
        </w:tabs>
        <w:spacing w:line="276" w:lineRule="auto"/>
        <w:ind w:firstLine="0"/>
        <w:rPr>
          <w:b/>
          <w:color w:val="000000" w:themeColor="text1"/>
        </w:rPr>
      </w:pPr>
    </w:p>
    <w:p w14:paraId="2FA0BDB6" w14:textId="6AFD8B8C" w:rsidR="00630268" w:rsidRPr="00E04728" w:rsidRDefault="00220A16" w:rsidP="00630268">
      <w:pPr>
        <w:jc w:val="center"/>
        <w:rPr>
          <w:b/>
          <w:color w:val="000000" w:themeColor="text1"/>
        </w:rPr>
      </w:pPr>
      <w:r w:rsidRPr="00E04728">
        <w:rPr>
          <w:b/>
          <w:color w:val="000000" w:themeColor="text1"/>
        </w:rPr>
        <w:t>ՀԱԿԱԿՈՌՈՒՊՑԻՈՆ ՄԻՋՈՑԱՌՈՒՄՆԵՐԸ</w:t>
      </w:r>
      <w:r w:rsidR="00630268" w:rsidRPr="00E04728">
        <w:rPr>
          <w:b/>
          <w:color w:val="000000" w:themeColor="text1"/>
        </w:rPr>
        <w:t xml:space="preserve"> ԴԱՏԱԿԱՆ ՀԱՄԱԿԱՐԳՈՒՄ</w:t>
      </w:r>
    </w:p>
    <w:p w14:paraId="449ABDDE" w14:textId="370AF85B" w:rsidR="00630268" w:rsidRPr="00E04728" w:rsidRDefault="00630268" w:rsidP="00630268">
      <w:pPr>
        <w:tabs>
          <w:tab w:val="left" w:pos="450"/>
          <w:tab w:val="left" w:pos="1276"/>
        </w:tabs>
        <w:spacing w:line="276" w:lineRule="auto"/>
      </w:pPr>
      <w:r w:rsidRPr="00E04728">
        <w:rPr>
          <w:color w:val="000000" w:themeColor="text1"/>
        </w:rPr>
        <w:t xml:space="preserve">Դատական համակարգում կոռուպցիայի դեմ պայքարը ենթադրում է շարունակական քայլերի իրականացում: ՀՀ կառավարությունը վերջին տարիներին դատաիրավական բարեփոխումների ուղղությամբ </w:t>
      </w:r>
      <w:r w:rsidR="00A74518" w:rsidRPr="00E04728">
        <w:rPr>
          <w:color w:val="000000" w:themeColor="text1"/>
        </w:rPr>
        <w:t>էական բարեփոխումներ են իրականացվում</w:t>
      </w:r>
      <w:r w:rsidRPr="00E04728">
        <w:rPr>
          <w:color w:val="000000" w:themeColor="text1"/>
        </w:rPr>
        <w:t xml:space="preserve">` օրենսդրական փոփոխությունների միջոցով կատարելագործելով դատավորների թեկնածուների </w:t>
      </w:r>
      <w:r w:rsidRPr="00E04728">
        <w:rPr>
          <w:color w:val="000000" w:themeColor="text1"/>
        </w:rPr>
        <w:lastRenderedPageBreak/>
        <w:t>որակավորման, դատավորին կարգապահական պատասխանատվության ենթարկելու, ողջամիտ ժամկետում և պատշաճ արդարադատության իրականացման համար անհրաժեշտ մեխանիզմները: Այդուհանդերձ, դատական համակարգում</w:t>
      </w:r>
      <w:r w:rsidRPr="00E04728">
        <w:t xml:space="preserve"> հակակոռուպցիոն գործիքակազմի զարգացման համար անհրաժեշտ է ստորև նշված միջոցառումների իրականացումը</w:t>
      </w:r>
      <w:r w:rsidR="00A74518" w:rsidRPr="00E04728">
        <w:t xml:space="preserve">՝ նկատի ունենալով </w:t>
      </w:r>
      <w:r w:rsidR="00EC15A5" w:rsidRPr="00E04728">
        <w:t xml:space="preserve">նաև </w:t>
      </w:r>
      <w:r w:rsidR="00A74518" w:rsidRPr="00E04728">
        <w:t>դրանց կարևորությունը միջազգային հակակոռուպցիոն</w:t>
      </w:r>
      <w:r w:rsidR="00EC15A5" w:rsidRPr="00E04728">
        <w:t xml:space="preserve"> պարտավորությունների համատեքստում</w:t>
      </w:r>
      <w:r w:rsidRPr="00E04728">
        <w:t>:</w:t>
      </w:r>
    </w:p>
    <w:p w14:paraId="7F72C3D0" w14:textId="030CAE34" w:rsidR="00630268" w:rsidRPr="00E04728" w:rsidRDefault="00630268" w:rsidP="00630268">
      <w:pPr>
        <w:tabs>
          <w:tab w:val="left" w:pos="450"/>
          <w:tab w:val="left" w:pos="1276"/>
        </w:tabs>
        <w:spacing w:line="276" w:lineRule="auto"/>
      </w:pPr>
      <w:r w:rsidRPr="00E04728">
        <w:rPr>
          <w:i/>
          <w:color w:val="000000" w:themeColor="text1"/>
        </w:rPr>
        <w:t xml:space="preserve">Դատարաններում գործերի բաշխման համակարգի արդիականացում. </w:t>
      </w:r>
      <w:r w:rsidRPr="00E04728">
        <w:t>Այս առումով անհրաժեշտ է հնարավորինս երաշխավորել բոլոր տեսակի գործերի, այդ թվում՝ ներկայացվող միջնորդությունների և բողոքների, համակարգչային եղանակով բաշխումն ու մակագրությունը։ Բացի այդ, հարկ է ապահովել ներկայումս գործող դատարաններում գործերի բաշխման համակարգչային ծրագրերի արդիականացումը` երաշխավորելով դրա համապատասխանության ապահովումը հակակոռուպցիոն ինստիտուցիոնալ դատական համակարգի ստեղծման և դատաիրավական բարեփոխումներին:</w:t>
      </w:r>
    </w:p>
    <w:p w14:paraId="70CEFE6B" w14:textId="77777777" w:rsidR="00630268" w:rsidRPr="00E04728" w:rsidRDefault="00630268" w:rsidP="00630268">
      <w:pPr>
        <w:tabs>
          <w:tab w:val="left" w:pos="284"/>
          <w:tab w:val="left" w:pos="1276"/>
        </w:tabs>
        <w:spacing w:line="276" w:lineRule="auto"/>
        <w:rPr>
          <w:b/>
          <w:color w:val="000000" w:themeColor="text1"/>
        </w:rPr>
      </w:pPr>
      <w:r w:rsidRPr="00E04728">
        <w:rPr>
          <w:i/>
          <w:color w:val="000000" w:themeColor="text1"/>
        </w:rPr>
        <w:t xml:space="preserve">Դատավորների` այդ թվում հակակոռուպցիոն մասնագիտացման դատավորների, գործունեության գնահատման կառուցակարգերի կատարելագործում. </w:t>
      </w:r>
      <w:r w:rsidRPr="00E04728">
        <w:t xml:space="preserve">Դատավորների գործունեության գնահատման ինստիտուտը ՀՀ-ում նոր է: Այն ներդրվել է 2014 թվականին, սակայն շուրջ տասը տարվա ընթացքում, կրելով տարբեր ինստիտուցիոնալ փոփոխություններ, այն չի կարողացել երաշխավորել սահմանված բոլոր չափանիշների պատշաճ կարգով գնահատումը: Նշվածը պայմանավորված է գնահատման արդյունքում վեր հանված մի շարք խնդիրներով: Այսպես, ներկայումս առկա չեն դատավորի գործունեության գնահատման համար անհրաժեշտ տվյալների հավաքագրման կարգի ծրագրային և տեխնիկական լուծումները։ Ըստ այդմ, անհրաժեշտ է իրականացնել առկա խնդիրների գույքագրում, ինչպես նաև միջազգային փորձի ուսումնասիրության հիման վրա կատարելագործել </w:t>
      </w:r>
      <w:r w:rsidRPr="00E04728">
        <w:rPr>
          <w:color w:val="000000" w:themeColor="text1"/>
        </w:rPr>
        <w:t>դատավորների` այդ թվում հակակոռուպցիոն մասնագիտացման դատավորների, գործունեության գնահատման կառուցակարգերը:</w:t>
      </w:r>
    </w:p>
    <w:p w14:paraId="07A3394D" w14:textId="77777777" w:rsidR="002F0B5C" w:rsidRPr="00E04728" w:rsidRDefault="00630268" w:rsidP="002F0B5C">
      <w:pPr>
        <w:tabs>
          <w:tab w:val="left" w:pos="284"/>
          <w:tab w:val="left" w:pos="1276"/>
        </w:tabs>
        <w:spacing w:line="276" w:lineRule="auto"/>
        <w:rPr>
          <w:b/>
          <w:color w:val="000000" w:themeColor="text1"/>
        </w:rPr>
      </w:pPr>
      <w:r w:rsidRPr="00E04728">
        <w:rPr>
          <w:i/>
          <w:color w:val="000000" w:themeColor="text1"/>
        </w:rPr>
        <w:t>Դատարանների աշխատակազմերի և դատավորների աշխատակազմի վարձատրության չափի բարձրացում.</w:t>
      </w:r>
      <w:r w:rsidRPr="00E04728">
        <w:rPr>
          <w:b/>
          <w:color w:val="000000" w:themeColor="text1"/>
        </w:rPr>
        <w:t xml:space="preserve"> </w:t>
      </w:r>
      <w:r w:rsidRPr="00E04728">
        <w:t>Դատարանների և դատավորների աշխատակազմին մրցունակ աշխատավարձի տրամադրումը, անկասկած, դատական համակարգ բարձր կարգի մասնագետների մուտքը խրախուսելու և նրանց անկախությունն ապահովելու տեսանկյունից անկյունաքարային նշանակություն ունի: Ներկայումս դատարանների և դատավորների աշխատակազմերին առաջարկվող վարձատրությունը համարժեք չէ նրանց ծանրաբեռնվածությանը, ինչի հետևանքով ոչ միայն կարող են ստեղծվել կոռուպցիոն ռիսկեր, այլև դատական համակարգը կշարունակի մնալ ոչ գրավիչ:</w:t>
      </w:r>
      <w:r w:rsidR="00EA678B" w:rsidRPr="00E04728">
        <w:t xml:space="preserve"> Ա</w:t>
      </w:r>
      <w:r w:rsidR="00C51E24" w:rsidRPr="00E04728">
        <w:t>շխատավարձերի ոչ բավարա լինելու խնդիրը բարձրացվել է նաև ՏՀԶԿ-ի կողմից։</w:t>
      </w:r>
      <w:r w:rsidRPr="00E04728">
        <w:t xml:space="preserve"> </w:t>
      </w:r>
      <w:r w:rsidR="00F62518" w:rsidRPr="00E04728">
        <w:rPr>
          <w:color w:val="000000" w:themeColor="text1"/>
        </w:rPr>
        <w:t>Թեև</w:t>
      </w:r>
      <w:r w:rsidRPr="00E04728">
        <w:rPr>
          <w:color w:val="000000" w:themeColor="text1"/>
        </w:rPr>
        <w:t>, վերջին տարիներին որոշակի չափով բարձրացվել է դատավորի օգնականի աշխատավարձը, սակայն, դատական նիստերի քարտուղարի կամ դատական այլ ծառայողների աշխատավարձերը շարունակում են մնալ ցածր: Ուստի,</w:t>
      </w:r>
      <w:r w:rsidRPr="00E04728">
        <w:rPr>
          <w:b/>
          <w:color w:val="000000" w:themeColor="text1"/>
        </w:rPr>
        <w:t xml:space="preserve"> </w:t>
      </w:r>
      <w:r w:rsidRPr="00E04728">
        <w:rPr>
          <w:color w:val="000000" w:themeColor="text1"/>
        </w:rPr>
        <w:t xml:space="preserve">անհրաժեշտ է վերանայել դատարանների և դատավորների աշխատակազմերի վարձատրության համակարգը` կոռուպցիոն ռիսկերը նվազեցնելու, դատական ծառայությունը առավել գրավիչ դարձնելու և որակյալ մասնագետների ներգրավումն </w:t>
      </w:r>
      <w:r w:rsidRPr="00E04728">
        <w:rPr>
          <w:color w:val="000000" w:themeColor="text1"/>
        </w:rPr>
        <w:lastRenderedPageBreak/>
        <w:t xml:space="preserve">ապահովելու նպատակով: </w:t>
      </w:r>
      <w:r w:rsidR="002F0B5C" w:rsidRPr="00E04728">
        <w:rPr>
          <w:color w:val="000000" w:themeColor="text1"/>
        </w:rPr>
        <w:t xml:space="preserve">Ընդ որում, որդեգրված մոտեցմամբ դատարանների և դատավորների աշխատակազմերի բարձրացումը նախատեսվում է սկսել առաջին ատյանի դատարաններից: </w:t>
      </w:r>
    </w:p>
    <w:p w14:paraId="50033273" w14:textId="6934C1A3" w:rsidR="00630268" w:rsidRPr="00E04728" w:rsidRDefault="00630268" w:rsidP="00630268">
      <w:pPr>
        <w:tabs>
          <w:tab w:val="left" w:pos="284"/>
          <w:tab w:val="left" w:pos="1276"/>
        </w:tabs>
        <w:spacing w:line="276" w:lineRule="auto"/>
        <w:rPr>
          <w:b/>
          <w:color w:val="000000" w:themeColor="text1"/>
        </w:rPr>
      </w:pPr>
    </w:p>
    <w:p w14:paraId="25B34F0E" w14:textId="77777777" w:rsidR="00630268" w:rsidRPr="00E04728" w:rsidRDefault="00630268" w:rsidP="00630268">
      <w:pPr>
        <w:tabs>
          <w:tab w:val="left" w:pos="284"/>
          <w:tab w:val="left" w:pos="1276"/>
        </w:tabs>
        <w:spacing w:line="276" w:lineRule="auto"/>
        <w:rPr>
          <w:color w:val="000000" w:themeColor="text1"/>
        </w:rPr>
      </w:pPr>
    </w:p>
    <w:p w14:paraId="6AEC876D" w14:textId="77777777" w:rsidR="00630268" w:rsidRPr="00E04728" w:rsidRDefault="00630268" w:rsidP="00630268">
      <w:pPr>
        <w:ind w:firstLine="0"/>
        <w:jc w:val="center"/>
        <w:rPr>
          <w:b/>
          <w:color w:val="000000" w:themeColor="text1"/>
        </w:rPr>
      </w:pPr>
      <w:r w:rsidRPr="00E04728">
        <w:rPr>
          <w:b/>
          <w:color w:val="000000" w:themeColor="text1"/>
        </w:rPr>
        <w:t>ԿՈՌՈՒՊՑԻՈՆ ՀԱՆՑԱԳՈՐԾՈՒԹՅՈՒՆՆԵՐԻ ԱՐԴՅՈՒՆՔՈՒՄ ՁԵՌՔ ԲԵՐՎԱԾ, ԻՆՉՊԵՍ ՆԱԵՎ ԱՊՕՐԻՆԻ ԾԱԳՈՒՄ ՈՒՆԵՑՈՂ ԳՈՒՅՔԻ ՎԵՐԱԴԱՐՁԻ ԵՎ ԿԱՌԱՎԱՐՄԱՆ ԿԱՌՈՒՑԱԿԱՐԳԵՐԻ ԿԱՏԱՐԵԼԱԳՈՐԾՈՒՄ</w:t>
      </w:r>
    </w:p>
    <w:p w14:paraId="0F145B69" w14:textId="77777777" w:rsidR="00630268" w:rsidRPr="00E04728" w:rsidRDefault="00630268" w:rsidP="00630268">
      <w:pPr>
        <w:tabs>
          <w:tab w:val="left" w:pos="450"/>
        </w:tabs>
        <w:spacing w:line="276" w:lineRule="auto"/>
        <w:contextualSpacing/>
        <w:rPr>
          <w:color w:val="000000" w:themeColor="text1"/>
        </w:rPr>
      </w:pPr>
    </w:p>
    <w:p w14:paraId="457F73D7" w14:textId="6C5BE246" w:rsidR="00EC726E" w:rsidRPr="00E04728" w:rsidRDefault="00EC726E" w:rsidP="00266AD9">
      <w:pPr>
        <w:pStyle w:val="Normal1"/>
        <w:shd w:val="clear" w:color="auto" w:fill="FFFFFF"/>
        <w:tabs>
          <w:tab w:val="left" w:pos="630"/>
          <w:tab w:val="left" w:pos="1080"/>
        </w:tabs>
        <w:spacing w:after="0" w:line="276" w:lineRule="auto"/>
        <w:ind w:firstLine="540"/>
        <w:jc w:val="both"/>
      </w:pPr>
      <w:r w:rsidRPr="00E04728">
        <w:t xml:space="preserve">2020 թվականին ստեղծվել և 2021 թվականին շարունակվել են կատարելագործվել ապօրինի ծագում ունեցող գույքի բռնագանձման կառուցակարգերը։ Այսպես, Ազգային ժողովի կողմից 2020 թվականի ապրիլի 16-ին ընդունվել էին «Ապօրինի ծագում ունեցող գույքի բռնագանձման մասին» օրենքի և հարակից օրենքներում փոփոխություններ և լրացումներ իրականացնելու մասին օրենքները, որից հետո՝ այդ օրենքների կիրարկումն ապահովող ենթաօրենսդրական ակտերը և անհրաժեշտ այլ իրավական ակտերը։ </w:t>
      </w:r>
    </w:p>
    <w:p w14:paraId="458BEBFA" w14:textId="64CD7B79" w:rsidR="00EC726E" w:rsidRPr="00E04728" w:rsidRDefault="00EC726E" w:rsidP="00266AD9">
      <w:pPr>
        <w:tabs>
          <w:tab w:val="left" w:pos="630"/>
        </w:tabs>
        <w:spacing w:line="276" w:lineRule="auto"/>
        <w:ind w:firstLine="540"/>
      </w:pPr>
      <w:r w:rsidRPr="00E04728">
        <w:t xml:space="preserve">2020 թվականի սեպտեմբերի 1-ին ՀՀ գլխավոր դատախազի հրամանով նշանակվել էր ՀՀ գլխավոր դատախազի՝ ապօրինի ծագում ունեցող գույքի բռնագանձման ոլորտը համակարգող տեղակալը, իսկ 2020 թվականի սեպտեմբերի 3-ին Հայաստանի Հանրապետության գլխավոր դատախազության կազմում ստեղծվել էր պատասխանատու ստորաբաժանում՝ Ապօրինի ծագում ունեցող գույքի բռնագանձման գործերով վարչությունը: </w:t>
      </w:r>
      <w:r w:rsidR="00266AD9" w:rsidRPr="00E04728">
        <w:t>Բացի այդ, «Ապօրինի ծագում ունեցող գույքի բռնագանձման մասին օրենքում փոփոխություններ և լրացումներ կատարելու մասին»</w:t>
      </w:r>
      <w:r w:rsidR="00266AD9" w:rsidRPr="00E04728">
        <w:rPr>
          <w:b/>
        </w:rPr>
        <w:t xml:space="preserve"> </w:t>
      </w:r>
      <w:r w:rsidR="00266AD9" w:rsidRPr="00E04728">
        <w:t xml:space="preserve">օրենքի ընդունմամբ 2022 թվականին կատարելագործվել են ապօրինի ծագում ունեցող գույքի բռնագանձման առկա </w:t>
      </w:r>
      <w:r w:rsidR="00FF366D" w:rsidRPr="00E04728">
        <w:t>գործիքակազմը</w:t>
      </w:r>
      <w:r w:rsidR="00266AD9" w:rsidRPr="00E04728">
        <w:t>։</w:t>
      </w:r>
    </w:p>
    <w:p w14:paraId="23E8ACBD" w14:textId="77777777" w:rsidR="00EC726E" w:rsidRPr="00E04728" w:rsidRDefault="00EC726E" w:rsidP="009566B5">
      <w:pPr>
        <w:tabs>
          <w:tab w:val="left" w:pos="630"/>
        </w:tabs>
        <w:spacing w:line="276" w:lineRule="auto"/>
        <w:ind w:firstLine="540"/>
      </w:pPr>
      <w:r w:rsidRPr="00E04728">
        <w:rPr>
          <w:shd w:val="clear" w:color="auto" w:fill="FFFFFF"/>
        </w:rPr>
        <w:t>ՀՀ գլխավոր դատախազության ապօրինի ծագում ունեցող գույքի բռնագանձման վարչությունում  2020-2021 թվականներին իրականացվել է 279 ուսումնասիրություն (214 ուսումնասիրություն սկսելու մասին որոշում կայացվել է 2020 թվականի ընթացքում, իսկ 65 որոշում՝ 2021 թվականի ընթացքում):</w:t>
      </w:r>
    </w:p>
    <w:p w14:paraId="60931BD4" w14:textId="77777777" w:rsidR="00EC726E" w:rsidRPr="00E04728" w:rsidRDefault="00EC726E" w:rsidP="009566B5">
      <w:pPr>
        <w:tabs>
          <w:tab w:val="left" w:pos="630"/>
        </w:tabs>
        <w:spacing w:line="276" w:lineRule="auto"/>
        <w:ind w:firstLine="540"/>
      </w:pPr>
      <w:r w:rsidRPr="00E04728">
        <w:t>2022 թվականի ընթացքում ՀՀ գլխավոր դատախազության ապօրինի ծագում ունեցող գույքի բռնագանձման վարչությունում ստացվել է քրեական գործով  50 նյութ և օպերատիվ-հետախուզական միջոցառումների արդյունքներով հայտնաբերված տվյալների վերաբերյալ 25 նյութ՝ 84 անձի՝ հնարավոր ապօրինի ծագում ունեցող գույքի պատկանելիության վերաբերյալ: Նշված նյութերով ուսումնասիրություն սկսելու հիմքերի ստուգման արդյունքներով կայացվել է ուսումնասիրություն սկսելու մասին 77 որոշում (9 որոշմամբ ուսումնասիրություն է սկսվել 2021 թվականի տարեվերջին փոխանցված նյութների հիման վրա), իսկ 18 անձի դեպքում կայացվել է ուսումնասիրություն չնախաձեռնելու մասին 18 որոշում: Ապօրինի ծագում ունեցող գույքի բռնագանձման վարույթի շրջանակներում ձեռք բերված տվյալներով նախաձեռնվել է 2 ուսումնասիրություն։</w:t>
      </w:r>
    </w:p>
    <w:p w14:paraId="069F79FF" w14:textId="77777777" w:rsidR="00EC726E" w:rsidRPr="00E04728" w:rsidRDefault="00EC726E" w:rsidP="009566B5">
      <w:pPr>
        <w:tabs>
          <w:tab w:val="left" w:pos="630"/>
        </w:tabs>
        <w:spacing w:line="276" w:lineRule="auto"/>
        <w:ind w:firstLine="540"/>
      </w:pPr>
      <w:r w:rsidRPr="00E04728">
        <w:lastRenderedPageBreak/>
        <w:t>Սկսված ուսումնասիրությունների շրջանակներում բանկային, վարկային, ապահովագրական, առևտրային և (կամ) նոտարական գաղտնիք կազմող տեղեկություններ ստանալու նպատակով ներկայացվել է 134 դիմում, որից 127-ը՝  Երևան քաղաքի ընդհանուր իրավասության առաջին ատյանի և 7-ը՝ ՀՀ հակակոռուպցիոն դատարան։ Ներկայացված դիմումներից չի բարարարվել 19-ը, որոնցից 4-ի բողոքարկման արդյունքում ՀՀ վերաքննիչ քաղաքացիական դատարանի կողմից կայացվել է բողոքն ամբողջությամբ բավարարելու վերաբերյալ որոշում:  Բողոքարկված մյուս գործով դեռևս դատական ակտ չի կայացվել:</w:t>
      </w:r>
    </w:p>
    <w:p w14:paraId="2A31D3AC" w14:textId="77777777" w:rsidR="00EC726E" w:rsidRPr="00E04728" w:rsidRDefault="00EC726E" w:rsidP="009566B5">
      <w:pPr>
        <w:tabs>
          <w:tab w:val="left" w:pos="630"/>
        </w:tabs>
        <w:spacing w:line="276" w:lineRule="auto"/>
        <w:ind w:firstLine="540"/>
      </w:pPr>
      <w:r w:rsidRPr="00E04728">
        <w:t xml:space="preserve">Ապօրինի ծագում ունեցող գույքի բռնագանձման վերաբերյալ Երևան քաղաքի ընդհանուր իրավասության առաջին ատյանի դատարան է ներկայացվել 11 հայցադիմում, իսկ ՀՀ հակակոռուպցիոն դատարան՝ ևս 10 հայցադիմում, որոնք ընդունվել են վարույթ: Ներկայացված բոլոր հայցերը ներկայումս քննվում են ՀՀ հակակոռուպցիոն դատարանում։ 2022 թվականին ներկայացված 21 հայցերով (2023 թվականի փետրվարի դրույթամբ՝ 29 հայց) բռնագանձման ենթակա գումարի չափը կազմում է շուրջ 52 միլիարդ ՀՀ դրամ, բռնագանձման են ենթակա նաև 296 գույքեր (ստացվել են նշված գույքերի մեծամասնության միջին շուկայական արժեքները, որոնց հանրագումարը շուրջ 34 միլիարդ ՀՀ դրամ է, իրավանաբական անձանց արժեքները գնահատված չեն):  </w:t>
      </w:r>
    </w:p>
    <w:p w14:paraId="54922B86" w14:textId="77777777" w:rsidR="00EC726E" w:rsidRPr="00E04728" w:rsidRDefault="00EC726E" w:rsidP="009566B5">
      <w:pPr>
        <w:tabs>
          <w:tab w:val="left" w:pos="630"/>
        </w:tabs>
        <w:spacing w:line="276" w:lineRule="auto"/>
        <w:ind w:firstLine="540"/>
      </w:pPr>
      <w:r w:rsidRPr="00E04728">
        <w:t>Միջազգային կառույցների և այլ պետությունների հետ համագործակցության ապահովման նպատակով դեռևս 2020 թվականի նոյեմբերից</w:t>
      </w:r>
      <w:r w:rsidRPr="00E04728" w:rsidDel="000448BA">
        <w:t xml:space="preserve"> </w:t>
      </w:r>
      <w:r w:rsidRPr="00E04728">
        <w:t xml:space="preserve">ՀՀ գլխավոր դատախազությունը անդամակցում է CARIN.NETWORK (Camden Asset Recovery Inter-agency Network) միջազգային ոչ պաշտոնական ցանցին: Անդամակցության շրջանակներում ուղարկվել է թվով 7 հարցում, այդ թվում՝ 2 հարցում՝ Ռուսաստան, մեկական հարցումներ՝ Չեխիա, Սլովակիա, Ֆրանսիա, Հունաստան և Կիպրոս, որոնց արդյունքում ստացվել է թվով 6 պատասխան գրություն: Միաժամանակ, օտարերկրյա պետությունների իրավասու մարմիններից ստացվել են մի շարք միջազգային հարցումեր՝ Ռումինիայից, Ուկրաինայից, Բելգիայից, Մոլդովայից: </w:t>
      </w:r>
    </w:p>
    <w:p w14:paraId="22DA0722" w14:textId="03144856" w:rsidR="005C5C86" w:rsidRPr="00E04728" w:rsidRDefault="00EC726E" w:rsidP="009566B5">
      <w:pPr>
        <w:tabs>
          <w:tab w:val="left" w:pos="630"/>
        </w:tabs>
        <w:spacing w:line="276" w:lineRule="auto"/>
        <w:ind w:firstLine="540"/>
      </w:pPr>
      <w:r w:rsidRPr="00E04728">
        <w:t>Ապօրինի ծագում ունեցող գույքի բռնագանձնման առնչությամբ դատական քննությա</w:t>
      </w:r>
      <w:r w:rsidR="009566B5" w:rsidRPr="00E04728">
        <w:t>ն</w:t>
      </w:r>
      <w:r w:rsidR="00326DE4" w:rsidRPr="00E04728">
        <w:t xml:space="preserve"> </w:t>
      </w:r>
      <w:r w:rsidRPr="00E04728">
        <w:t xml:space="preserve">փուլում ևս ապահովված է </w:t>
      </w:r>
      <w:r w:rsidR="009566B5" w:rsidRPr="00E04728">
        <w:t>մասնագիտացում</w:t>
      </w:r>
      <w:r w:rsidR="00326DE4" w:rsidRPr="00E04728">
        <w:t>ը</w:t>
      </w:r>
      <w:r w:rsidR="009566B5" w:rsidRPr="00E04728">
        <w:t>՝ հանձինս</w:t>
      </w:r>
      <w:r w:rsidRPr="00E04728">
        <w:t xml:space="preserve"> </w:t>
      </w:r>
      <w:r w:rsidR="009566B5" w:rsidRPr="00E04728">
        <w:t>եռաստիճան</w:t>
      </w:r>
      <w:r w:rsidRPr="00E04728">
        <w:t xml:space="preserve"> հակակոռուպցիոն </w:t>
      </w:r>
      <w:r w:rsidR="009566B5" w:rsidRPr="00E04728">
        <w:t>դատարանների</w:t>
      </w:r>
      <w:r w:rsidRPr="00E04728">
        <w:t>։</w:t>
      </w:r>
    </w:p>
    <w:p w14:paraId="1B037389" w14:textId="3FF3B920" w:rsidR="00630268" w:rsidRPr="00E04728" w:rsidRDefault="003B20C5" w:rsidP="00630268">
      <w:pPr>
        <w:pBdr>
          <w:top w:val="nil"/>
          <w:left w:val="nil"/>
          <w:bottom w:val="nil"/>
          <w:right w:val="nil"/>
          <w:between w:val="nil"/>
        </w:pBdr>
        <w:spacing w:line="276" w:lineRule="auto"/>
        <w:rPr>
          <w:color w:val="000000"/>
        </w:rPr>
      </w:pPr>
      <w:r w:rsidRPr="00E04728">
        <w:rPr>
          <w:color w:val="000000"/>
        </w:rPr>
        <w:t xml:space="preserve">Կարևորելով Հայաստանի Հանրապետության կոմից իրականացված ամբողջ վերոշարադրյալ բարեփոխումները՝ </w:t>
      </w:r>
      <w:r w:rsidR="00630268" w:rsidRPr="00E04728">
        <w:rPr>
          <w:color w:val="000000"/>
        </w:rPr>
        <w:t>ՏՀԶԿ (2022) Հակակոռուպցիոն բարեփոխումները Հայաստանում</w:t>
      </w:r>
      <w:r w:rsidR="00630268" w:rsidRPr="00E04728">
        <w:rPr>
          <w:rFonts w:ascii="MS Mincho" w:eastAsia="MS Mincho" w:hAnsi="MS Mincho" w:cs="MS Mincho" w:hint="eastAsia"/>
          <w:color w:val="000000"/>
        </w:rPr>
        <w:t>․</w:t>
      </w:r>
      <w:r w:rsidR="00630268" w:rsidRPr="00E04728">
        <w:rPr>
          <w:color w:val="000000"/>
        </w:rPr>
        <w:t xml:space="preserve"> Ստամբուլյան հակակոռուպցիոն գործողությունների ծրագրի պիլոտային մոնիթորինգի 5-րդ փուլի վերաբերյալ զեկույցի դիտարկումներով </w:t>
      </w:r>
      <w:r w:rsidR="00FA1C77" w:rsidRPr="00E04728">
        <w:rPr>
          <w:color w:val="000000"/>
        </w:rPr>
        <w:t xml:space="preserve">այդուհանդերձ </w:t>
      </w:r>
      <w:r w:rsidR="00630268" w:rsidRPr="00E04728">
        <w:rPr>
          <w:color w:val="000000"/>
        </w:rPr>
        <w:t>ուշադրության է արժանացել կոռուպցիոն և ապօրինի ծագում ունեցող գույքի բռնագանձման վարույթներով ապահովման ենթակա կամ բռնագանձված ակտիվների կառավարման թափանցիկությունն ու կանոնավոր աուդիտի իրականացումը (ցուցիչ 11.5.1)։ Նշվածի համատեքստում կարևորվում է մի շարք կառուցակարգերի ներդրումը և կատարելագործումը:</w:t>
      </w:r>
    </w:p>
    <w:p w14:paraId="6E73FE92" w14:textId="28E5D49D" w:rsidR="00630268" w:rsidRPr="00E04728" w:rsidRDefault="00317A20" w:rsidP="00630268">
      <w:pPr>
        <w:pBdr>
          <w:top w:val="nil"/>
          <w:left w:val="nil"/>
          <w:bottom w:val="nil"/>
          <w:right w:val="nil"/>
          <w:between w:val="nil"/>
        </w:pBdr>
        <w:spacing w:line="276" w:lineRule="auto"/>
        <w:rPr>
          <w:color w:val="000000"/>
        </w:rPr>
      </w:pPr>
      <w:r w:rsidRPr="00E04728">
        <w:rPr>
          <w:color w:val="000000" w:themeColor="text1"/>
        </w:rPr>
        <w:t>Նման պայմաններում</w:t>
      </w:r>
      <w:r w:rsidR="00630268" w:rsidRPr="00E04728">
        <w:rPr>
          <w:color w:val="000000" w:themeColor="text1"/>
        </w:rPr>
        <w:t>, անհրաժեշտ է երաշխավորել կոռուպցիոն հանցագործություններով</w:t>
      </w:r>
      <w:r w:rsidR="00630268" w:rsidRPr="00E04728">
        <w:rPr>
          <w:b/>
          <w:color w:val="000000" w:themeColor="text1"/>
        </w:rPr>
        <w:t xml:space="preserve"> </w:t>
      </w:r>
      <w:r w:rsidR="00630268" w:rsidRPr="00E04728">
        <w:rPr>
          <w:color w:val="000000" w:themeColor="text1"/>
        </w:rPr>
        <w:t>արգելադրված և (կամ)</w:t>
      </w:r>
      <w:r w:rsidR="00630268" w:rsidRPr="00E04728">
        <w:rPr>
          <w:b/>
          <w:color w:val="000000" w:themeColor="text1"/>
        </w:rPr>
        <w:t xml:space="preserve"> </w:t>
      </w:r>
      <w:r w:rsidR="00630268" w:rsidRPr="00E04728">
        <w:rPr>
          <w:color w:val="000000" w:themeColor="text1"/>
        </w:rPr>
        <w:t xml:space="preserve">բռնագրավված, ապօրինի ծագում ունեցող </w:t>
      </w:r>
      <w:r w:rsidR="00630268" w:rsidRPr="00E04728">
        <w:rPr>
          <w:color w:val="000000" w:themeColor="text1"/>
        </w:rPr>
        <w:lastRenderedPageBreak/>
        <w:t>գույքի բռնագանձման վարույթների արդյունքում բռնագանձված գույքի կառավարման կառուցակարգերի կատարելագործումը:</w:t>
      </w:r>
    </w:p>
    <w:p w14:paraId="72FA22E5" w14:textId="45050C9F" w:rsidR="00630268" w:rsidRPr="00E04728" w:rsidRDefault="00630268" w:rsidP="00630268">
      <w:pPr>
        <w:pBdr>
          <w:top w:val="nil"/>
          <w:left w:val="nil"/>
          <w:bottom w:val="nil"/>
          <w:right w:val="nil"/>
          <w:between w:val="nil"/>
        </w:pBdr>
        <w:spacing w:line="276" w:lineRule="auto"/>
        <w:rPr>
          <w:color w:val="000000"/>
        </w:rPr>
      </w:pPr>
      <w:r w:rsidRPr="00E04728">
        <w:rPr>
          <w:color w:val="000000"/>
        </w:rPr>
        <w:t>Թեև</w:t>
      </w:r>
      <w:r w:rsidR="0067449A" w:rsidRPr="00E04728">
        <w:rPr>
          <w:color w:val="000000"/>
        </w:rPr>
        <w:t>, ինչպես նշվեց,</w:t>
      </w:r>
      <w:r w:rsidRPr="00E04728">
        <w:rPr>
          <w:color w:val="000000"/>
        </w:rPr>
        <w:t xml:space="preserve"> ապօրինի ծագում ունեցող գույքի բռնագանձման ինստիտուտը ներդրված է ներպետական օրենսդրությամբ, կարևորվում է ներդրված կառուցակարգերի շարունակական զարգացումն ու արդիականացումը:</w:t>
      </w:r>
    </w:p>
    <w:p w14:paraId="01198EC6" w14:textId="5988B9B7" w:rsidR="00630268" w:rsidRPr="00E04728" w:rsidRDefault="00630268" w:rsidP="00630268">
      <w:pPr>
        <w:pBdr>
          <w:top w:val="nil"/>
          <w:left w:val="nil"/>
          <w:bottom w:val="nil"/>
          <w:right w:val="nil"/>
          <w:between w:val="nil"/>
        </w:pBdr>
        <w:spacing w:line="276" w:lineRule="auto"/>
        <w:rPr>
          <w:color w:val="000000" w:themeColor="text1"/>
        </w:rPr>
      </w:pPr>
      <w:r w:rsidRPr="00E04728">
        <w:rPr>
          <w:color w:val="000000"/>
        </w:rPr>
        <w:t xml:space="preserve">Ապօրինի ծագում ունեցող գույքի բռնագանձման վարույթներով արդյունավետությունն ու օպերատիվությունն ապահովելու նպատակով նախատեսվում է ինտեգրված հարթակի գործարկումը, որը կապահովի ակտիվների վերադարձման մասնագետների, հետախուզության ստորաբաժանումների, քննչական և դատախազական մարմինների միջև տեղեկատվության ակտիվ և անվտանգ փոխանակումը: </w:t>
      </w:r>
      <w:sdt>
        <w:sdtPr>
          <w:rPr>
            <w:color w:val="000000"/>
          </w:rPr>
          <w:tag w:val="goog_rdk_3"/>
          <w:id w:val="-1526391624"/>
        </w:sdtPr>
        <w:sdtContent/>
      </w:sdt>
      <w:r w:rsidRPr="00E04728">
        <w:rPr>
          <w:color w:val="000000"/>
        </w:rPr>
        <w:t>Ծրագրվում է նաև հասանելիության հնարավորության ապահովումը այլ պետական մարմինների տվյալների բազաներին։ Ըստ այդմ, նշված</w:t>
      </w:r>
      <w:r w:rsidRPr="00E04728">
        <w:rPr>
          <w:color w:val="000000"/>
          <w:lang w:val="x-none"/>
        </w:rPr>
        <w:t xml:space="preserve"> և այլ գործողությունների իրականացման միջոցով ակնկալվում է երաշխավորել </w:t>
      </w:r>
      <w:r w:rsidRPr="00E04728">
        <w:rPr>
          <w:color w:val="000000" w:themeColor="text1"/>
        </w:rPr>
        <w:t>ապօրինի ծագում ունեցող գույքի բռնագանձման ինստիտուտի շարունակական կատարելագործումը և արդիականացումը:</w:t>
      </w:r>
    </w:p>
    <w:p w14:paraId="3A66203D" w14:textId="2756824E" w:rsidR="0067449A" w:rsidRPr="00E04728" w:rsidRDefault="005F4156" w:rsidP="00DE67B3">
      <w:pPr>
        <w:pBdr>
          <w:top w:val="nil"/>
          <w:left w:val="nil"/>
          <w:bottom w:val="nil"/>
          <w:right w:val="nil"/>
          <w:between w:val="nil"/>
        </w:pBdr>
        <w:spacing w:line="276" w:lineRule="auto"/>
        <w:rPr>
          <w:color w:val="000000" w:themeColor="text1"/>
        </w:rPr>
      </w:pPr>
      <w:r w:rsidRPr="00E04728">
        <w:rPr>
          <w:color w:val="000000" w:themeColor="text1"/>
        </w:rPr>
        <w:t>Նկատի ունենալով ապօրինի ծագում ունեցող գույքի</w:t>
      </w:r>
      <w:r w:rsidR="00DE67B3" w:rsidRPr="00E04728">
        <w:rPr>
          <w:color w:val="000000" w:themeColor="text1"/>
        </w:rPr>
        <w:t xml:space="preserve"> վերադարձի</w:t>
      </w:r>
      <w:r w:rsidRPr="00E04728">
        <w:rPr>
          <w:color w:val="000000" w:themeColor="text1"/>
        </w:rPr>
        <w:t xml:space="preserve">, </w:t>
      </w:r>
      <w:r w:rsidR="00DE67B3" w:rsidRPr="00E04728">
        <w:rPr>
          <w:color w:val="000000" w:themeColor="text1"/>
        </w:rPr>
        <w:t xml:space="preserve">շատ դեպքերում </w:t>
      </w:r>
      <w:r w:rsidRPr="00E04728">
        <w:rPr>
          <w:color w:val="000000" w:themeColor="text1"/>
        </w:rPr>
        <w:t>կոռուպցիոն հանցագոր</w:t>
      </w:r>
      <w:r w:rsidR="00DE67B3" w:rsidRPr="00E04728">
        <w:rPr>
          <w:color w:val="000000" w:themeColor="text1"/>
        </w:rPr>
        <w:t>ությունների և դրանց արդյունքում ստացված եկամտի/օգուտի վերադարձին առնչվող հարցերի անդրազգային բնույթը և այդ համատեսքտում միջազգային իրավական փոխօգնության կարևորությունը՝ անհրաժեշտ է ապահովել</w:t>
      </w:r>
      <w:r w:rsidR="0067449A" w:rsidRPr="00E04728">
        <w:rPr>
          <w:color w:val="000000" w:themeColor="text1"/>
        </w:rPr>
        <w:t xml:space="preserve"> </w:t>
      </w:r>
      <w:r w:rsidRPr="00E04728">
        <w:rPr>
          <w:color w:val="000000" w:themeColor="text1"/>
        </w:rPr>
        <w:t xml:space="preserve">«Միջազգային </w:t>
      </w:r>
      <w:r w:rsidR="00BD3FC3" w:rsidRPr="00E04728">
        <w:rPr>
          <w:color w:val="000000" w:themeColor="text1"/>
        </w:rPr>
        <w:t xml:space="preserve">իրավական </w:t>
      </w:r>
      <w:r w:rsidRPr="00E04728">
        <w:rPr>
          <w:color w:val="000000" w:themeColor="text1"/>
        </w:rPr>
        <w:t xml:space="preserve">փոխօգնության մասին» </w:t>
      </w:r>
      <w:r w:rsidR="0021673D" w:rsidRPr="00E04728">
        <w:rPr>
          <w:color w:val="000000" w:themeColor="text1"/>
        </w:rPr>
        <w:t xml:space="preserve">օրենքի </w:t>
      </w:r>
      <w:r w:rsidRPr="00E04728">
        <w:rPr>
          <w:color w:val="000000" w:themeColor="text1"/>
        </w:rPr>
        <w:t>ընդունումը</w:t>
      </w:r>
      <w:r w:rsidR="00BD3FC3" w:rsidRPr="00E04728">
        <w:rPr>
          <w:color w:val="000000" w:themeColor="text1"/>
        </w:rPr>
        <w:t>։</w:t>
      </w:r>
    </w:p>
    <w:p w14:paraId="43CDA8AF" w14:textId="5D1AB45B" w:rsidR="00BD3FC3" w:rsidRPr="00E04728" w:rsidRDefault="00BD3FC3" w:rsidP="00DE67B3">
      <w:pPr>
        <w:pBdr>
          <w:top w:val="nil"/>
          <w:left w:val="nil"/>
          <w:bottom w:val="nil"/>
          <w:right w:val="nil"/>
          <w:between w:val="nil"/>
        </w:pBdr>
        <w:spacing w:line="276" w:lineRule="auto"/>
        <w:rPr>
          <w:color w:val="000000" w:themeColor="text1"/>
        </w:rPr>
      </w:pPr>
      <w:r w:rsidRPr="00E04728">
        <w:rPr>
          <w:color w:val="000000" w:themeColor="text1"/>
        </w:rPr>
        <w:t xml:space="preserve">Միաժամանակ նշված խնդիրների համատեքստում նկատի ունենալով տարբեր </w:t>
      </w:r>
      <w:r w:rsidR="00515465" w:rsidRPr="00E04728">
        <w:rPr>
          <w:color w:val="000000" w:themeColor="text1"/>
        </w:rPr>
        <w:t>պետություններում</w:t>
      </w:r>
      <w:r w:rsidRPr="00E04728">
        <w:rPr>
          <w:color w:val="000000" w:themeColor="text1"/>
        </w:rPr>
        <w:t xml:space="preserve"> առկա կարգավորումների ներդաշնակ չլինելու հիմքով գույքի վերադրաձի հնարավոր մերժման ռիսկերը, ինչպես նաև առանձին պետություններում ապօրինի ծագում ունեցող/կոռուպցիոն հանցագործության արդյունքում ստացված գույքի վերադարձի համար սահմանված առանձին </w:t>
      </w:r>
      <w:r w:rsidR="001352F6" w:rsidRPr="00E04728">
        <w:rPr>
          <w:color w:val="000000" w:themeColor="text1"/>
        </w:rPr>
        <w:t>պահանջ</w:t>
      </w:r>
      <w:r w:rsidRPr="00E04728">
        <w:rPr>
          <w:color w:val="000000" w:themeColor="text1"/>
        </w:rPr>
        <w:t xml:space="preserve">ները՝ կարևոր է նաև </w:t>
      </w:r>
      <w:r w:rsidR="001352F6" w:rsidRPr="00E04728">
        <w:rPr>
          <w:color w:val="000000" w:themeColor="text1"/>
        </w:rPr>
        <w:t>իրականացնել առանձին պետություններում առկա կարգավորումների,</w:t>
      </w:r>
      <w:r w:rsidR="00ED611F" w:rsidRPr="00E04728">
        <w:rPr>
          <w:color w:val="000000" w:themeColor="text1"/>
        </w:rPr>
        <w:t xml:space="preserve"> ինչպես նաև՝ այս հարցերի առնչությամբ միջազգային կազմակերպությունների շրջանակում առկա համագործակցության ձևաչափերի </w:t>
      </w:r>
      <w:r w:rsidR="001352F6" w:rsidRPr="00E04728">
        <w:rPr>
          <w:color w:val="000000" w:themeColor="text1"/>
        </w:rPr>
        <w:t xml:space="preserve"> </w:t>
      </w:r>
      <w:r w:rsidR="00ED611F" w:rsidRPr="00E04728">
        <w:rPr>
          <w:color w:val="000000" w:themeColor="text1"/>
        </w:rPr>
        <w:t xml:space="preserve">ուսումնասիրություն, </w:t>
      </w:r>
      <w:r w:rsidR="001352F6" w:rsidRPr="00E04728">
        <w:rPr>
          <w:color w:val="000000" w:themeColor="text1"/>
        </w:rPr>
        <w:t>մեխանիզմներ ներդնել՝ ներդաշնակեցման ապահովման և գույքի վերադարձի դյուրինության երաշխավորման նպատակով։</w:t>
      </w:r>
      <w:r w:rsidR="00515465" w:rsidRPr="00E04728">
        <w:rPr>
          <w:color w:val="000000" w:themeColor="text1"/>
        </w:rPr>
        <w:t xml:space="preserve"> </w:t>
      </w:r>
    </w:p>
    <w:p w14:paraId="4C8704D7" w14:textId="5E7D542D" w:rsidR="00630268" w:rsidRPr="00E04728" w:rsidRDefault="00CB4930" w:rsidP="00630268">
      <w:pPr>
        <w:pBdr>
          <w:top w:val="nil"/>
          <w:left w:val="nil"/>
          <w:bottom w:val="nil"/>
          <w:right w:val="nil"/>
          <w:between w:val="nil"/>
        </w:pBdr>
        <w:spacing w:line="276" w:lineRule="auto"/>
        <w:rPr>
          <w:i/>
          <w:color w:val="000000"/>
        </w:rPr>
      </w:pPr>
      <w:r w:rsidRPr="00E04728">
        <w:rPr>
          <w:color w:val="000000" w:themeColor="text1"/>
        </w:rPr>
        <w:t>Այսպիսով</w:t>
      </w:r>
      <w:r w:rsidR="00630268" w:rsidRPr="00E04728">
        <w:rPr>
          <w:color w:val="000000" w:themeColor="text1"/>
        </w:rPr>
        <w:t xml:space="preserve"> անհրաժեշտ է</w:t>
      </w:r>
      <w:r w:rsidR="00630268" w:rsidRPr="00E04728">
        <w:rPr>
          <w:i/>
          <w:color w:val="000000" w:themeColor="text1"/>
        </w:rPr>
        <w:t xml:space="preserve"> իրականացնել Հայաստանի Հանրապետության մասնակցությամբ միջազգային և անդրազգային հարթությունում կոռուպցիայի հակազդման մեխանիզմների ընդլայնում և արդիականացում, միջազգային փոխօգնության մեխանիզմների կատարելագործում:</w:t>
      </w:r>
    </w:p>
    <w:p w14:paraId="72D18DCF" w14:textId="77777777" w:rsidR="00630268" w:rsidRPr="00E04728" w:rsidRDefault="00630268" w:rsidP="00630268">
      <w:pPr>
        <w:tabs>
          <w:tab w:val="left" w:pos="450"/>
        </w:tabs>
        <w:spacing w:line="276" w:lineRule="auto"/>
        <w:rPr>
          <w:b/>
          <w:color w:val="000000" w:themeColor="text1"/>
        </w:rPr>
      </w:pPr>
    </w:p>
    <w:p w14:paraId="6C3A4478" w14:textId="77777777" w:rsidR="00630268" w:rsidRPr="00CA777E" w:rsidRDefault="00630268" w:rsidP="00630268">
      <w:pPr>
        <w:tabs>
          <w:tab w:val="left" w:pos="450"/>
        </w:tabs>
        <w:spacing w:line="276" w:lineRule="auto"/>
        <w:rPr>
          <w:b/>
          <w:color w:val="000000" w:themeColor="text1"/>
        </w:rPr>
      </w:pPr>
    </w:p>
    <w:p w14:paraId="45C217F7" w14:textId="7C8E8F2C" w:rsidR="00630268" w:rsidRPr="00E04728" w:rsidRDefault="00630268" w:rsidP="00674962">
      <w:pPr>
        <w:ind w:firstLine="0"/>
        <w:jc w:val="center"/>
        <w:rPr>
          <w:b/>
          <w:color w:val="000000" w:themeColor="text1"/>
        </w:rPr>
      </w:pPr>
      <w:r w:rsidRPr="00E04728">
        <w:rPr>
          <w:b/>
          <w:color w:val="000000" w:themeColor="text1"/>
        </w:rPr>
        <w:t>ԱԶԴԱՐԱՐՄԱՆ ՀԱՄԱԿԱՐԳԻ ԿԱՏԱՐԵԼԱԳՈՐԾՈՒՄ ԵՎ ԱՐԴԻԱԿԱՆԱՑՈՒՄ</w:t>
      </w:r>
    </w:p>
    <w:p w14:paraId="1A1CC11F" w14:textId="0AC4F6CC" w:rsidR="00A35BE5" w:rsidRPr="00E04728" w:rsidRDefault="00A35BE5" w:rsidP="00A35BE5">
      <w:pPr>
        <w:tabs>
          <w:tab w:val="left" w:pos="284"/>
          <w:tab w:val="left" w:pos="426"/>
          <w:tab w:val="left" w:pos="709"/>
          <w:tab w:val="left" w:pos="851"/>
          <w:tab w:val="left" w:pos="993"/>
        </w:tabs>
        <w:spacing w:line="276" w:lineRule="auto"/>
        <w:rPr>
          <w:rFonts w:eastAsia="Times New Roman" w:cs="Arian AMU"/>
          <w:iCs/>
        </w:rPr>
      </w:pPr>
      <w:r w:rsidRPr="00E04728">
        <w:rPr>
          <w:rFonts w:eastAsia="Times New Roman" w:cs="Arian AMU"/>
          <w:iCs/>
        </w:rPr>
        <w:t>Ազդարարման համակարգի կատարելագոր</w:t>
      </w:r>
      <w:r w:rsidR="007420D3">
        <w:rPr>
          <w:rFonts w:eastAsia="Times New Roman" w:cs="Arian AMU"/>
          <w:iCs/>
        </w:rPr>
        <w:t>ծ</w:t>
      </w:r>
      <w:r w:rsidRPr="00E04728">
        <w:rPr>
          <w:rFonts w:eastAsia="Times New Roman" w:cs="Arian AMU"/>
          <w:iCs/>
        </w:rPr>
        <w:t xml:space="preserve">ման նպատակով 2022 թվականին կատարվեցին օրենսդրական բարեփոխումներ, որոնք ուղղված էին ազդարարման վարույթի կատարելագործմանը, հանցագործության հատկանիշներ չպարունակող կոռուպցիոն բնույթի  </w:t>
      </w:r>
      <w:r w:rsidRPr="00E04728">
        <w:rPr>
          <w:rFonts w:eastAsia="Times New Roman" w:cs="Arian AMU"/>
          <w:iCs/>
        </w:rPr>
        <w:lastRenderedPageBreak/>
        <w:t>դեպքերին ընթացք տալու կարգավորումների նախատեսմանը, ազդարարների պաշտպանության գործիքակազմի կատերլագործմանը, ինչպես նաև ազդարարման վիճակագրական կառուցակարգերի սահմանմանը։</w:t>
      </w:r>
    </w:p>
    <w:p w14:paraId="5C297057" w14:textId="77777777" w:rsidR="00A35BE5" w:rsidRPr="00E04728" w:rsidRDefault="00A35BE5" w:rsidP="00A35BE5">
      <w:pPr>
        <w:spacing w:line="276" w:lineRule="auto"/>
        <w:rPr>
          <w:rFonts w:eastAsia="Calibri" w:cs="Arian AMU"/>
        </w:rPr>
      </w:pPr>
      <w:r w:rsidRPr="00E04728">
        <w:rPr>
          <w:rFonts w:eastAsia="Calibri" w:cs="Arian AMU"/>
        </w:rPr>
        <w:t>Բացի այդ, «Ազդարարման համակարգի մասին» ՀՀ օրենքով նախատեսվել է ազդարարման տարբեր տեսակների՝ ներքին, արտաքին ազդարարման և հանրությանը ազդարարման տեսակների հստակ առանձնացումը, սակայն դրանց գործնական արդյունավետ կիրառումը բավարար չափով ապահովված չէ։ Նշվածը հատկապես ակնառու է ներքին և արտաքին ազդարարման դեպքում, ինչի վառ ապացույցն է ա</w:t>
      </w:r>
      <w:r w:rsidRPr="00E04728">
        <w:rPr>
          <w:rFonts w:cs="Times New Roman"/>
          <w:color w:val="00000A"/>
        </w:rPr>
        <w:t xml:space="preserve">զդարարման համակարգի գործարկումից մինչ օրս ստացված ազդարարման դեպքերի վերաբերյալ վիճակագրությունը։ Այսպես. </w:t>
      </w:r>
    </w:p>
    <w:p w14:paraId="3CC7AEA5" w14:textId="77777777" w:rsidR="00A35BE5" w:rsidRPr="00E04728" w:rsidRDefault="00A35BE5" w:rsidP="00A35BE5">
      <w:pPr>
        <w:spacing w:line="276" w:lineRule="auto"/>
        <w:rPr>
          <w:rFonts w:cs="Times New Roman"/>
        </w:rPr>
      </w:pPr>
      <w:r w:rsidRPr="00E04728">
        <w:rPr>
          <w:rFonts w:cs="Times New Roman"/>
        </w:rPr>
        <w:t xml:space="preserve">Պետական մարմիններից ստացված տեղեկատվության համաձայն՝ </w:t>
      </w:r>
      <w:r w:rsidRPr="00E04728">
        <w:rPr>
          <w:rFonts w:cs="Times New Roman"/>
          <w:color w:val="00000A"/>
        </w:rPr>
        <w:t xml:space="preserve">ազդարարման համակարգի </w:t>
      </w:r>
      <w:r w:rsidRPr="00E04728">
        <w:rPr>
          <w:rFonts w:cs="Times New Roman"/>
        </w:rPr>
        <w:t xml:space="preserve">գործարկումից մինչ օրս </w:t>
      </w:r>
      <w:r w:rsidRPr="00E04728">
        <w:rPr>
          <w:rFonts w:cs="Times New Roman"/>
          <w:color w:val="00000A"/>
        </w:rPr>
        <w:t xml:space="preserve">պետական մարմիններում </w:t>
      </w:r>
      <w:r w:rsidRPr="00E04728">
        <w:rPr>
          <w:rFonts w:cs="Times New Roman"/>
        </w:rPr>
        <w:t xml:space="preserve">գրանցվել է ներքին ազդարարման 13 և արտաքին ազդարարման 73 դեպք (Պաշտպանության նախարարությունում՝ 66 արտաքին ազդարարում, 10 ներքին ազդարարում, Արտաքին գործերի նախարարությունում՝ 1 արտաքին ազդարարում, 3 ներքին ազդարարում, Կրթության տեսչական մարմնում՝ 1 արտաքին ազդարարում, Տարածքային կառավարման և ենթակառուցվածքների նախարարությունում՝ 1 արտաքին ազդարարում, Սննդամթերքի անվտանգության տեսչական մարմնում՝ 4 արտաքին ազդարարում)։ </w:t>
      </w:r>
    </w:p>
    <w:p w14:paraId="5383BF24" w14:textId="77777777" w:rsidR="00A35BE5" w:rsidRPr="00E04728" w:rsidRDefault="00A35BE5" w:rsidP="00A35BE5">
      <w:pPr>
        <w:spacing w:line="276" w:lineRule="auto"/>
        <w:rPr>
          <w:rFonts w:cs="Times New Roman"/>
        </w:rPr>
      </w:pPr>
      <w:r w:rsidRPr="00E04728">
        <w:rPr>
          <w:rFonts w:cs="Times New Roman"/>
          <w:color w:val="00000A"/>
        </w:rPr>
        <w:t xml:space="preserve">Ընդ որում՝ արտաքին ազդարարման 11 դեպքով իրավապահ մարմինների կողմից նախաձեռնվել են քրեական </w:t>
      </w:r>
      <w:r w:rsidRPr="00E04728">
        <w:rPr>
          <w:rFonts w:cs="Times New Roman"/>
        </w:rPr>
        <w:t xml:space="preserve">վարույթներ: Սննդամթերքի անվտանգության տեսչական մարմնի կողմից ներկայացված տեղեկատվության համաձայն՝ քրեական վարույթների շրջանակներում 10 անձի պաշտոնավարումը ժամանակավորապես դադարեցվել է, որից 6 անձ ազատվել են զբաղեցրած պաշտոնից։ </w:t>
      </w:r>
    </w:p>
    <w:p w14:paraId="0048A1B2" w14:textId="77777777" w:rsidR="00A35BE5" w:rsidRPr="00E04728" w:rsidRDefault="00A35BE5" w:rsidP="00A35BE5">
      <w:pPr>
        <w:spacing w:line="276" w:lineRule="auto"/>
        <w:rPr>
          <w:rFonts w:cs="Times New Roman"/>
        </w:rPr>
      </w:pPr>
      <w:r w:rsidRPr="00E04728">
        <w:rPr>
          <w:rFonts w:cs="Times New Roman"/>
        </w:rPr>
        <w:t xml:space="preserve">Բացի այդ, Արտաքին գործերի նախարարության կողմից ներկայացված տեղեկատվության համաձայն՝ ազդարարումների արդյունքում կատարվել են ծառայողական քննություններ կամ աուդիտ, իսկ մեկ արտաքին ազդարարման դեպքում խնդիրը լուծվել է դատական կարգով (վճռաբեկ դատարանի որոշմամբ), քանի որ այն առնչվում էր աշխատանքային հարաբերություններին։ </w:t>
      </w:r>
    </w:p>
    <w:p w14:paraId="7D6FE66D" w14:textId="77777777" w:rsidR="00A35BE5" w:rsidRPr="00E04728" w:rsidRDefault="00A35BE5" w:rsidP="00A35BE5">
      <w:pPr>
        <w:spacing w:line="276" w:lineRule="auto"/>
        <w:rPr>
          <w:rFonts w:cs="Arian AMU"/>
        </w:rPr>
      </w:pPr>
      <w:r w:rsidRPr="00E04728">
        <w:rPr>
          <w:rFonts w:eastAsia="Calibri" w:cs="Arian AMU"/>
        </w:rPr>
        <w:t xml:space="preserve">Ազդարարման համակարգի խնդիրներից է նաև այն, որ դեռևս ներդրված չէ ազդարարման խրախուսմանն ուղղված որևէ կառուցակարգ, արդյունավետ չեն ազդարարներին տրվող պաշտպանության մեխանիզմները, ինչպես նաև առկա չէ պետության կողմից գործարկված մասնավոր հատվածում խախտումների վերաբերյալ ազդարարումների համակարգ` չնայած քաղաքացիական հասարակության ներկայացուցիչների կողմից գործարկվել են մասնավոր հատվածի ազդարարումների համար նախատեսված հարթակը`  </w:t>
      </w:r>
      <w:hyperlink r:id="rId13" w:history="1">
        <w:r w:rsidRPr="00E04728">
          <w:rPr>
            <w:rStyle w:val="Hyperlink"/>
            <w:rFonts w:eastAsia="Calibri" w:cs="Arian AMU"/>
          </w:rPr>
          <w:t>https://www.bizprotect.am/am/ (գործարկվում</w:t>
        </w:r>
      </w:hyperlink>
      <w:r w:rsidRPr="00E04728">
        <w:rPr>
          <w:rFonts w:eastAsia="Calibri" w:cs="Arian AMU"/>
          <w:color w:val="0563C1" w:themeColor="hyperlink"/>
          <w:u w:val="single"/>
        </w:rPr>
        <w:t xml:space="preserve"> է Իրավաբանների հայկական ասոցիացիայի կողմից)</w:t>
      </w:r>
      <w:r w:rsidRPr="00E04728">
        <w:rPr>
          <w:rFonts w:eastAsia="Calibri" w:cs="Arian AMU"/>
        </w:rPr>
        <w:t xml:space="preserve"> և աշխատողների իրավունքների պաշտպանության EmployeeProtect.am առցանց հարթակը:</w:t>
      </w:r>
    </w:p>
    <w:p w14:paraId="48E7EFB7" w14:textId="77777777" w:rsidR="00A35BE5" w:rsidRPr="00E04728" w:rsidRDefault="00A35BE5" w:rsidP="00A35BE5">
      <w:pPr>
        <w:spacing w:line="276" w:lineRule="auto"/>
        <w:rPr>
          <w:rFonts w:eastAsia="Calibri" w:cs="Arian AMU"/>
        </w:rPr>
      </w:pPr>
      <w:r w:rsidRPr="00E04728">
        <w:rPr>
          <w:rFonts w:eastAsia="Calibri" w:cs="Arian AMU"/>
        </w:rPr>
        <w:t xml:space="preserve">Ազդարարման համակարգի խնդիրներից է նաև պետական և տեղական ինքնակառավարման մարմնի ղեկավարներին ազդարարման հարցերով պատասխանատու </w:t>
      </w:r>
      <w:r w:rsidRPr="00E04728">
        <w:rPr>
          <w:rFonts w:eastAsia="Calibri" w:cs="Arian AMU"/>
        </w:rPr>
        <w:lastRenderedPageBreak/>
        <w:t xml:space="preserve">անձանց նշանակելու լայն հայեցողության վերապահումը, ազդարարման հարցերով պատասխանատուների վերապատրաստման, մասնագիտական աճի հարցերով վերապատրաստում իրականացնող պատասխանատու կառույցների բացակայությունը: </w:t>
      </w:r>
    </w:p>
    <w:p w14:paraId="04E41AF9" w14:textId="77777777" w:rsidR="00A35BE5" w:rsidRPr="00E04728" w:rsidRDefault="00A35BE5" w:rsidP="00A35BE5">
      <w:pPr>
        <w:spacing w:line="276" w:lineRule="auto"/>
        <w:rPr>
          <w:rFonts w:eastAsia="Calibri" w:cs="Arian AMU"/>
        </w:rPr>
      </w:pPr>
      <w:r w:rsidRPr="00E04728">
        <w:rPr>
          <w:rFonts w:eastAsia="Calibri" w:cs="Arian AMU"/>
        </w:rPr>
        <w:t>Բացի այդ, հարկ է նշել, որ չնայած «Ազդարարման համակարգի մասին» ՀՀ օրենքում կատարված վերջին փոփոխություններին, հստակ չեն իրավասու մարմինները դերերը, դրանց բաշխումը, մասնավոր կազմակերպությունների հետ կապված հաղորդումների ներկայացման, դրանց ընթացք տալու առանձնահատկությունները։</w:t>
      </w:r>
      <w:r w:rsidRPr="00E04728">
        <w:rPr>
          <w:rFonts w:cs="Arian AMU"/>
        </w:rPr>
        <w:t xml:space="preserve"> </w:t>
      </w:r>
      <w:r w:rsidRPr="00E04728">
        <w:rPr>
          <w:rFonts w:eastAsia="Calibri" w:cs="Arian AMU"/>
        </w:rPr>
        <w:t xml:space="preserve"> </w:t>
      </w:r>
    </w:p>
    <w:p w14:paraId="3DEB6D9E" w14:textId="77777777" w:rsidR="00A35BE5" w:rsidRPr="00E04728" w:rsidRDefault="00A35BE5" w:rsidP="00A35BE5">
      <w:pPr>
        <w:spacing w:line="276" w:lineRule="auto"/>
        <w:rPr>
          <w:rFonts w:eastAsia="Calibri" w:cs="Arian AMU"/>
        </w:rPr>
      </w:pPr>
      <w:r w:rsidRPr="00E04728">
        <w:rPr>
          <w:rFonts w:cs="Arian AMU"/>
        </w:rPr>
        <w:t xml:space="preserve">Հարկ է նաև նշել, որ </w:t>
      </w:r>
      <w:r w:rsidRPr="00E04728">
        <w:rPr>
          <w:rFonts w:eastAsia="Calibri" w:cs="Arian AMU"/>
        </w:rPr>
        <w:t xml:space="preserve">«Ազդարարման համակարգի մասին» ՀՀ օրենքով նախատեսված չեն ազդարարման հիման վրա հարուցված վարույթի արդյունքում ընդունվող ակտերին ներկայացվող հիմնական պահանջները, ինչը կարող է բացասաբար ազդել այդ ակտերի պատշաճ հիմնավորված և պատճառաբանված լինելու հանգամանքի վրա, բացի այդ նախատեսված չեն ազդարարման հիման վրա հարուցված վարույթի արդյունքում ընդունված ակտերի բողոքարկման մեխանիզմները։ </w:t>
      </w:r>
    </w:p>
    <w:p w14:paraId="0BD911DB" w14:textId="77777777" w:rsidR="00A35BE5" w:rsidRPr="00E04728" w:rsidRDefault="00A35BE5" w:rsidP="00A35BE5">
      <w:pPr>
        <w:spacing w:line="276" w:lineRule="auto"/>
        <w:rPr>
          <w:rFonts w:eastAsia="Calibri" w:cs="Arian AMU"/>
        </w:rPr>
      </w:pPr>
      <w:r w:rsidRPr="00E04728">
        <w:rPr>
          <w:rFonts w:eastAsia="Calibri" w:cs="Arian AMU"/>
        </w:rPr>
        <w:t xml:space="preserve">Ազդարարման համակարգի խնդիրներից է նաև այդ հարցերով վիճակագրության վարելու միասնական կանոնների բացակայությունը, վիճակագրության մեջ ներառվող տվյալների սահմանափակ բնույթը, վիճակագրություն վարողների սահմանափակ շրջանակը: </w:t>
      </w:r>
    </w:p>
    <w:p w14:paraId="218EAEAA" w14:textId="77777777" w:rsidR="00A35BE5" w:rsidRPr="00E04728" w:rsidRDefault="00A35BE5" w:rsidP="00A35BE5">
      <w:pPr>
        <w:spacing w:line="276" w:lineRule="auto"/>
        <w:rPr>
          <w:rFonts w:cs="Arian AMU"/>
        </w:rPr>
      </w:pPr>
      <w:r w:rsidRPr="00E04728">
        <w:rPr>
          <w:rFonts w:cs="Arian AMU"/>
        </w:rPr>
        <w:t>Իրենց հերթին, քաղաքացիական հասարակության ներկայացուցիչները ազդարարման համակարգի առումով արձանագրել են այն, որ քաղաքացիները պարզ և մատչելի չեն պատկերացնում ազդարարման հարթակի կարևորությունը, օգտակարությունը, օգտագործման մեխանիզմները: Այս առումով կարևորվել է վստահության մակարդակի բարձրացումը հանրության շրջանում, քանի որ համակարգի վերջնական նպատակը ոչ թե գաղտնի ազդարարումներ ստանալն է, այլ քաղաքացիների վստահության ապահովումը</w:t>
      </w:r>
      <w:r w:rsidRPr="00E04728">
        <w:rPr>
          <w:rFonts w:cs="Arian AMU"/>
          <w:vertAlign w:val="superscript"/>
        </w:rPr>
        <w:footnoteReference w:id="28"/>
      </w:r>
      <w:r w:rsidRPr="00E04728">
        <w:rPr>
          <w:rFonts w:cs="Arian AMU"/>
        </w:rPr>
        <w:t>:</w:t>
      </w:r>
    </w:p>
    <w:p w14:paraId="79CF7AC2" w14:textId="77777777" w:rsidR="00A35BE5" w:rsidRPr="00E04728" w:rsidRDefault="00A35BE5" w:rsidP="00A35BE5">
      <w:pPr>
        <w:spacing w:line="276" w:lineRule="auto"/>
        <w:rPr>
          <w:rFonts w:cs="Times New Roman"/>
        </w:rPr>
      </w:pPr>
      <w:bookmarkStart w:id="17" w:name="_Hlk72847752"/>
      <w:r w:rsidRPr="00E04728">
        <w:rPr>
          <w:rFonts w:cs="Arian AMU"/>
        </w:rPr>
        <w:t>Վերը նշված խնդիրների լուծման տեսանկյունից կարևոր նշանակություն ունի ազդարարման համակարգի ներկա մոդելի հնարավոր վերանայման հնարավորության դիտարկումը՝ հաշվի առնելով ազդարարման տեսակների գործնական կիրառելիությունը ապահովելու անհրաժեշտությունը</w:t>
      </w:r>
      <w:r w:rsidRPr="00E04728">
        <w:rPr>
          <w:rFonts w:cs="Times New Roman"/>
        </w:rPr>
        <w:t>, անհրաժեշտ է նաև ներդնել ազդարարման խ</w:t>
      </w:r>
      <w:r w:rsidRPr="00E04728">
        <w:rPr>
          <w:rFonts w:cs="Arial"/>
        </w:rPr>
        <w:t xml:space="preserve">թանմանը </w:t>
      </w:r>
      <w:r w:rsidRPr="00E04728">
        <w:rPr>
          <w:rFonts w:cs="Times New Roman"/>
        </w:rPr>
        <w:t xml:space="preserve"> ուղղված կառուցակարգեր, բարձրացնել ազդարարների տրվող պաշտպանության երաշխիքների արդյունավետությունը:</w:t>
      </w:r>
    </w:p>
    <w:p w14:paraId="27A55DDD" w14:textId="77777777" w:rsidR="00A35BE5" w:rsidRPr="00E04728" w:rsidRDefault="00A35BE5" w:rsidP="00A35BE5">
      <w:pPr>
        <w:spacing w:line="276" w:lineRule="auto"/>
        <w:rPr>
          <w:rFonts w:eastAsia="Calibri" w:cs="Arian AMU"/>
        </w:rPr>
      </w:pPr>
      <w:r w:rsidRPr="00E04728">
        <w:rPr>
          <w:rFonts w:cs="Times New Roman"/>
        </w:rPr>
        <w:t xml:space="preserve">Անհրաժեշտ է նաև </w:t>
      </w:r>
      <w:r w:rsidRPr="00E04728">
        <w:rPr>
          <w:rFonts w:cs="Arian AMU"/>
        </w:rPr>
        <w:t>ազդարարման համակարգի ներկա մոդելի վերանայման արդյունքում անհրաժեշտության դեպքում ապահովել ազդարարման հարցով պատասխանատուների ընտրությունը և նշանակումը մասնագիտական, արժանիքահեն սկզբունքներով ու ընթացակարգերով</w:t>
      </w:r>
      <w:r w:rsidRPr="00E04728">
        <w:rPr>
          <w:rFonts w:cs="Times New Roman"/>
        </w:rPr>
        <w:t xml:space="preserve">, </w:t>
      </w:r>
      <w:r w:rsidRPr="00E04728">
        <w:rPr>
          <w:rFonts w:cs="Arian AMU"/>
        </w:rPr>
        <w:t xml:space="preserve">ազդարարման հարցերով պատասխանատուների մասնագիտական գործունեության համակարգումը և նրանց վերապատրաստման կազմակերպումը: Հարկ է նաև </w:t>
      </w:r>
      <w:r w:rsidRPr="00E04728">
        <w:rPr>
          <w:rFonts w:eastAsia="Calibri" w:cs="Arian AMU"/>
        </w:rPr>
        <w:t xml:space="preserve">հստակեցնել ազդարարման հարցերով պատասխանատու </w:t>
      </w:r>
      <w:r w:rsidRPr="00E04728">
        <w:rPr>
          <w:rFonts w:eastAsia="Calibri" w:cs="Arian AMU"/>
        </w:rPr>
        <w:lastRenderedPageBreak/>
        <w:t>մարմինների դերերը, մասնավոր ոլորտի այլ կազմակերպությունների վերաբերյալ հաղորդումների ներկայացման, դրանց ընթացք տալու առանձնահատկությունները:</w:t>
      </w:r>
    </w:p>
    <w:p w14:paraId="0E0EA4A8" w14:textId="77777777" w:rsidR="00A35BE5" w:rsidRPr="00E04728" w:rsidRDefault="00A35BE5" w:rsidP="00A35BE5">
      <w:pPr>
        <w:spacing w:line="276" w:lineRule="auto"/>
        <w:rPr>
          <w:rFonts w:cs="Arian AMU"/>
        </w:rPr>
      </w:pPr>
      <w:r w:rsidRPr="00E04728">
        <w:rPr>
          <w:rFonts w:eastAsia="Calibri" w:cs="Arian AMU"/>
        </w:rPr>
        <w:t>Անհրաժեշտ է օրենսդրորեն նախատեսել ազդարարման հիման վրա հարուցված վարույթի արդյունքում ընդունվող ակտերին ներկայացվող հիմնական պահանջները՝ ապահովելով դրանց պատշաճ պատճառաբանվածությունը և հիմնավորվածությունը, նախատեսել ազդարարման վարույթի արդյունքում ընդունվող ակտերի բողոքարկման հնարավորություն</w:t>
      </w:r>
      <w:r w:rsidRPr="00E04728">
        <w:rPr>
          <w:rFonts w:eastAsia="Calibri" w:cs="Times New Roman"/>
        </w:rPr>
        <w:t xml:space="preserve">, </w:t>
      </w:r>
      <w:r w:rsidRPr="00E04728">
        <w:rPr>
          <w:rFonts w:cs="Arian AMU"/>
        </w:rPr>
        <w:t xml:space="preserve">զարգացնել ազդարարման դեպքերի վերաբերյալ վիճակագրություն վարելու համակարգը, </w:t>
      </w:r>
      <w:r w:rsidRPr="00E04728">
        <w:rPr>
          <w:iCs/>
          <w:color w:val="202124"/>
          <w:shd w:val="clear" w:color="auto" w:fill="FFFFFF"/>
        </w:rPr>
        <w:t>կատարելագործել ազդարարման էլեկտրոնային հարթակը</w:t>
      </w:r>
      <w:bookmarkEnd w:id="17"/>
      <w:r w:rsidRPr="00E04728">
        <w:rPr>
          <w:iCs/>
          <w:color w:val="202124"/>
          <w:shd w:val="clear" w:color="auto" w:fill="FFFFFF"/>
        </w:rPr>
        <w:t xml:space="preserve">՝ կատարելագործելով նաև </w:t>
      </w:r>
      <w:r w:rsidRPr="00E04728">
        <w:rPr>
          <w:color w:val="1F2123"/>
        </w:rPr>
        <w:t>հարթակի</w:t>
      </w:r>
      <w:r w:rsidRPr="00E04728">
        <w:rPr>
          <w:color w:val="1F2123"/>
          <w:spacing w:val="1"/>
        </w:rPr>
        <w:t xml:space="preserve"> </w:t>
      </w:r>
      <w:r w:rsidRPr="00E04728">
        <w:rPr>
          <w:color w:val="1F2123"/>
        </w:rPr>
        <w:t>անվտանգության</w:t>
      </w:r>
      <w:r w:rsidRPr="00E04728">
        <w:rPr>
          <w:color w:val="1F2123"/>
          <w:spacing w:val="1"/>
        </w:rPr>
        <w:t xml:space="preserve"> </w:t>
      </w:r>
      <w:r w:rsidRPr="00E04728">
        <w:rPr>
          <w:color w:val="1F2123"/>
        </w:rPr>
        <w:t>երաշխիքները</w:t>
      </w:r>
      <w:r w:rsidRPr="00E04728">
        <w:rPr>
          <w:iCs/>
          <w:color w:val="202124"/>
          <w:shd w:val="clear" w:color="auto" w:fill="FFFFFF"/>
        </w:rPr>
        <w:t>:</w:t>
      </w:r>
    </w:p>
    <w:p w14:paraId="79E1B6FE" w14:textId="77777777" w:rsidR="00630268" w:rsidRPr="00E04728" w:rsidRDefault="00630268" w:rsidP="00630268">
      <w:pPr>
        <w:jc w:val="center"/>
        <w:rPr>
          <w:b/>
          <w:color w:val="000000" w:themeColor="text1"/>
        </w:rPr>
      </w:pPr>
    </w:p>
    <w:p w14:paraId="6336203D" w14:textId="77777777" w:rsidR="00630268" w:rsidRPr="00E04728" w:rsidRDefault="00630268" w:rsidP="00630268">
      <w:pPr>
        <w:ind w:firstLine="0"/>
        <w:jc w:val="center"/>
        <w:rPr>
          <w:b/>
          <w:color w:val="000000" w:themeColor="text1"/>
        </w:rPr>
      </w:pPr>
      <w:r w:rsidRPr="00E04728">
        <w:rPr>
          <w:b/>
          <w:color w:val="000000" w:themeColor="text1"/>
        </w:rPr>
        <w:t>ԻՐԱՎԱԲԱՆԱԿԱՆ ԱՆՁԱՆՑ ՔՐԵԱԿԱՆ ՊԱՏԱՍԽԱՆԱՏՎՈՒԹՅԱՆ ԻՆՍՏԻՏՈՒՏԻ ԿԱՏԱՐԵԼԱԳՈՐԾՄԱՆ ՏԵՍԼԱԿԱՆԻ ՈՒՐՎԱԳԾՈՒՄ</w:t>
      </w:r>
    </w:p>
    <w:p w14:paraId="2E7FA8A4" w14:textId="77777777" w:rsidR="00630268" w:rsidRPr="00E04728" w:rsidRDefault="00630268" w:rsidP="00630268">
      <w:pPr>
        <w:pBdr>
          <w:top w:val="nil"/>
          <w:left w:val="nil"/>
          <w:bottom w:val="nil"/>
          <w:right w:val="nil"/>
          <w:between w:val="nil"/>
        </w:pBdr>
        <w:spacing w:line="276" w:lineRule="auto"/>
        <w:rPr>
          <w:color w:val="000000"/>
        </w:rPr>
      </w:pPr>
    </w:p>
    <w:p w14:paraId="7275654E" w14:textId="57B678C7" w:rsidR="00630268" w:rsidRPr="00E04728" w:rsidRDefault="00630268" w:rsidP="00630268">
      <w:pPr>
        <w:spacing w:line="276" w:lineRule="auto"/>
        <w:rPr>
          <w:color w:val="000000"/>
        </w:rPr>
      </w:pPr>
      <w:r w:rsidRPr="00E04728">
        <w:rPr>
          <w:color w:val="000000"/>
        </w:rPr>
        <w:tab/>
        <w:t xml:space="preserve">2022թ. հուլիսի 1-ից ուժի մեջ մտած նոր քրեական օրենսգրքով (20-21-րդ գլուխներով) ներդրվեց իրավաբանական անձանց քրեական պատասխանատվության ինստիտուտը։ </w:t>
      </w:r>
      <w:r w:rsidR="00B34B24" w:rsidRPr="00E04728">
        <w:rPr>
          <w:color w:val="000000"/>
        </w:rPr>
        <w:t>Չնայած ինստիտուտի գործարկում</w:t>
      </w:r>
      <w:r w:rsidR="007420D3">
        <w:rPr>
          <w:color w:val="000000"/>
        </w:rPr>
        <w:t>ը նոր է</w:t>
      </w:r>
      <w:r w:rsidR="00B34B24" w:rsidRPr="00E04728">
        <w:rPr>
          <w:color w:val="000000"/>
        </w:rPr>
        <w:t>, սակայն</w:t>
      </w:r>
      <w:r w:rsidR="00C92A8D" w:rsidRPr="00E04728">
        <w:rPr>
          <w:color w:val="000000"/>
        </w:rPr>
        <w:t xml:space="preserve"> արդեն իսկ մի շարք մտահոգություններ են ներկայացվել փորձագիտական շրջանակների կողմից։ Բացի այդ, գործարար համայ</w:t>
      </w:r>
      <w:r w:rsidR="007420D3">
        <w:rPr>
          <w:color w:val="000000"/>
        </w:rPr>
        <w:t>ն</w:t>
      </w:r>
      <w:r w:rsidR="00C92A8D" w:rsidRPr="00E04728">
        <w:rPr>
          <w:color w:val="000000"/>
        </w:rPr>
        <w:t xml:space="preserve">քը ևս </w:t>
      </w:r>
      <w:r w:rsidR="004E0D5A" w:rsidRPr="00E04728">
        <w:rPr>
          <w:color w:val="000000"/>
        </w:rPr>
        <w:t>մտահոգություններ է հայտնում այս առնչությամբ։</w:t>
      </w:r>
      <w:r w:rsidR="00B34B24" w:rsidRPr="00E04728">
        <w:rPr>
          <w:color w:val="000000"/>
        </w:rPr>
        <w:t xml:space="preserve"> </w:t>
      </w:r>
      <w:r w:rsidRPr="00E04728">
        <w:rPr>
          <w:color w:val="000000"/>
        </w:rPr>
        <w:t xml:space="preserve">Այս ինստիտուտի արդյունավետությունը գնահատելու համար անհրաժեշտ է իրականացնել </w:t>
      </w:r>
      <w:r w:rsidRPr="00E04728">
        <w:rPr>
          <w:color w:val="000000" w:themeColor="text1"/>
        </w:rPr>
        <w:t xml:space="preserve">դրա ազդեցության ուսումնասիրություն և վերհանել խնդիրները: Նշվածը հատկապես կարևորվում է </w:t>
      </w:r>
      <w:r w:rsidRPr="00E04728">
        <w:rPr>
          <w:color w:val="000000"/>
        </w:rPr>
        <w:t xml:space="preserve">արդեն իսկ արձանագրված որոշ խնդիրների համատեքստում։ Մասնավորապես, որպես իրավաբանական անձանց քրեական պատասխանատվության վրա հասնելու նախապայման է սահմանվել հանցանքի կատարումը հատկապես իրավաբանական անձի գործունեության կամ դրա կողմից կայացվող որոշումների վրա ազդելու իրավասություն ունեցող անձի կողմից կամ այդպիսի անձի թողտվությամբ կամ դրդմամբ իրավաբանական անձին ներկայացնող անձի կողմից։ </w:t>
      </w:r>
    </w:p>
    <w:p w14:paraId="1CBC575A" w14:textId="77777777" w:rsidR="00630268" w:rsidRPr="00E04728" w:rsidRDefault="00630268" w:rsidP="00630268">
      <w:pPr>
        <w:spacing w:line="276" w:lineRule="auto"/>
        <w:rPr>
          <w:color w:val="000000" w:themeColor="text1"/>
        </w:rPr>
      </w:pPr>
      <w:r w:rsidRPr="00E04728">
        <w:rPr>
          <w:color w:val="000000"/>
        </w:rPr>
        <w:t>Արդյունքում կարգավորման շրջանակից դուրս են մնացել այն դեպքերը, երբ հանցանքը կատարվել է իրավաբանական անձի նկատմամբ իրական (փաստացի) վերահսկողություն իրականացնող անձանց կողմից։ Այս խնդիրը ուշադրության է արժանացել նաև ՏՀԶԿ (2022) Հակակոռուպցիոն բարեփոխումները Հայաստանում. Ստամբուլյան հակակոռուպցիոն գործողությունների ծրագրի պիլոտային մոնիթորինգի 5-րդ փուլի վերաբերյալ զեկույցում (ցուցիչ 10.1.2)</w:t>
      </w:r>
      <w:r w:rsidRPr="00E04728">
        <w:rPr>
          <w:color w:val="000000"/>
          <w:vertAlign w:val="superscript"/>
        </w:rPr>
        <w:footnoteReference w:id="29"/>
      </w:r>
      <w:r w:rsidRPr="00E04728">
        <w:rPr>
          <w:color w:val="000000"/>
        </w:rPr>
        <w:t xml:space="preserve">: </w:t>
      </w:r>
      <w:bookmarkStart w:id="18" w:name="_heading=h.gjdgxs" w:colFirst="0" w:colLast="0"/>
      <w:bookmarkEnd w:id="18"/>
    </w:p>
    <w:p w14:paraId="006FCE79" w14:textId="77777777" w:rsidR="00630268" w:rsidRPr="00E04728" w:rsidRDefault="00630268" w:rsidP="00630268">
      <w:pPr>
        <w:spacing w:line="276" w:lineRule="auto"/>
        <w:rPr>
          <w:color w:val="000000" w:themeColor="text1"/>
        </w:rPr>
      </w:pPr>
      <w:r w:rsidRPr="00E04728">
        <w:rPr>
          <w:color w:val="000000"/>
        </w:rPr>
        <w:tab/>
        <w:t xml:space="preserve">Հիմք ընդունելով նույն զեկույցի դիտարկումները` անհրաժեշտ է նաև իրականացնել </w:t>
      </w:r>
      <w:r w:rsidRPr="00E04728">
        <w:rPr>
          <w:color w:val="000000" w:themeColor="text1"/>
        </w:rPr>
        <w:t>իրավաբանական անձանց նկատմամբ սանկցիաներ կիրառելիս համաչափության սկզբունքի երաշխավորման առնչությամբ առկա վիճակի գնահատում և ըստ անհրաժեշտության՝ բարեփոխումների իրականացում:</w:t>
      </w:r>
    </w:p>
    <w:p w14:paraId="5C50A2F7" w14:textId="77777777" w:rsidR="00630268" w:rsidRPr="00E04728" w:rsidRDefault="00630268" w:rsidP="00630268">
      <w:pPr>
        <w:spacing w:line="276" w:lineRule="auto"/>
        <w:rPr>
          <w:color w:val="000000" w:themeColor="text1"/>
        </w:rPr>
      </w:pPr>
      <w:r w:rsidRPr="00E04728">
        <w:rPr>
          <w:color w:val="000000" w:themeColor="text1"/>
        </w:rPr>
        <w:lastRenderedPageBreak/>
        <w:tab/>
        <w:t xml:space="preserve">Բացի այդ, առաջարկվում է իրավաբանական անձանց քրեական պատասխանատվության ինստիտուտի շրջանակում հակակոռուպցիոն խրախուսական կառուցակարգերի սահմանման առնչությամբ ուսումնասիրության իրականացում և ըստ անհրաժեշտության՝ օրենսդրական փոփոխությունների իրականացում: </w:t>
      </w:r>
    </w:p>
    <w:p w14:paraId="1C88C19D" w14:textId="77777777" w:rsidR="00630268" w:rsidRPr="00E04728" w:rsidRDefault="00630268" w:rsidP="00630268">
      <w:pPr>
        <w:spacing w:line="276" w:lineRule="auto"/>
        <w:rPr>
          <w:color w:val="000000" w:themeColor="text1"/>
        </w:rPr>
      </w:pPr>
      <w:r w:rsidRPr="00E04728">
        <w:rPr>
          <w:color w:val="000000" w:themeColor="text1"/>
        </w:rPr>
        <w:tab/>
        <w:t>Այս ինստիտուտի արդյունավետ կիրառությունը երաշխավորելու տեսանկյունից անհրաժեշտ է նաև իրավաբանական անձանց քրեական պատասխանատվության շրջանակներում կոռուպցիոն բնույթի հանցագործությունների շրջանակի ուսումնասիրության իրականացում և ըստ անհրաժեշտության՝ հանցագործությունների շրջանակի վերանայում։</w:t>
      </w:r>
    </w:p>
    <w:p w14:paraId="37F155FE" w14:textId="02FAE6F1" w:rsidR="00630268" w:rsidRPr="00E04728" w:rsidRDefault="00630268" w:rsidP="002D5561">
      <w:pPr>
        <w:spacing w:line="276" w:lineRule="auto"/>
        <w:ind w:firstLine="0"/>
        <w:jc w:val="left"/>
      </w:pPr>
    </w:p>
    <w:p w14:paraId="42353F42" w14:textId="77777777" w:rsidR="00566BC5" w:rsidRPr="00E04728" w:rsidRDefault="00566BC5" w:rsidP="002D5561">
      <w:pPr>
        <w:spacing w:line="276" w:lineRule="auto"/>
        <w:ind w:firstLine="0"/>
        <w:jc w:val="left"/>
        <w:sectPr w:rsidR="00566BC5" w:rsidRPr="00E04728" w:rsidSect="00272737">
          <w:pgSz w:w="11906" w:h="16838"/>
          <w:pgMar w:top="851" w:right="567" w:bottom="567" w:left="1134" w:header="709" w:footer="709" w:gutter="0"/>
          <w:cols w:space="720"/>
          <w:titlePg/>
          <w:docGrid w:linePitch="360"/>
        </w:sectPr>
      </w:pPr>
    </w:p>
    <w:p w14:paraId="2C6730A5" w14:textId="77777777" w:rsidR="00566BC5" w:rsidRPr="00E04728" w:rsidRDefault="00566BC5" w:rsidP="002D5561">
      <w:pPr>
        <w:spacing w:line="276" w:lineRule="auto"/>
        <w:ind w:firstLine="0"/>
        <w:jc w:val="left"/>
      </w:pPr>
    </w:p>
    <w:p w14:paraId="104A43A7" w14:textId="77777777" w:rsidR="00C876F5" w:rsidRPr="00E04728" w:rsidRDefault="00C876F5" w:rsidP="00C876F5">
      <w:pPr>
        <w:pStyle w:val="Heading1"/>
        <w:spacing w:before="0" w:line="276" w:lineRule="auto"/>
        <w:ind w:firstLine="0"/>
        <w:jc w:val="center"/>
        <w:rPr>
          <w:rFonts w:ascii="GHEA Grapalat" w:eastAsia="Calibri" w:hAnsi="GHEA Grapalat" w:cs="Sylfaen"/>
          <w:b/>
          <w:color w:val="000000" w:themeColor="text1"/>
          <w:sz w:val="24"/>
          <w:szCs w:val="24"/>
        </w:rPr>
      </w:pPr>
      <w:bookmarkStart w:id="19" w:name="_Toc140181772"/>
      <w:r w:rsidRPr="00E04728">
        <w:rPr>
          <w:rFonts w:ascii="GHEA Grapalat" w:eastAsia="Calibri" w:hAnsi="GHEA Grapalat" w:cs="Sylfaen"/>
          <w:b/>
          <w:color w:val="000000" w:themeColor="text1"/>
          <w:sz w:val="24"/>
          <w:szCs w:val="24"/>
        </w:rPr>
        <w:t>ՆՊԱՏԱԿ 3</w:t>
      </w:r>
      <w:r w:rsidRPr="00E04728">
        <w:rPr>
          <w:rFonts w:ascii="MS Mincho" w:eastAsia="MS Mincho" w:hAnsi="MS Mincho" w:cs="MS Mincho" w:hint="eastAsia"/>
          <w:b/>
          <w:color w:val="000000" w:themeColor="text1"/>
          <w:sz w:val="24"/>
          <w:szCs w:val="24"/>
        </w:rPr>
        <w:t>․</w:t>
      </w:r>
      <w:r w:rsidRPr="00E04728">
        <w:rPr>
          <w:rFonts w:ascii="GHEA Grapalat" w:eastAsia="Calibri" w:hAnsi="GHEA Grapalat" w:cs="Sylfaen"/>
          <w:b/>
          <w:color w:val="000000" w:themeColor="text1"/>
          <w:sz w:val="24"/>
          <w:szCs w:val="24"/>
        </w:rPr>
        <w:t xml:space="preserve"> ՀԱԿԱԿՈՌՈՒՊՑԻՈՆ ԿՐԹՈՒԹՅՈՒՆ ԵՎ  ՀԱՆՐԱՅԻՆ ԻՐԱԶԵԿՈՒՄ</w:t>
      </w:r>
      <w:bookmarkEnd w:id="19"/>
    </w:p>
    <w:p w14:paraId="0C12144B" w14:textId="77777777" w:rsidR="00C876F5" w:rsidRPr="00E04728" w:rsidRDefault="00C876F5" w:rsidP="00C876F5">
      <w:pPr>
        <w:tabs>
          <w:tab w:val="left" w:pos="284"/>
          <w:tab w:val="left" w:pos="426"/>
          <w:tab w:val="left" w:pos="709"/>
          <w:tab w:val="left" w:pos="993"/>
        </w:tabs>
        <w:spacing w:line="276" w:lineRule="auto"/>
        <w:contextualSpacing/>
        <w:rPr>
          <w:rFonts w:eastAsia="Calibri" w:cs="Arian AMU"/>
          <w:b/>
          <w:noProof w:val="0"/>
        </w:rPr>
      </w:pPr>
    </w:p>
    <w:p w14:paraId="2CA144AF" w14:textId="77777777" w:rsidR="00C876F5" w:rsidRPr="00E04728" w:rsidRDefault="00C876F5" w:rsidP="00C876F5">
      <w:pPr>
        <w:shd w:val="clear" w:color="auto" w:fill="FFFFFF"/>
        <w:spacing w:line="276" w:lineRule="auto"/>
        <w:rPr>
          <w:rFonts w:eastAsia="Times New Roman" w:cs="Arial"/>
        </w:rPr>
      </w:pPr>
      <w:r w:rsidRPr="00E04728">
        <w:rPr>
          <w:rFonts w:eastAsia="Times New Roman" w:cs="Arial"/>
        </w:rPr>
        <w:t>Կոռուպցիայի դեմ պայքարի արդյունավետությունն ապահովող հիմնական տարրերից մեկը հակակոռուպցիոն պայքարի միջոցների և կառուցակարգերի վերաբերյալ հասարակության պատշաճ կրթումն ու իրազեկումն է:</w:t>
      </w:r>
    </w:p>
    <w:p w14:paraId="41D4B355" w14:textId="77777777" w:rsidR="00C876F5" w:rsidRPr="00E04728" w:rsidRDefault="00C876F5" w:rsidP="00C876F5">
      <w:pPr>
        <w:shd w:val="clear" w:color="auto" w:fill="FFFFFF"/>
        <w:spacing w:line="276" w:lineRule="auto"/>
        <w:rPr>
          <w:rFonts w:eastAsia="Times New Roman" w:cs="Arial"/>
        </w:rPr>
      </w:pPr>
      <w:r w:rsidRPr="00E04728">
        <w:rPr>
          <w:rFonts w:eastAsia="Times New Roman" w:cs="Arial"/>
        </w:rPr>
        <w:t xml:space="preserve"> Վերջինիս հետ սերտորեն կապված է ինչպես կրթության բոլոր մակարդակներում հակակոռուպցիոն ծրագրերի ներառումը, այնպես էլ այլ շահագրգիռ կողմերի համակարգային և պարբերական հակակոռուպցիոն կրթության ապահովումը: Այս տեսանկյունից առավելապես կարևորվում է հակակոռուպցիոն կրթության և իրազեկման, վերջիններիս հետևանքով հակակոռուպցիոն իրավագիտակցության բարձրացման ուղղությամբ պետական մակարդակով գործուն քայլեր ձեռնարկելը:  </w:t>
      </w:r>
    </w:p>
    <w:p w14:paraId="17F0A1D7" w14:textId="77777777" w:rsidR="00C876F5" w:rsidRPr="00E04728" w:rsidRDefault="00C876F5" w:rsidP="00C876F5">
      <w:pPr>
        <w:spacing w:line="276" w:lineRule="auto"/>
        <w:rPr>
          <w:rFonts w:cs="Arian AMU"/>
        </w:rPr>
      </w:pPr>
      <w:r w:rsidRPr="00E04728">
        <w:rPr>
          <w:rFonts w:cs="Arian AMU"/>
        </w:rPr>
        <w:t>Արդյունավետ հակակոռուպցիոն պայքարի գործում առանցքային նշանակություն ունի հակակոռուպցիոն կրթության և իրազեկման թիրախային քաղաքականության մշակումը և իրականացումը, որը պետք է ուղղված լինի հակակոռուպցիոն բարեփոխումներում հանրային ավելի մեծ ներգրավվածություն և աջակցություն ապահովելուն, հանրության մոտ կոռուպցիայի նկատմամբ անհանդուրժողականության մշակույթ ձևավորելու կայուն հիմքեր արմատավորելուն:</w:t>
      </w:r>
    </w:p>
    <w:p w14:paraId="057D8668" w14:textId="77777777" w:rsidR="00C876F5" w:rsidRPr="00E04728" w:rsidRDefault="00C876F5" w:rsidP="00C876F5">
      <w:pPr>
        <w:spacing w:line="276" w:lineRule="auto"/>
        <w:rPr>
          <w:rFonts w:cs="Arian AMU"/>
        </w:rPr>
      </w:pPr>
      <w:r w:rsidRPr="00E04728">
        <w:rPr>
          <w:rFonts w:cs="Arian AMU"/>
        </w:rPr>
        <w:t>Հակակոռուպցիոն կրթության և իրազեկման ուղղությամբ պետության կողմից ձեռնարկվող միջոցառումները պետք է ուղղված լինեն նրան, որ հասարակության յուրաքանչյուր անդամ, ուղղակիորեն կամ անուղղակիորեն նպաստի իրավունքի գերակայության սկզբունքի հետևողական կենսագործմանը: Այս տեսանկյունից կարևոր նշանակություն ունի հասարակության շրջանում հակակոռուպցիոն բարեփոխումների նկատմամբ վստահության բարձրացումը, որն իր հերթին, կարող է խթանել կոռուպցիայի դեմ պայքարում քաղաքացիների առավել ակտիվ մասնակցությունը։</w:t>
      </w:r>
    </w:p>
    <w:p w14:paraId="3B99FA54" w14:textId="77777777" w:rsidR="00C876F5" w:rsidRPr="00E04728" w:rsidRDefault="00C876F5" w:rsidP="00C876F5">
      <w:pPr>
        <w:spacing w:line="276" w:lineRule="auto"/>
        <w:rPr>
          <w:rFonts w:cs="Times New Roman"/>
          <w:color w:val="000000" w:themeColor="text1"/>
        </w:rPr>
      </w:pPr>
      <w:r w:rsidRPr="00E04728">
        <w:rPr>
          <w:rFonts w:cs="Arian AMU"/>
        </w:rPr>
        <w:t xml:space="preserve">Ուշադրության է արժանի նաև այն, որ իրականացված </w:t>
      </w:r>
      <w:r w:rsidRPr="00E04728">
        <w:rPr>
          <w:rFonts w:cs="Times New Roman"/>
          <w:color w:val="000000" w:themeColor="text1"/>
        </w:rPr>
        <w:t>ուսումնասիրության արդյունքները</w:t>
      </w:r>
      <w:r w:rsidRPr="00E04728">
        <w:rPr>
          <w:rStyle w:val="FootnoteReference"/>
          <w:rFonts w:cs="Times New Roman"/>
          <w:color w:val="000000" w:themeColor="text1"/>
        </w:rPr>
        <w:footnoteReference w:id="30"/>
      </w:r>
      <w:r w:rsidRPr="00E04728">
        <w:rPr>
          <w:rFonts w:cs="Times New Roman"/>
          <w:color w:val="000000" w:themeColor="text1"/>
        </w:rPr>
        <w:t xml:space="preserve"> վկայում են, որ առկա է անմիջական կապ՝ քաղաքացու կրթական, իրազեկման մակարդակի և կոռուպցիոն դրսևորումները ոչ կոռուպցիոն դրսևորումներից տարանջատելու, կոռուպիայի նվազեցման ուղղությամբ իրենց կարողությունների նկատմամբ հավատի և պատասխանատվության զգացումի միջև։  </w:t>
      </w:r>
    </w:p>
    <w:p w14:paraId="1D254B59" w14:textId="77777777" w:rsidR="00C876F5" w:rsidRPr="00E04728" w:rsidRDefault="00C876F5" w:rsidP="00C876F5">
      <w:pPr>
        <w:spacing w:line="276" w:lineRule="auto"/>
        <w:rPr>
          <w:rFonts w:cs="Times New Roman"/>
          <w:color w:val="000000" w:themeColor="text1"/>
        </w:rPr>
      </w:pPr>
      <w:r w:rsidRPr="00E04728">
        <w:rPr>
          <w:rFonts w:cs="Times New Roman"/>
          <w:color w:val="000000" w:themeColor="text1"/>
        </w:rPr>
        <w:t>Մեկ այլ ուսումնասիրության համաձայն՝ նրանք, ովքեր ունեն ավելի բարձր կրթամակարդակ, ավելի քիչ հանդուրժող են կոռուպցիայի նկատմամբ</w:t>
      </w:r>
      <w:r w:rsidRPr="00E04728">
        <w:rPr>
          <w:rStyle w:val="FootnoteReference"/>
          <w:rFonts w:cs="Times New Roman"/>
          <w:color w:val="000000" w:themeColor="text1"/>
        </w:rPr>
        <w:footnoteReference w:id="31"/>
      </w:r>
      <w:r w:rsidRPr="00E04728">
        <w:rPr>
          <w:rFonts w:cs="Times New Roman"/>
          <w:color w:val="000000" w:themeColor="text1"/>
        </w:rPr>
        <w:t>: Այսինքն՝ գոյություն ունի ուղիղ համեմատական կապ ոչ միայն կրթամակարդակի և կոռուպցիայի դեմ պայքարի կարևորության և պատասխանատվության միջև, այլև՝ հակակոռուպցիոն վարքագծի դրսևորման հավանականության:</w:t>
      </w:r>
    </w:p>
    <w:p w14:paraId="3AC85F36" w14:textId="77777777" w:rsidR="00C876F5" w:rsidRPr="00E04728" w:rsidRDefault="00C876F5" w:rsidP="00C876F5">
      <w:pPr>
        <w:spacing w:line="276" w:lineRule="auto"/>
        <w:rPr>
          <w:rFonts w:cs="Arian AMU"/>
        </w:rPr>
      </w:pPr>
    </w:p>
    <w:p w14:paraId="33F97834" w14:textId="77777777" w:rsidR="00C876F5" w:rsidRPr="00E04728" w:rsidRDefault="00C876F5" w:rsidP="00C876F5">
      <w:pPr>
        <w:spacing w:line="276" w:lineRule="auto"/>
        <w:rPr>
          <w:rFonts w:cs="Arian AMU"/>
        </w:rPr>
      </w:pPr>
    </w:p>
    <w:p w14:paraId="048537B7" w14:textId="77777777" w:rsidR="00C876F5" w:rsidRPr="00E04728" w:rsidRDefault="00C876F5" w:rsidP="00C876F5">
      <w:pPr>
        <w:tabs>
          <w:tab w:val="left" w:pos="450"/>
          <w:tab w:val="left" w:pos="993"/>
          <w:tab w:val="left" w:pos="1418"/>
        </w:tabs>
        <w:spacing w:line="276" w:lineRule="auto"/>
        <w:ind w:firstLine="0"/>
        <w:jc w:val="center"/>
        <w:rPr>
          <w:b/>
          <w:bCs/>
          <w:color w:val="000000" w:themeColor="text1"/>
        </w:rPr>
      </w:pPr>
      <w:r w:rsidRPr="00E04728">
        <w:rPr>
          <w:b/>
          <w:bCs/>
          <w:color w:val="000000" w:themeColor="text1"/>
        </w:rPr>
        <w:lastRenderedPageBreak/>
        <w:t>ՌԱԶՄԱՎԱՐԱԿԱՆ ՈՒՂՂՈՒԹՅՈՒՆՆԵՐ</w:t>
      </w:r>
    </w:p>
    <w:p w14:paraId="05B70C46" w14:textId="77777777" w:rsidR="00C876F5" w:rsidRPr="00E04728" w:rsidRDefault="00C876F5" w:rsidP="00C876F5">
      <w:pPr>
        <w:spacing w:line="276" w:lineRule="auto"/>
        <w:ind w:firstLine="0"/>
        <w:jc w:val="center"/>
        <w:rPr>
          <w:rFonts w:cs="Arian AMU"/>
          <w:b/>
        </w:rPr>
      </w:pPr>
    </w:p>
    <w:p w14:paraId="5A5E9406" w14:textId="77777777" w:rsidR="00C876F5" w:rsidRPr="00E04728" w:rsidRDefault="00C876F5" w:rsidP="00C876F5">
      <w:pPr>
        <w:spacing w:line="276" w:lineRule="auto"/>
        <w:ind w:firstLine="0"/>
        <w:jc w:val="center"/>
        <w:rPr>
          <w:b/>
          <w:color w:val="000000" w:themeColor="text1"/>
        </w:rPr>
      </w:pPr>
      <w:r w:rsidRPr="00E04728">
        <w:rPr>
          <w:b/>
          <w:color w:val="000000" w:themeColor="text1"/>
        </w:rPr>
        <w:t>ՀԱԿԱԿՈՌՈՒՊՑԻՈՆ ԿՐԹՈՒԹՅԱՆ ԿԱՌՈՒՑԱԿԱՐԳԵՐԻ ՆԵՐԴՐՈՒՄ ԵՎ ԿԱՏԱՐԵԼԱԳՈՐԾՈՒՄ</w:t>
      </w:r>
    </w:p>
    <w:p w14:paraId="796185AA" w14:textId="77777777" w:rsidR="00C876F5" w:rsidRPr="00E04728" w:rsidRDefault="00C876F5" w:rsidP="00C876F5">
      <w:pPr>
        <w:tabs>
          <w:tab w:val="left" w:pos="284"/>
          <w:tab w:val="left" w:pos="426"/>
          <w:tab w:val="left" w:pos="709"/>
          <w:tab w:val="left" w:pos="993"/>
        </w:tabs>
        <w:spacing w:line="276" w:lineRule="auto"/>
        <w:contextualSpacing/>
        <w:rPr>
          <w:rFonts w:eastAsia="Calibri" w:cs="Arian AMU"/>
          <w:b/>
          <w:noProof w:val="0"/>
        </w:rPr>
      </w:pPr>
    </w:p>
    <w:p w14:paraId="2D51C2A5" w14:textId="77777777" w:rsidR="00C876F5" w:rsidRPr="00E04728" w:rsidRDefault="00C876F5" w:rsidP="00C876F5">
      <w:pPr>
        <w:tabs>
          <w:tab w:val="left" w:pos="900"/>
          <w:tab w:val="left" w:pos="990"/>
        </w:tabs>
        <w:spacing w:line="276" w:lineRule="auto"/>
      </w:pPr>
      <w:r w:rsidRPr="00E04728">
        <w:t>Հակակոռուպցիոն կրթությունը առանցքային նշանակություն ունի առողջ հասարակության ձևավորման և զարգացման համար, հասարակության տարբեր բնագավառների  զարգացման ներուժի ամբողջական իրացման տեսանկյունից:</w:t>
      </w:r>
    </w:p>
    <w:p w14:paraId="34A4FF65" w14:textId="77777777" w:rsidR="00C876F5" w:rsidRPr="00E04728" w:rsidRDefault="00C876F5" w:rsidP="00C876F5">
      <w:pPr>
        <w:tabs>
          <w:tab w:val="left" w:pos="900"/>
          <w:tab w:val="left" w:pos="990"/>
        </w:tabs>
        <w:spacing w:line="276" w:lineRule="auto"/>
      </w:pPr>
      <w:r w:rsidRPr="00E04728">
        <w:t xml:space="preserve">Հակակոռուպցիոն կրթությունը չի կարող հաջողության հասնել երկարաժամկետ հեռանկարում, եթե այն չտարածվի հասարակության լայն շրջանակի մոտ երկրի բոլոր անկյուններում: Վերջինիս ազդեցությունը առավելագույնի հասցնելու համար, չնայած սահմանափակ ռեսուրսներին, առաջնահերթությունը պետք է տրվի այն ոլորտներին, որտեղ կոռուպցիայի առաջացման հավանականությունն ավելի մեծ է կամ դրա հետևանքները ավելի վնասակար են: </w:t>
      </w:r>
    </w:p>
    <w:p w14:paraId="38E69C29" w14:textId="77777777" w:rsidR="00C876F5" w:rsidRPr="00E04728" w:rsidRDefault="00C876F5" w:rsidP="00C876F5">
      <w:pPr>
        <w:spacing w:line="276" w:lineRule="auto"/>
        <w:rPr>
          <w:rFonts w:cs="Arial"/>
          <w:color w:val="000000"/>
          <w:shd w:val="clear" w:color="auto" w:fill="FFFFFF"/>
        </w:rPr>
      </w:pPr>
      <w:r w:rsidRPr="00E04728">
        <w:rPr>
          <w:rFonts w:eastAsia="GHEA Grapalat" w:cs="GHEA Grapalat"/>
          <w:color w:val="000000" w:themeColor="text1"/>
        </w:rPr>
        <w:t xml:space="preserve">2019-2022 թվականների հակակոռուպցիոն ռազմավարության շրջանակում իրականացված աշխատանքների ուսումնասիրությունից պարզ է դառնում </w:t>
      </w:r>
      <w:r w:rsidRPr="00E04728">
        <w:rPr>
          <w:rFonts w:cs="Arian AMU"/>
        </w:rPr>
        <w:t xml:space="preserve">Հայաստանում կոռուպցիայի վերաբերյալ որոշակի գիտելիքներ տրամադրվում են  դպրոցներում, նախնական (արհեստագործական), միջին մասնագիտական և բարձրագույն ուսումնական հաստատություններում, ինչպես նաև պետական և հանրային ծառայության պաշտոն զբաղեցնող անձանց վերապատրաստման ծրագրերում։ </w:t>
      </w:r>
    </w:p>
    <w:p w14:paraId="02019BE7" w14:textId="77777777" w:rsidR="00C876F5" w:rsidRPr="00E04728" w:rsidRDefault="00C876F5" w:rsidP="00C876F5">
      <w:pPr>
        <w:spacing w:line="276" w:lineRule="auto"/>
        <w:rPr>
          <w:rFonts w:eastAsia="Sylfaen" w:cs="Arian AMU"/>
        </w:rPr>
      </w:pPr>
      <w:r w:rsidRPr="00E04728">
        <w:rPr>
          <w:rFonts w:eastAsia="Sylfaen" w:cs="Arian AMU"/>
        </w:rPr>
        <w:t>Այսպես,</w:t>
      </w:r>
      <w:r w:rsidRPr="00E04728">
        <w:rPr>
          <w:rFonts w:eastAsia="Sylfaen" w:cs="Arian AMU"/>
          <w:b/>
        </w:rPr>
        <w:t xml:space="preserve"> </w:t>
      </w:r>
      <w:r w:rsidRPr="00E04728">
        <w:rPr>
          <w:rFonts w:eastAsia="Sylfaen" w:cs="Arian AMU"/>
        </w:rPr>
        <w:t xml:space="preserve">դպրոցներում կոռուպցիայի վերաբերյալ գիտելիքը հիմնականում մատուցվում է «Հասարակագիտություն» առարկայի շրջանակում։  </w:t>
      </w:r>
      <w:r w:rsidRPr="00E04728">
        <w:rPr>
          <w:rFonts w:cs="Arian AMU"/>
        </w:rPr>
        <w:t>2021-2022 ուսումնական տարվանից ՀՀ բուհերում ներմուծված</w:t>
      </w:r>
      <w:r w:rsidRPr="00E04728">
        <w:rPr>
          <w:rFonts w:eastAsia="Sylfaen" w:cs="Arian AMU"/>
        </w:rPr>
        <w:t xml:space="preserve"> է «Հակակոռուպցիոն քաղաքականության հիմունքներ» առարկան, սակայն այն ոչ բոլոր ֆակուլտետներում է դասավանդվում, տարբեր բուհերում առարկայի շրջանակներում ներկայացվող թեմաները միմյանցից էապես տարբերվում են, առկա է ուսումնամեթոդական ձեռնարկների և դիդակտիկ նյութերի կարիք</w:t>
      </w:r>
      <w:r w:rsidRPr="00E04728">
        <w:rPr>
          <w:rFonts w:eastAsia="Sylfaen" w:cs="Arian AMU"/>
          <w:vertAlign w:val="superscript"/>
        </w:rPr>
        <w:footnoteReference w:id="32"/>
      </w:r>
      <w:r w:rsidRPr="00E04728">
        <w:rPr>
          <w:rFonts w:eastAsia="Sylfaen" w:cs="Arian AMU"/>
        </w:rPr>
        <w:t xml:space="preserve">։ </w:t>
      </w:r>
    </w:p>
    <w:p w14:paraId="12C69994" w14:textId="77777777" w:rsidR="00C876F5" w:rsidRPr="00E04728" w:rsidRDefault="00C876F5" w:rsidP="00C876F5">
      <w:pPr>
        <w:spacing w:line="276" w:lineRule="auto"/>
        <w:rPr>
          <w:rFonts w:eastAsia="Sylfaen" w:cs="Arian AMU"/>
        </w:rPr>
      </w:pPr>
      <w:r w:rsidRPr="00E04728">
        <w:rPr>
          <w:rFonts w:eastAsia="Sylfaen" w:cs="Arian AMU"/>
        </w:rPr>
        <w:t>Հարկ է նաև նշել, որ միջին մասնագիտական կրթական ծրագրեր իրականացնող ուսումնական հաստատությունների 2-4-րդ կուրսերում «Իրավունքի հիմունքներ» առարկայի շրջանակում մշակվել և դասավանդվում են «Կոռուպցիայի իրավական բնութագիրը», «Հակակոռուպցիոն քաղաքականությունը», «Հակակոռուպցիոն երևույթի հասկացությունը», «Կոռուպցիայի պատճառները և հետևանքները ՀՀ-ում» և այլ թեմաներ, իսկ միջին մասնագիտական կրթական ծրագրեր իրականանցող հաստատությունների 1-3-րդ կուրսերում` «Իրավունքի հիմունքներ» առարկայի շրջանակում` «Կոռուպցիայի պատճառները և հետևանքները», «Կոռուպցիայի դրսևորումներն և մակարդակները» և այլ թեմաներ</w:t>
      </w:r>
      <w:r w:rsidRPr="00E04728">
        <w:rPr>
          <w:rStyle w:val="FootnoteReference"/>
          <w:rFonts w:eastAsia="Sylfaen" w:cs="Arian AMU"/>
        </w:rPr>
        <w:footnoteReference w:id="33"/>
      </w:r>
      <w:r w:rsidRPr="00E04728">
        <w:rPr>
          <w:rFonts w:eastAsia="Sylfaen" w:cs="Arian AMU"/>
        </w:rPr>
        <w:t>։</w:t>
      </w:r>
    </w:p>
    <w:p w14:paraId="67FE8022" w14:textId="77777777" w:rsidR="00C876F5" w:rsidRPr="00E04728" w:rsidRDefault="00C876F5" w:rsidP="00C876F5">
      <w:pPr>
        <w:tabs>
          <w:tab w:val="left" w:pos="900"/>
          <w:tab w:val="left" w:pos="990"/>
        </w:tabs>
        <w:spacing w:line="276" w:lineRule="auto"/>
        <w:rPr>
          <w:rFonts w:eastAsia="GHEA Grapalat" w:cs="GHEA Grapalat"/>
          <w:color w:val="000000" w:themeColor="text1"/>
        </w:rPr>
      </w:pPr>
      <w:r w:rsidRPr="00E04728">
        <w:rPr>
          <w:rFonts w:cs="Arian AMU"/>
        </w:rPr>
        <w:lastRenderedPageBreak/>
        <w:t>Այնուամենայնիվ, գլխավոր խնդիրներից է այն, որ պետության կողմից համակարգված քաղաքականություն չի վարվում հակակոռուպցիոն կրթության կազմակերպման ոլորտում։</w:t>
      </w:r>
    </w:p>
    <w:p w14:paraId="29868021" w14:textId="77777777" w:rsidR="00C876F5" w:rsidRPr="00E04728" w:rsidRDefault="00C876F5" w:rsidP="00C876F5">
      <w:pPr>
        <w:tabs>
          <w:tab w:val="left" w:pos="900"/>
          <w:tab w:val="left" w:pos="990"/>
        </w:tabs>
        <w:spacing w:line="276" w:lineRule="auto"/>
        <w:rPr>
          <w:rFonts w:eastAsia="GHEA Grapalat" w:cs="GHEA Grapalat"/>
          <w:color w:val="000000" w:themeColor="text1"/>
        </w:rPr>
      </w:pPr>
      <w:r w:rsidRPr="00E04728">
        <w:rPr>
          <w:rFonts w:eastAsia="GHEA Grapalat" w:cs="GHEA Grapalat"/>
          <w:color w:val="000000" w:themeColor="text1"/>
        </w:rPr>
        <w:t>Բացի այդ, կոռուպցիայի նկատմամբ հասարակական անհանդուրժողականության ձևավորման համար անհրաժեշտ է կրթել հասարակությանը՝ վերջինիս պարբերաբար իրազեկելով ոչ միայն իրականացվող բարեփոխումների մասին, այլև տարբեր միջոցներով հասարակությանը իրազեկել՝ ինչ է կոռուպցիան, ինչպես է այն դրսևորվում, ինչ բացասական հետևանքների  կարող է այն հանգեցնել, և հասարակության անդամները ինչ պետք է անեն կոռուպցիան կանխարգելելու, ինչպես նաև բացահայտման հարցում պետությանը օժանդակելու համար։</w:t>
      </w:r>
    </w:p>
    <w:p w14:paraId="27EE3B6B" w14:textId="77777777" w:rsidR="00C876F5" w:rsidRPr="00E04728" w:rsidRDefault="00C876F5" w:rsidP="00C876F5">
      <w:pPr>
        <w:spacing w:line="276" w:lineRule="auto"/>
        <w:rPr>
          <w:rFonts w:eastAsia="Sylfaen" w:cs="Arian AMU"/>
        </w:rPr>
      </w:pPr>
      <w:r w:rsidRPr="00E04728">
        <w:rPr>
          <w:rFonts w:cs="Arian AMU"/>
        </w:rPr>
        <w:t>ՀՀ Կառավարությունը, իր հերթին, գիտակցելով կոռուպցիայի դեմ պայքարում հանրության ներգրավման անհրաժեշտությունը, գտել է, որ կոռուպցիայի նկատմամբ անհանդուրժողականությունը և դրա դեմ պայքարը պետք է դարձնել հասարակության արժեհամակարգի մաս և քաղաքացիների մեջ ձևավորել կոռուպցիան անձնապես մերժելու վարքագիծ</w:t>
      </w:r>
      <w:r w:rsidRPr="00E04728">
        <w:rPr>
          <w:rFonts w:cs="Arian AMU"/>
          <w:vertAlign w:val="superscript"/>
        </w:rPr>
        <w:footnoteReference w:id="34"/>
      </w:r>
      <w:r w:rsidRPr="00E04728">
        <w:rPr>
          <w:rFonts w:cs="Arian AMU"/>
        </w:rPr>
        <w:t>։</w:t>
      </w:r>
      <w:r w:rsidRPr="00E04728">
        <w:rPr>
          <w:rFonts w:eastAsia="Sylfaen" w:cs="Arian AMU"/>
        </w:rPr>
        <w:t xml:space="preserve"> Այս տեսանկյունից կարևոր նշանակություն ունի յուրաքանչյուր անհատի մոտ այն գիտակցության խորը սերմանումը, որ կոռուպցիան պետության թուլացման, անձի սոցիալական վիճակի վատթարացման պատճառներից մեկն է, իսկ յուրաքանչյուր քաղաքացի պետք է գիտակցի իր կարևոր դերը  այս գործընթացում և ստանձնի անձական պատասխանատվություն դրա դեմ պայքարելու գործում: </w:t>
      </w:r>
    </w:p>
    <w:p w14:paraId="6685BA7C" w14:textId="77777777" w:rsidR="00C876F5" w:rsidRPr="00E04728" w:rsidRDefault="00C876F5" w:rsidP="00C876F5">
      <w:pPr>
        <w:spacing w:line="276" w:lineRule="auto"/>
        <w:rPr>
          <w:rFonts w:cs="Arian AMU"/>
        </w:rPr>
      </w:pPr>
      <w:r w:rsidRPr="00E04728">
        <w:rPr>
          <w:rFonts w:cs="Arian AMU"/>
        </w:rPr>
        <w:t xml:space="preserve">Հակակոռուպցիոն կրթության բնագավառի գլխավոր մարտահրավերներից է հակակոռուպցիոն կրթության կազմակերպման ոլորտում համակարգված և միասնական քաղաքականության վարելու գործուն կառուցակարգերի սահմանումը, </w:t>
      </w:r>
      <w:r w:rsidRPr="00E04728">
        <w:rPr>
          <w:color w:val="000000"/>
          <w:shd w:val="clear" w:color="auto" w:fill="FFFFFF"/>
        </w:rPr>
        <w:t>կրթական համակարգի բոլոր մակարդակներում հակակոռուպցիոն կրթության որակի և արդյունավետության բարձրացումը:</w:t>
      </w:r>
    </w:p>
    <w:p w14:paraId="335004C9" w14:textId="77777777" w:rsidR="00C876F5" w:rsidRPr="00E04728" w:rsidRDefault="00C876F5" w:rsidP="00C876F5">
      <w:pPr>
        <w:spacing w:line="276" w:lineRule="auto"/>
        <w:rPr>
          <w:rFonts w:eastAsia="Sylfaen" w:cs="Arian AMU"/>
        </w:rPr>
      </w:pPr>
      <w:r w:rsidRPr="00E04728">
        <w:rPr>
          <w:rFonts w:cs="Arian AMU"/>
        </w:rPr>
        <w:t>Իր հերթին, ոչ ֆորմալ կրթության բնագավառի առնչությամբ պետք է արձանագրել, որ դրա կազմակերպման հիմնական բեռը ստանձնել է քաղաքացիական հասարակությունը, սակայն իրականացվող ոչ-ֆորմալ կրթական ծրագրերի ծավալը բավարար չէ և չի կարող ցանկալի արդյունք ապահովել։ Այս տեսանկյունից կարևորվում է Կոռուպցիայի կանխարգելման հանձնաժողովի, քաղաքացիական հասարակության ներկայացուցիչների առավել ակտիվ դերակատարումը ոչ ֆորմալ կրթության կազմակերպման հարցում։</w:t>
      </w:r>
      <w:r w:rsidRPr="00E04728">
        <w:rPr>
          <w:rFonts w:eastAsia="Sylfaen" w:cs="Arian AMU"/>
        </w:rPr>
        <w:t xml:space="preserve"> </w:t>
      </w:r>
    </w:p>
    <w:p w14:paraId="1FD44F6A" w14:textId="77777777" w:rsidR="00C876F5" w:rsidRPr="00E04728" w:rsidRDefault="00C876F5" w:rsidP="00C876F5">
      <w:pPr>
        <w:spacing w:line="276" w:lineRule="auto"/>
        <w:rPr>
          <w:rFonts w:cs="Arian AMU"/>
        </w:rPr>
      </w:pPr>
      <w:r w:rsidRPr="00E04728">
        <w:rPr>
          <w:rFonts w:cs="Arian AMU"/>
        </w:rPr>
        <w:t>Կոռուպցիայի կանխարգելմանը միտված կրթական գործառույթի շրջանակում առաջնահերթ է բնակչության կրթումը, կոռուպցիա երևույթի և դրա դեմ պայքարի վերաբերյալ թեմաների ընդգրկումը կրթության պետական ծրագրերում։ Կոռուպցիայի կանխարգելման կրթական ծրագրերը ենթադրում են նաև հանրային ծառայողների մասնագիտական վերապատրաստումներ, պետական ծառա</w:t>
      </w:r>
      <w:r w:rsidRPr="00E04728">
        <w:rPr>
          <w:rFonts w:cs="Arial"/>
        </w:rPr>
        <w:t>յ</w:t>
      </w:r>
      <w:r w:rsidRPr="00E04728">
        <w:rPr>
          <w:rFonts w:cs="Arian AMU"/>
        </w:rPr>
        <w:t>ողների վերապատրաստման դասընթացներում դրանց ընդգրկումը</w:t>
      </w:r>
      <w:r w:rsidRPr="00E04728">
        <w:rPr>
          <w:rStyle w:val="FootnoteReference"/>
          <w:rFonts w:cs="Arian AMU"/>
        </w:rPr>
        <w:footnoteReference w:id="35"/>
      </w:r>
      <w:r w:rsidRPr="00E04728">
        <w:rPr>
          <w:rFonts w:cs="Arian AMU"/>
        </w:rPr>
        <w:t>։</w:t>
      </w:r>
    </w:p>
    <w:p w14:paraId="2EF7586C" w14:textId="77777777" w:rsidR="00C876F5" w:rsidRPr="00E04728" w:rsidRDefault="00C876F5" w:rsidP="00C876F5">
      <w:pPr>
        <w:spacing w:line="276" w:lineRule="auto"/>
        <w:rPr>
          <w:rFonts w:eastAsia="Sylfaen" w:cs="Arian AMU"/>
        </w:rPr>
      </w:pPr>
      <w:r w:rsidRPr="00E04728">
        <w:rPr>
          <w:rFonts w:cs="Arial"/>
          <w:color w:val="000000"/>
          <w:shd w:val="clear" w:color="auto" w:fill="FFFFFF"/>
        </w:rPr>
        <w:lastRenderedPageBreak/>
        <w:t xml:space="preserve">Հակակոռուպցիոն կրթության բնագավառում առկա խնդիրներից կարելի է առանձնացնել նաև այն, որ կոռուպցիայի տարբեր ասպեկտների վերաբերյալ առկա նյութերը, դասագրքերը, այլ հրապարակումները մասնագիտական տեսանկյունից պարունակում են բարդ ձևակերպումներ, ինչը, իր հերթին, խոչընդոտում է հասարակության լայն զանգվածների մոտ կոռուպցիայի` որպես խիստ բացասական երևույթի հանդեպ անհրաժեշտ գիտելիքներ և հմտություններ արմատավորելուն: </w:t>
      </w:r>
    </w:p>
    <w:p w14:paraId="6207E293" w14:textId="77777777" w:rsidR="00C876F5" w:rsidRPr="00E04728" w:rsidRDefault="00C876F5" w:rsidP="00C876F5">
      <w:pPr>
        <w:spacing w:line="276" w:lineRule="auto"/>
        <w:rPr>
          <w:rFonts w:cs="Arian AMU"/>
        </w:rPr>
      </w:pPr>
      <w:r w:rsidRPr="00E04728">
        <w:rPr>
          <w:rFonts w:cs="Arian AMU"/>
          <w:bCs/>
        </w:rPr>
        <w:t xml:space="preserve">Ըստ այդմ, </w:t>
      </w:r>
      <w:r w:rsidRPr="00E04728">
        <w:rPr>
          <w:rFonts w:cs="Arian AMU"/>
        </w:rPr>
        <w:t xml:space="preserve">անհրաժեշտ է ապահովել շարունակական հակակոռուպցիոն կրթության միասնական մեթոդաբանությունը` ընդգրկելով մանկապարտեզ-դպրոց-բուհ-հետբուհական կրթական համակարգ շղթան, դիտարկել հակակոռուպցիոն կրթության իրավակարգավորումները մեկ միասնական ակտում սահմանելու անհրաժեշտությունը, ըստ թիրախային խմբերի հստակ սահմանել հակակոռուպցիոն կրթության ակնկալվող վերջնարդյունքները և դրանց գնահատման չափանիշներն ու մեխանիզմները, դիտարկել որակավորումների ազգային շրջանակում հակակոռուպցիոն ոլորտի գիտելիքներ տիրապետելու պահանջ ամրագրելու նպատակահարմարությունը, , երաշխավորել հակակոռուպցիոն կրթության բնագավառի մեթոդական և դիդակտիկ նյութերի առկայությունը, դրանց ներդրումը կրթության տարբեր օղակներում, կատարելագործել առկա առարկայական ծրագրերը, զարգացնել քաղաքացիական հասարակության ներկայացուցիչների կարողությունները, </w:t>
      </w:r>
      <w:r w:rsidRPr="00E04728">
        <w:rPr>
          <w:rFonts w:eastAsia="Times New Roman" w:cs="Arial"/>
          <w:bCs/>
        </w:rPr>
        <w:t xml:space="preserve">ստեղծել հակակոռուպցիոն լաբորատորիաներ, </w:t>
      </w:r>
      <w:r w:rsidRPr="00E04728">
        <w:t xml:space="preserve">համայնքային հակակոռուպցիոն թեմատիկ կենտրոնների ցանց, </w:t>
      </w:r>
      <w:r w:rsidRPr="00E04728">
        <w:rPr>
          <w:rFonts w:cs="Arian AMU"/>
        </w:rPr>
        <w:t>աջակցել հակակոռուպցիոն ոչ ֆորմալ կրթական ցանցերի ձևավորմանը, զարգացմանը և կենսունակության ապահովմանը՝ համագործակցելով քաղաքացիական հասարակության, ԶԼՄ-ների, հակակոռուպցիոն մարմինների, միջազգային կազմակերպությունների և այլ շահագրգիռ կառույցների հետ՝ որպես բարեփոխումների գործընթացի կարևոր դերակատարներ</w:t>
      </w:r>
      <w:r w:rsidRPr="00E04728">
        <w:t>ստեղծել հակակոռուպցիոն թեմատիկ գրականության աղբյուրների համար նախատեսված հարթակ,</w:t>
      </w:r>
      <w:r w:rsidRPr="00E04728">
        <w:rPr>
          <w:rFonts w:cs="Arian AMU"/>
        </w:rPr>
        <w:t xml:space="preserve"> հետևողականորեն զարգացնել քաղաքացիական հասարակության կարողությունները, որպիսի միջոցառումները, այլ միջոցառումների հետ համակցության համատեքստում կնպաստեն նաև կոռուպցիայի նկատմամբ հանրային ընկալումները փոխելուն և երևույթի հանդեպ անհանդուրժողական վարքագիծ սերմանելուն։</w:t>
      </w:r>
      <w:r w:rsidRPr="00E04728">
        <w:rPr>
          <w:rFonts w:eastAsia="Sylfaen" w:cs="Arian AMU"/>
        </w:rPr>
        <w:t xml:space="preserve"> </w:t>
      </w:r>
    </w:p>
    <w:p w14:paraId="638C1C35" w14:textId="77777777" w:rsidR="00C876F5" w:rsidRPr="00E04728" w:rsidRDefault="00C876F5" w:rsidP="00C876F5">
      <w:pPr>
        <w:spacing w:line="276" w:lineRule="auto"/>
        <w:rPr>
          <w:rFonts w:eastAsia="Sylfaen" w:cs="Times New Roman"/>
        </w:rPr>
      </w:pPr>
    </w:p>
    <w:p w14:paraId="1123124C" w14:textId="77777777" w:rsidR="00C876F5" w:rsidRPr="00E04728" w:rsidRDefault="00C876F5" w:rsidP="00C876F5">
      <w:pPr>
        <w:spacing w:line="276" w:lineRule="auto"/>
        <w:ind w:firstLine="0"/>
        <w:jc w:val="center"/>
        <w:rPr>
          <w:b/>
          <w:color w:val="000000" w:themeColor="text1"/>
        </w:rPr>
      </w:pPr>
      <w:r w:rsidRPr="00E04728">
        <w:rPr>
          <w:b/>
          <w:color w:val="000000" w:themeColor="text1"/>
        </w:rPr>
        <w:t>ՀԱՆՐԱՅԻՆ ԻՐԱԶԵԿՄԱՆ ԿԱՌՈՒՑԱԿԱՐԳԵՐԻ ԿԱՏԱՐԵԼԱԳՈՐԾՈՒՄ</w:t>
      </w:r>
    </w:p>
    <w:p w14:paraId="09819673" w14:textId="77777777" w:rsidR="00C876F5" w:rsidRPr="00E04728" w:rsidRDefault="00C876F5" w:rsidP="00C876F5">
      <w:pPr>
        <w:spacing w:line="276" w:lineRule="auto"/>
        <w:rPr>
          <w:rFonts w:eastAsia="Sylfaen" w:cs="Arian AMU"/>
          <w:b/>
        </w:rPr>
      </w:pPr>
    </w:p>
    <w:p w14:paraId="4B756D07" w14:textId="77777777" w:rsidR="00C876F5" w:rsidRPr="00E04728" w:rsidRDefault="00C876F5" w:rsidP="00C876F5">
      <w:pPr>
        <w:tabs>
          <w:tab w:val="left" w:pos="0"/>
          <w:tab w:val="left" w:pos="270"/>
        </w:tabs>
        <w:spacing w:line="276" w:lineRule="auto"/>
        <w:ind w:right="-86"/>
        <w:rPr>
          <w:rFonts w:eastAsia="Sylfaen" w:cs="Arian AMU"/>
        </w:rPr>
      </w:pPr>
      <w:r w:rsidRPr="00E04728">
        <w:rPr>
          <w:rFonts w:cs="Arian AMU"/>
        </w:rPr>
        <w:tab/>
        <w:t xml:space="preserve">2019-2022 թվականների Հայաստանի Հանրապետության հակակոռուպցիոն ռազմավարության իրականացման </w:t>
      </w:r>
      <w:r w:rsidRPr="00E04728">
        <w:rPr>
          <w:rFonts w:eastAsia="Sylfaen" w:cs="Arian AMU"/>
        </w:rPr>
        <w:t>շրջանակներում չնայած նախատեսված են եղել հանրային իրազեկմանն ուղղված միջոցառումներ, սակայն հարկ է նշել, որ դրանք չեն հանգեցրել բոլոր խնդիրների լուծմանը:</w:t>
      </w:r>
    </w:p>
    <w:p w14:paraId="72E488AC" w14:textId="77777777" w:rsidR="00C876F5" w:rsidRPr="00E04728" w:rsidRDefault="00C876F5" w:rsidP="00C876F5">
      <w:pPr>
        <w:tabs>
          <w:tab w:val="left" w:pos="0"/>
          <w:tab w:val="left" w:pos="270"/>
        </w:tabs>
        <w:spacing w:line="276" w:lineRule="auto"/>
        <w:ind w:right="-86"/>
        <w:rPr>
          <w:rFonts w:eastAsia="Sylfaen" w:cs="Arian AMU"/>
        </w:rPr>
      </w:pPr>
      <w:r w:rsidRPr="00E04728">
        <w:rPr>
          <w:rFonts w:eastAsia="Sylfaen" w:cs="Arian AMU"/>
        </w:rPr>
        <w:t xml:space="preserve">Նշվածը պայմանավորված է եղել այն հանգամանքով, որ բավարար ծավալով հանրային իրազեկման արշավներ չեն իրականացվել, որոնց միջոցով հանրությունը կտեղեկացվեր պետության կողմից հակակոռուպցիոն միջոցառումների իրականացման արդյունավետության, ծառայությունների մատուցման ոլորտում բարեփոխումների, </w:t>
      </w:r>
      <w:r w:rsidRPr="00E04728">
        <w:rPr>
          <w:rFonts w:eastAsia="Sylfaen" w:cs="Arian AMU"/>
        </w:rPr>
        <w:lastRenderedPageBreak/>
        <w:t>ազդարարման և բողոքարկման մեխանիզմների, պետական մարմինների հետ հարաբերակցվելիս իրենց իրավունքների վերաբերյալ: Որպես առաջնային նպատակ չի դրվել հանրության գիտակցության և վարքագծի փոփոխումը</w:t>
      </w:r>
      <w:r w:rsidRPr="00E04728">
        <w:rPr>
          <w:rStyle w:val="FootnoteReference"/>
          <w:rFonts w:eastAsia="Sylfaen" w:cs="Arian AMU"/>
        </w:rPr>
        <w:footnoteReference w:id="36"/>
      </w:r>
      <w:r w:rsidRPr="00E04728">
        <w:rPr>
          <w:rFonts w:eastAsia="Sylfaen" w:cs="Arian AMU"/>
        </w:rPr>
        <w:t>։</w:t>
      </w:r>
    </w:p>
    <w:p w14:paraId="445C143D" w14:textId="77777777" w:rsidR="00C876F5" w:rsidRPr="00E04728" w:rsidRDefault="00C876F5" w:rsidP="00C876F5">
      <w:pPr>
        <w:tabs>
          <w:tab w:val="left" w:pos="0"/>
          <w:tab w:val="left" w:pos="270"/>
        </w:tabs>
        <w:spacing w:line="276" w:lineRule="auto"/>
        <w:ind w:right="-86"/>
        <w:rPr>
          <w:rFonts w:eastAsia="Sylfaen" w:cs="Arian AMU"/>
        </w:rPr>
      </w:pPr>
      <w:r w:rsidRPr="00E04728">
        <w:rPr>
          <w:rFonts w:eastAsia="Sylfaen" w:cs="Arian AMU"/>
        </w:rPr>
        <w:t xml:space="preserve"> 2019-2022</w:t>
      </w:r>
      <w:r w:rsidRPr="00E04728">
        <w:rPr>
          <w:rFonts w:eastAsia="MS Mincho" w:cs="MS Mincho"/>
        </w:rPr>
        <w:t xml:space="preserve"> թվականների</w:t>
      </w:r>
      <w:r w:rsidRPr="00E04728">
        <w:rPr>
          <w:rFonts w:cs="Arian AMU"/>
        </w:rPr>
        <w:t xml:space="preserve"> </w:t>
      </w:r>
      <w:r w:rsidRPr="00E04728">
        <w:rPr>
          <w:rFonts w:eastAsia="Sylfaen" w:cs="Arian AMU"/>
        </w:rPr>
        <w:t>ռազմավարության հիմնական շահագրգիռ կողմերի շրջանում չկա լայն ընկալում առ այն, որ հակակոռուպցիոն քաղաքականության փաստաթղթերը պատշաճ կերպով կատարվում են</w:t>
      </w:r>
      <w:r w:rsidRPr="00E04728">
        <w:rPr>
          <w:rStyle w:val="FootnoteReference"/>
          <w:rFonts w:eastAsia="Sylfaen" w:cs="Arian AMU"/>
        </w:rPr>
        <w:footnoteReference w:id="37"/>
      </w:r>
      <w:r w:rsidRPr="00E04728">
        <w:rPr>
          <w:rFonts w:eastAsia="Sylfaen" w:cs="Arian AMU"/>
        </w:rPr>
        <w:t xml:space="preserve">: </w:t>
      </w:r>
    </w:p>
    <w:p w14:paraId="1B81356A" w14:textId="77777777" w:rsidR="00C876F5" w:rsidRPr="00E04728" w:rsidRDefault="00C876F5" w:rsidP="00C876F5">
      <w:pPr>
        <w:tabs>
          <w:tab w:val="left" w:pos="0"/>
          <w:tab w:val="left" w:pos="270"/>
        </w:tabs>
        <w:spacing w:line="276" w:lineRule="auto"/>
        <w:ind w:right="-86"/>
        <w:rPr>
          <w:rFonts w:eastAsia="Sylfaen" w:cs="Arian AMU"/>
        </w:rPr>
      </w:pPr>
      <w:r w:rsidRPr="00E04728">
        <w:rPr>
          <w:rFonts w:eastAsia="Sylfaen" w:cs="Arian AMU"/>
        </w:rPr>
        <w:t>Կարևորելով  հանրային իրազեկմանն ուղղված միջոցառումների իրականացման անհրաժեշտությունը` ՀՀ վարչապետի 2022 թվականի 820-Լ որոշմամբ հաստատվել է կոռուպցիայի դեմ պայքարի շրջանակներում հաղորդակցման գործողությունների ծրագիրը</w:t>
      </w:r>
      <w:r w:rsidRPr="00E04728">
        <w:rPr>
          <w:rFonts w:eastAsia="Sylfaen" w:cs="Arian AMU"/>
          <w:vertAlign w:val="superscript"/>
        </w:rPr>
        <w:footnoteReference w:id="38"/>
      </w:r>
      <w:r w:rsidRPr="00E04728">
        <w:rPr>
          <w:rFonts w:eastAsia="Sylfaen" w:cs="Arian AMU"/>
        </w:rPr>
        <w:t>, որով նախատեսվել են հաղորդակցման գործողությունների շրջանակը, հաղորդակցման եղանակները և միջոցները, ակնկալվող արդյունքները</w:t>
      </w:r>
      <w:r w:rsidRPr="00E04728">
        <w:rPr>
          <w:rStyle w:val="FootnoteReference"/>
          <w:rFonts w:eastAsia="Sylfaen" w:cs="Arian AMU"/>
        </w:rPr>
        <w:footnoteReference w:id="39"/>
      </w:r>
      <w:r w:rsidRPr="00E04728">
        <w:rPr>
          <w:rFonts w:eastAsia="Sylfaen" w:cs="Arian AMU"/>
        </w:rPr>
        <w:t xml:space="preserve">: </w:t>
      </w:r>
    </w:p>
    <w:p w14:paraId="46EAE166" w14:textId="77777777" w:rsidR="00C876F5" w:rsidRPr="00E04728" w:rsidRDefault="00C876F5" w:rsidP="00C876F5">
      <w:pPr>
        <w:tabs>
          <w:tab w:val="left" w:pos="0"/>
          <w:tab w:val="left" w:pos="270"/>
        </w:tabs>
        <w:spacing w:line="276" w:lineRule="auto"/>
        <w:ind w:right="-86"/>
        <w:rPr>
          <w:rFonts w:eastAsia="Sylfaen" w:cs="Arian AMU"/>
        </w:rPr>
      </w:pPr>
      <w:r w:rsidRPr="00E04728">
        <w:rPr>
          <w:color w:val="000000" w:themeColor="text1"/>
        </w:rPr>
        <w:t>Հաղորդակցման գործողությունների ծրագրի շրջանակներում իրականացվել են Հակակոռուպցիոն ռազմավարության միջոցառումների իրականացման ընթացքի և դրա արդյունքում իրականացվող բարեփոխումների վերաբերալ իրազեկման արշավներ հեռուստատեսությամբ, սոցիալական ցանցերում և պաշտոնական կայքերում գովազդային տեսահոլովակների հեռարձակման/ցուցադրման, սոցիալական ցանցերում, պաշտոնական կայքերում և զանգվածային լրատվության միջոցներում տեղեկատվական նյութերի հրապարակման միջոցով:</w:t>
      </w:r>
    </w:p>
    <w:p w14:paraId="3BD5E13E" w14:textId="77777777" w:rsidR="00C876F5" w:rsidRPr="00E04728" w:rsidRDefault="00C876F5" w:rsidP="00C876F5">
      <w:pPr>
        <w:spacing w:line="276" w:lineRule="auto"/>
        <w:rPr>
          <w:color w:val="000000" w:themeColor="text1"/>
        </w:rPr>
      </w:pPr>
      <w:r w:rsidRPr="00E04728">
        <w:rPr>
          <w:color w:val="000000" w:themeColor="text1"/>
        </w:rPr>
        <w:t>Բացի այդ, իրականացվել են տեղեկատվական արշավներ Կոռուպցիայի կանխարգելման և հակազդման մարմինների գործունեության վերաբերյալ, իրականացվել են վերապատրաստումներ և սեմինարներ գործարար ոլորտում կոռուպցիայի դեմ պայքարի թեմայով, պետական մարմինների մամուլի քարտուղարների կամ հասարակայնության կապերի մասնագետների և լրագրողների համար կոռուպցիայի դեմ պայքարի թեմայով, ինչպես նաև տեղեկատվական նյութեր են հրապարակվել Ազդարարման համակարգի և ազդարարման մեխանիզմների, հանրային իրազեկում իրավական ակտերի նախագծերի հրապարակման միասնական կայքի՝ www.e-draft.am հարթակի, ինչպես նաև դրանից օգտվելու կանոնների մասին։</w:t>
      </w:r>
    </w:p>
    <w:p w14:paraId="172EE38A" w14:textId="77777777" w:rsidR="00C876F5" w:rsidRPr="00E04728" w:rsidRDefault="00C876F5" w:rsidP="00C876F5">
      <w:pPr>
        <w:spacing w:line="276" w:lineRule="auto"/>
        <w:rPr>
          <w:color w:val="000000" w:themeColor="text1"/>
        </w:rPr>
      </w:pPr>
      <w:r w:rsidRPr="00E04728">
        <w:lastRenderedPageBreak/>
        <w:t>Պետք է նշել, որ</w:t>
      </w:r>
      <w:r w:rsidRPr="00E04728">
        <w:rPr>
          <w:rFonts w:eastAsia="Sylfaen" w:cs="Arian AMU"/>
        </w:rPr>
        <w:t xml:space="preserve"> հանրային իրազեկման արշավները անհրաժեշտ է դարձնել առավել թիրախային` ընդգրկելով հասարակության լայն շերտերը, և արդյունքում հասնել նրան, որ հանրությունը  համապարփակ տեղեկացվի պետության կողմից հակակոռուպցիոն միջոցառումների իրականացման արդյունավետության, ծառայությունների մատուցման ոլորտում բարեփոխումների, ազդարարման և բողոքարկման մեխանիզմների, պետական մարմինների հետ հարաբերակցվելիս իրենց իրավունքների վերաբերյալ: </w:t>
      </w:r>
    </w:p>
    <w:p w14:paraId="7CDBDAB4" w14:textId="5841FCEF" w:rsidR="00C876F5" w:rsidRPr="00E04728" w:rsidRDefault="00C876F5" w:rsidP="00C876F5">
      <w:pPr>
        <w:tabs>
          <w:tab w:val="left" w:pos="0"/>
          <w:tab w:val="left" w:pos="270"/>
        </w:tabs>
        <w:spacing w:line="276" w:lineRule="auto"/>
        <w:ind w:right="-86"/>
        <w:rPr>
          <w:rFonts w:eastAsia="Sylfaen" w:cs="Arian AMU"/>
        </w:rPr>
      </w:pPr>
      <w:r w:rsidRPr="00E04728">
        <w:rPr>
          <w:rFonts w:eastAsia="Sylfaen" w:cs="Arian AMU"/>
        </w:rPr>
        <w:t>Համաձայն ՀՀ-ում «Կոռուպցիայի վերաբերյալ հանրային կարծիքի» ուսումնասիրության</w:t>
      </w:r>
      <w:r w:rsidR="009B4F16" w:rsidRPr="00E04728">
        <w:rPr>
          <w:rFonts w:cs="Arian AMU"/>
          <w:vertAlign w:val="superscript"/>
        </w:rPr>
        <w:footnoteReference w:id="40"/>
      </w:r>
      <w:r w:rsidRPr="00E04728">
        <w:rPr>
          <w:rFonts w:eastAsia="Sylfaen" w:cs="Arian AMU"/>
        </w:rPr>
        <w:t xml:space="preserve">՝ </w:t>
      </w:r>
      <w:r w:rsidR="009B4F16">
        <w:rPr>
          <w:rFonts w:asciiTheme="minorHAnsi" w:eastAsia="Sylfaen" w:hAnsiTheme="minorHAnsi" w:cs="Arian AMU"/>
        </w:rPr>
        <w:t>հ</w:t>
      </w:r>
      <w:r w:rsidRPr="00E04728">
        <w:rPr>
          <w:rFonts w:eastAsia="Sylfaen" w:cs="Arian AMU"/>
        </w:rPr>
        <w:t xml:space="preserve">արցվածների 44%-ը հակակոռուպցիոն գործունեությամբ զբաղվող ոչ մի պետական մարմնի և հասարակական կազմակերպության առհասարակ չի ճանաչել։ Չկա լայն հասարակական ընկալում, որ ազդարարման ուղիները վստահելի են և արդյունավետ։ Հարցվածների կեսից ավելին (51,1%) նշել է, որ չի հայտնի համապատասխան մարմիններին, եթե անձամբ առնչվի կոռուպցիայի հետ։ Հարցվողների մեծ մասը համարում է, որ կոռուպցիոն դեպքերի մասին հայտնելու դեպքում քննադատության կարժանանա կամ կկրի այլ բացասական հետևանքներ: Խնդրահարույց է նաև հարցվողների 47,5%-ի մտավախությունն առ այն, որ «սովորական մարդիկ ոչինչ չեն կարող անել կոռուպցիան նվազեցնելու համար»։ Առավել մտահոգիչ է քաղաքացիների 63%-ի կարծիքն առ այն, որ կոռուպցիան հնարավոր չէ նվազեցնել կամ հնարավոր է նվազեցնել միայն մասամբ։ </w:t>
      </w:r>
    </w:p>
    <w:p w14:paraId="196226BA" w14:textId="77777777" w:rsidR="00C876F5" w:rsidRPr="00E04728" w:rsidRDefault="00C876F5" w:rsidP="00C876F5">
      <w:pPr>
        <w:tabs>
          <w:tab w:val="left" w:pos="0"/>
          <w:tab w:val="left" w:pos="270"/>
        </w:tabs>
        <w:spacing w:line="276" w:lineRule="auto"/>
        <w:ind w:right="-86"/>
        <w:rPr>
          <w:rFonts w:eastAsia="Sylfaen" w:cs="Arian AMU"/>
        </w:rPr>
      </w:pPr>
      <w:r w:rsidRPr="00E04728">
        <w:rPr>
          <w:rFonts w:eastAsia="Sylfaen" w:cs="Arian AMU"/>
        </w:rPr>
        <w:t>Մտահոգիչ են նաև 2021 թվականին իրականացված կոռուպցիայի վերաբերյալ հանրային կարծիքի ուսումնասիրության արդյունքները, որոնք հանգում են նրան, որ քաղաքացիների 65 տոկոսը տեղյակ չէ, թե ՀՀ-ում որ պետական մարմինները և ՀԿ-ներն են իրականացնում հակակոռուպցիոն գործունեություն։ Քաղաքացիների մոտ 70 տոկոսը գտել է, որ ունի տեղեկատվական աջակցության կարիք՝ կոռուպցիայի առնչությամբ իրենց իրավունքների և պարտականությունների, այն հաստատությունների մասին, որոնց կարելի է դիմել պաշտոնյաների կոռուպցիոն վարքի դեպքում, պետական մարմինների թեժ գծի մասին</w:t>
      </w:r>
      <w:r w:rsidRPr="00E04728">
        <w:rPr>
          <w:rStyle w:val="FootnoteReference"/>
          <w:rFonts w:eastAsia="Sylfaen" w:cs="Arian AMU"/>
        </w:rPr>
        <w:footnoteReference w:id="41"/>
      </w:r>
      <w:r w:rsidRPr="00E04728">
        <w:rPr>
          <w:rFonts w:eastAsia="Sylfaen" w:cs="Arian AMU"/>
        </w:rPr>
        <w:t>։</w:t>
      </w:r>
    </w:p>
    <w:p w14:paraId="65746072" w14:textId="77777777" w:rsidR="00C876F5" w:rsidRPr="00E04728" w:rsidRDefault="00C876F5" w:rsidP="00C876F5">
      <w:pPr>
        <w:spacing w:line="276" w:lineRule="auto"/>
        <w:rPr>
          <w:color w:val="000000" w:themeColor="text1"/>
        </w:rPr>
      </w:pPr>
      <w:r w:rsidRPr="00E04728">
        <w:rPr>
          <w:rFonts w:cs="CIDFont+F1"/>
        </w:rPr>
        <w:t>Ֆինանսական միջոցների բացակայությունը ևս էական ազդեցություն ունի իրազեկման ուղղված միջոցառումների արդյունավետ իրականացման վրա, քանի որ առանց բավարար ֆինանսական միջոցների առկայության և տեղական ու միջազգային փորձագետներ ներգրավելու հնարավոր չէ կազմակերպել ճշգրիտ և արդյունավետ իրազեկման արշավներ:</w:t>
      </w:r>
    </w:p>
    <w:p w14:paraId="3CA4DC11" w14:textId="1B789A1C" w:rsidR="00C876F5" w:rsidRPr="00E04728" w:rsidRDefault="00C876F5" w:rsidP="00C876F5">
      <w:pPr>
        <w:spacing w:line="276" w:lineRule="auto"/>
        <w:rPr>
          <w:color w:val="000000" w:themeColor="text1"/>
        </w:rPr>
      </w:pPr>
      <w:r w:rsidRPr="00E04728">
        <w:rPr>
          <w:rFonts w:eastAsia="Sylfaen" w:cs="Arian AMU"/>
        </w:rPr>
        <w:t xml:space="preserve">Հակակոռուպցիոն իրազեկման աշխատանքների անհրաժեշտ արդյունավետություն ապահովելու տեսանկյունից խոչընդոտ է նաև այն, </w:t>
      </w:r>
      <w:r w:rsidR="009B4F16" w:rsidRPr="009B4F16">
        <w:rPr>
          <w:rFonts w:eastAsia="Sylfaen" w:cs="Arian AMU"/>
        </w:rPr>
        <w:t xml:space="preserve">որ </w:t>
      </w:r>
      <w:r w:rsidRPr="00E04728">
        <w:rPr>
          <w:rFonts w:eastAsia="Sylfaen" w:cs="Arian AMU"/>
        </w:rPr>
        <w:t>լուսաբանման համար օգտագործված միջոցները չեն ապահով</w:t>
      </w:r>
      <w:r w:rsidR="009B4F16" w:rsidRPr="009B4F16">
        <w:rPr>
          <w:rFonts w:eastAsia="Sylfaen" w:cs="Arian AMU"/>
        </w:rPr>
        <w:t xml:space="preserve">վում </w:t>
      </w:r>
      <w:r w:rsidRPr="00E04728">
        <w:rPr>
          <w:rFonts w:eastAsia="Sylfaen" w:cs="Arian AMU"/>
        </w:rPr>
        <w:t xml:space="preserve"> հասարակության լայն շերտերի ներգրավումը, իրազեկումը և տեղեկացվածությունը</w:t>
      </w:r>
      <w:r w:rsidR="009B4F16" w:rsidRPr="009B4F16">
        <w:rPr>
          <w:rFonts w:eastAsia="Sylfaen" w:cs="Arian AMU"/>
        </w:rPr>
        <w:t>:</w:t>
      </w:r>
      <w:r w:rsidRPr="00E04728">
        <w:rPr>
          <w:rFonts w:eastAsia="Sylfaen" w:cs="Arian AMU"/>
        </w:rPr>
        <w:t xml:space="preserve">։ Բացի այդ, արդյունավետության տեսանկյունից կարևոր նշանակություն ունի նաև հիմնական ֆոկուս խմբերի առանձնացումը, ազգային </w:t>
      </w:r>
      <w:r w:rsidRPr="00E04728">
        <w:rPr>
          <w:rFonts w:eastAsia="Sylfaen" w:cs="Arian AMU"/>
        </w:rPr>
        <w:lastRenderedPageBreak/>
        <w:t xml:space="preserve">հոգեկերտվածքի հետ կապված առանձնահատկությունները հստակ հաշվի առնելը և գնահատելը։  </w:t>
      </w:r>
    </w:p>
    <w:p w14:paraId="1B9B4C2C" w14:textId="77777777" w:rsidR="00C876F5" w:rsidRPr="00E04728" w:rsidRDefault="00C876F5" w:rsidP="00C876F5">
      <w:pPr>
        <w:spacing w:line="276" w:lineRule="auto"/>
        <w:rPr>
          <w:color w:val="000000" w:themeColor="text1"/>
        </w:rPr>
      </w:pPr>
      <w:r w:rsidRPr="00E04728">
        <w:rPr>
          <w:rFonts w:eastAsia="Sylfaen" w:cs="Arian AMU"/>
        </w:rPr>
        <w:t xml:space="preserve">Նշված խնդիրների լուծման տեսանկյունից մեծ նշանակություն ունի բոլոր հակակոռուպցիոն կառույցների հանրային հաղորդակցության ռազմավարությունների ներդաշնակեցումը, հակակոռուպցիոն ինստիտուտների գործունեության պատշաճ լուսաբանումը, հակակոռուպցիոն հանրային հաղորդակցության և իրազեկման արդյունավետ գործողությունների ծրագրի մշակումը, հաստատումը և դրա հետևողական իրացումը: </w:t>
      </w:r>
    </w:p>
    <w:p w14:paraId="2FC5FF37" w14:textId="77777777" w:rsidR="00C876F5" w:rsidRPr="00E04728" w:rsidRDefault="00C876F5" w:rsidP="00C876F5">
      <w:pPr>
        <w:spacing w:line="276" w:lineRule="auto"/>
        <w:rPr>
          <w:color w:val="000000" w:themeColor="text1"/>
        </w:rPr>
      </w:pPr>
      <w:r w:rsidRPr="00E04728">
        <w:rPr>
          <w:rFonts w:eastAsia="Sylfaen" w:cs="Arian AMU"/>
        </w:rPr>
        <w:t>Իրազեկման արշավների արդյունավետության տեսանկյունից կարևոր նշանակություն ունի նաև սոցիալական մարդաբանների, հասարակագետների, ազգագրագետների և հոգեբանների ներգրավումը, քաղաքացիական հասարակության ներկայացուցիչների հետ համատեղ հակակոռուպցիոն հանրային իրազեկման արշավների կազմակերպումը և իրականացումը</w:t>
      </w:r>
    </w:p>
    <w:p w14:paraId="59DCA28B" w14:textId="77777777" w:rsidR="00C876F5" w:rsidRPr="00E04728" w:rsidRDefault="00C876F5" w:rsidP="00C876F5">
      <w:pPr>
        <w:spacing w:line="276" w:lineRule="auto"/>
        <w:rPr>
          <w:rFonts w:eastAsia="Times New Roman" w:cs="Times New Roman"/>
          <w:bCs/>
        </w:rPr>
      </w:pPr>
      <w:r w:rsidRPr="00E04728">
        <w:rPr>
          <w:rFonts w:eastAsia="Sylfaen" w:cs="Arian AMU"/>
        </w:rPr>
        <w:t xml:space="preserve">Անհրաժեշտ է նաև </w:t>
      </w:r>
      <w:r w:rsidRPr="00E04728">
        <w:rPr>
          <w:bCs/>
        </w:rPr>
        <w:t xml:space="preserve">կատարելագործել իրազեկման մեխանիզմները, դարձնել առավել թիրախային, իրականացնել իրազեկումներ և վերապատրաստումներ ըստ տարբեր խմբերի, պատրաստել և կիրառել </w:t>
      </w:r>
      <w:r w:rsidRPr="00E04728">
        <w:rPr>
          <w:rFonts w:eastAsia="Times New Roman" w:cs="Arial"/>
          <w:bCs/>
        </w:rPr>
        <w:t>սոցիալական թիրախավորված գովազդներ</w:t>
      </w:r>
      <w:r w:rsidRPr="00E04728">
        <w:rPr>
          <w:rFonts w:eastAsia="Times New Roman" w:cs="Times New Roman"/>
          <w:bCs/>
        </w:rPr>
        <w:t>:</w:t>
      </w:r>
    </w:p>
    <w:p w14:paraId="005485DE" w14:textId="77777777" w:rsidR="00C876F5" w:rsidRPr="00E04728" w:rsidRDefault="00C876F5" w:rsidP="00C876F5">
      <w:pPr>
        <w:spacing w:line="276" w:lineRule="auto"/>
        <w:rPr>
          <w:rFonts w:eastAsia="Sylfaen" w:cs="Arian AMU"/>
        </w:rPr>
      </w:pPr>
      <w:r w:rsidRPr="00E04728">
        <w:rPr>
          <w:rFonts w:eastAsia="Sylfaen" w:cs="Arian AMU"/>
        </w:rPr>
        <w:t>Հանրային իրազեկման արշավների տեսանկյունից հասարակության լայն զանգվածներին անհրաժեշտ տեղեկությունները փոխանցելու տեսանկյունից կարևոր նշանակություն ունի հանրային հեռարձակողների հետ սերտ համագործակցությունը՝ հաշվի առնելով նաև այն հանգամանքը, որ հանրային հեռարձակողները պարտավոր են սպառողներին մատուցել հաղորդումներ, որոնք ուղղված են բնակչության իրավագիտակցության, սոցիալական պատասխանատվության բարձրացմանը։</w:t>
      </w:r>
    </w:p>
    <w:p w14:paraId="45A0412F" w14:textId="77777777" w:rsidR="00C876F5" w:rsidRPr="00E04728" w:rsidRDefault="00C876F5" w:rsidP="00C876F5">
      <w:pPr>
        <w:spacing w:line="276" w:lineRule="auto"/>
        <w:rPr>
          <w:color w:val="000000" w:themeColor="text1"/>
        </w:rPr>
      </w:pPr>
      <w:r w:rsidRPr="00E04728">
        <w:rPr>
          <w:rFonts w:cs="Times New Roman"/>
          <w:color w:val="000000"/>
          <w:shd w:val="clear" w:color="auto" w:fill="FFFFFF"/>
        </w:rPr>
        <w:t xml:space="preserve">Բացի այդ, </w:t>
      </w:r>
      <w:r w:rsidRPr="00E04728">
        <w:rPr>
          <w:rFonts w:eastAsia="Sylfaen" w:cs="Times New Roman"/>
        </w:rPr>
        <w:t xml:space="preserve">անհրաժեշտ է </w:t>
      </w:r>
      <w:r w:rsidRPr="00E04728">
        <w:rPr>
          <w:rFonts w:eastAsia="Sylfaen" w:cs="Arian AMU"/>
        </w:rPr>
        <w:t>ապահովել կոռուպցիայի վերաբերյալ հանրային կարծիքի ուսումնասիրությունների պարբերաբար ստացումը և դրանց միջոցով հանրային իրազեկման ծրագրերի արդյունքների պարբերական գնահատման համակարգի ձևավորումը</w:t>
      </w:r>
      <w:r w:rsidRPr="00E04728">
        <w:rPr>
          <w:rFonts w:eastAsia="Sylfaen" w:cs="Times New Roman"/>
        </w:rPr>
        <w:t>:</w:t>
      </w:r>
    </w:p>
    <w:p w14:paraId="2FF17002" w14:textId="77777777" w:rsidR="00C876F5" w:rsidRPr="00E04728" w:rsidRDefault="00C876F5" w:rsidP="00C876F5">
      <w:pPr>
        <w:spacing w:line="276" w:lineRule="auto"/>
        <w:jc w:val="left"/>
        <w:rPr>
          <w:rFonts w:eastAsia="Calibri" w:cs="Arian AMU"/>
          <w:b/>
          <w:noProof w:val="0"/>
          <w:color w:val="000000" w:themeColor="text1"/>
        </w:rPr>
      </w:pPr>
    </w:p>
    <w:p w14:paraId="36A35B2E" w14:textId="77777777" w:rsidR="00566BC5" w:rsidRPr="00E04728" w:rsidRDefault="00566BC5" w:rsidP="009330BD">
      <w:pPr>
        <w:keepNext/>
        <w:keepLines/>
        <w:ind w:firstLine="0"/>
        <w:jc w:val="center"/>
        <w:outlineLvl w:val="0"/>
        <w:rPr>
          <w:b/>
          <w:color w:val="000000" w:themeColor="text1"/>
        </w:rPr>
        <w:sectPr w:rsidR="00566BC5" w:rsidRPr="00E04728" w:rsidSect="00272737">
          <w:pgSz w:w="11906" w:h="16838"/>
          <w:pgMar w:top="851" w:right="567" w:bottom="567" w:left="1134" w:header="709" w:footer="709" w:gutter="0"/>
          <w:cols w:space="720"/>
          <w:titlePg/>
          <w:docGrid w:linePitch="360"/>
        </w:sectPr>
      </w:pPr>
      <w:bookmarkStart w:id="20" w:name="_Toc135078492"/>
    </w:p>
    <w:p w14:paraId="3BD571F4" w14:textId="77777777" w:rsidR="00DD66E6" w:rsidRPr="00DD66E6" w:rsidRDefault="00DD66E6" w:rsidP="00DD66E6">
      <w:pPr>
        <w:keepNext/>
        <w:keepLines/>
        <w:outlineLvl w:val="0"/>
        <w:rPr>
          <w:b/>
          <w:color w:val="000000" w:themeColor="text1"/>
        </w:rPr>
      </w:pPr>
      <w:bookmarkStart w:id="21" w:name="_Toc140181773"/>
      <w:r w:rsidRPr="00DD66E6">
        <w:rPr>
          <w:b/>
          <w:color w:val="000000" w:themeColor="text1"/>
        </w:rPr>
        <w:lastRenderedPageBreak/>
        <w:t xml:space="preserve">ՆՊԱՏԱԿ 4. </w:t>
      </w:r>
      <w:r w:rsidRPr="00DD66E6">
        <w:rPr>
          <w:rFonts w:ascii="GHEA Mariam" w:eastAsiaTheme="minorEastAsia" w:hAnsi="GHEA Mariam"/>
          <w:b/>
          <w:bCs/>
          <w:noProof w:val="0"/>
          <w:color w:val="FFFFFF" w:themeColor="background1"/>
          <w:position w:val="1"/>
          <w:sz w:val="80"/>
          <w:szCs w:val="80"/>
        </w:rPr>
        <w:t xml:space="preserve"> </w:t>
      </w:r>
      <w:r w:rsidRPr="002B1778">
        <w:rPr>
          <w:b/>
          <w:bCs/>
          <w:color w:val="000000" w:themeColor="text1"/>
        </w:rPr>
        <w:t xml:space="preserve">ԳՈՐԾԱՐԱՐ </w:t>
      </w:r>
      <w:r w:rsidRPr="00DD66E6">
        <w:rPr>
          <w:b/>
          <w:bCs/>
          <w:color w:val="000000" w:themeColor="text1"/>
          <w:lang w:val="x-none"/>
        </w:rPr>
        <w:t>ԲԱՐԵՎԱՐՔՈՒԹՅՈՒՆ,  ԳՈՐԾԱՐԱՐ ԻՐԱՎՈՒՆՔՆԵՐԻ ՊԱՇՏՊԱՆՈՒԹՅՈՒՆ ԵՎ ՊԵՏՈՒԹՅՈՒՆ-ԳՈՐԾԱՐԱՐ ՎԱՐՉԱՐԱՐՈԻԹՅԱՆ ԴՅՈՒՐԱՑՈՒՄ</w:t>
      </w:r>
      <w:bookmarkEnd w:id="21"/>
    </w:p>
    <w:p w14:paraId="06816666" w14:textId="77777777" w:rsidR="00DD66E6" w:rsidRPr="00DD66E6" w:rsidRDefault="00DD66E6" w:rsidP="00DD66E6">
      <w:pPr>
        <w:tabs>
          <w:tab w:val="left" w:pos="851"/>
          <w:tab w:val="left" w:pos="993"/>
        </w:tabs>
        <w:spacing w:line="276" w:lineRule="auto"/>
        <w:ind w:firstLine="0"/>
      </w:pPr>
    </w:p>
    <w:p w14:paraId="2D4218D8" w14:textId="77777777" w:rsidR="00DD66E6" w:rsidRPr="00DD66E6" w:rsidRDefault="00DD66E6" w:rsidP="00DD66E6">
      <w:pPr>
        <w:tabs>
          <w:tab w:val="left" w:pos="851"/>
          <w:tab w:val="left" w:pos="993"/>
        </w:tabs>
        <w:spacing w:line="276" w:lineRule="auto"/>
      </w:pPr>
      <w:r w:rsidRPr="00DD66E6">
        <w:t>Համապարփակ և բազմակողմանի հակակոռուպցիոն պայքարն անհնար է առանց մասնավոր (գործարար) հատվածի ներգրավման: Կառավարությունները միայն սեփական ջանքերով չեն կարող ձևավորել համակարգային փոփոխություններ, իսկ մասնավոր հատվածն ունի բիզնես հետարքրքրություն երկրում թափանցիկության բարձրացման և կոռուպցիայի պատճառով ձևավորվող անարդյունավետությունների կրճատման հարցում</w:t>
      </w:r>
      <w:r w:rsidRPr="00DD66E6">
        <w:rPr>
          <w:vertAlign w:val="superscript"/>
        </w:rPr>
        <w:footnoteReference w:id="42"/>
      </w:r>
      <w:r w:rsidRPr="00DD66E6">
        <w:t>:</w:t>
      </w:r>
    </w:p>
    <w:p w14:paraId="5BBFDC60" w14:textId="77777777" w:rsidR="00DD66E6" w:rsidRPr="00DD66E6" w:rsidRDefault="00DD66E6" w:rsidP="00DD66E6">
      <w:pPr>
        <w:tabs>
          <w:tab w:val="left" w:pos="851"/>
          <w:tab w:val="left" w:pos="993"/>
        </w:tabs>
        <w:spacing w:line="276" w:lineRule="auto"/>
      </w:pPr>
      <w:r w:rsidRPr="00DD66E6">
        <w:t>Գործնականում անհնար է համապարփակ և արդյունավետ հակակոռուպցիոն պայքար մղել՝ առանց մասնավոր հատվածում կոռուպցիայի դեմ պայքար մղելու: Պատահական չէ, որ Կոռուպցիայի ընկալման համաթվով բավական բարձր դիրքեր գրավող երկրներում</w:t>
      </w:r>
      <w:r w:rsidRPr="00DD66E6">
        <w:rPr>
          <w:vertAlign w:val="superscript"/>
        </w:rPr>
        <w:footnoteReference w:id="43"/>
      </w:r>
      <w:r w:rsidRPr="00DD66E6">
        <w:t xml:space="preserve">, մասնավոր հատվածում կոռուպցիայի դեմ պայքարն իրականացվում է ավելի մեծ չափերով և նոր թափ է հավաքում: </w:t>
      </w:r>
    </w:p>
    <w:p w14:paraId="6A763AC5" w14:textId="77777777" w:rsidR="00DD66E6" w:rsidRPr="00DD66E6" w:rsidRDefault="00DD66E6" w:rsidP="00DD66E6">
      <w:pPr>
        <w:tabs>
          <w:tab w:val="left" w:pos="851"/>
          <w:tab w:val="left" w:pos="993"/>
        </w:tabs>
        <w:spacing w:line="276" w:lineRule="auto"/>
      </w:pPr>
      <w:r w:rsidRPr="00DD66E6">
        <w:t xml:space="preserve">Հարկ է նշել նաև, որ որ «Կոռուպցիայի դեմ» ՄԱԿ-ի կոնվենցիայում ևս ընգծվում է մասնավոր հատվածում հակակոռուպցիոն կառուցակարգերի և մեխանիզմների ներդրման կարևորությունը։ </w:t>
      </w:r>
    </w:p>
    <w:p w14:paraId="54B986FC" w14:textId="77777777" w:rsidR="00DD66E6" w:rsidRPr="00DD66E6" w:rsidRDefault="00DD66E6" w:rsidP="00DD66E6">
      <w:pPr>
        <w:tabs>
          <w:tab w:val="left" w:pos="851"/>
          <w:tab w:val="left" w:pos="993"/>
        </w:tabs>
        <w:spacing w:line="276" w:lineRule="auto"/>
      </w:pPr>
      <w:r w:rsidRPr="00DD66E6">
        <w:t xml:space="preserve">Այսպես, Կոնվենցիայի 12-րդ հոդվածի համաձայն՝ «Յուրաքանչյուր Մասնակից պետություն, իր ներքին օրենսդրության հիմնարար սկզբունքներին համապատասխան, պետք է միջոցներ ձեռնարկի մասնավոր հատվածում կոռուպցիայի կանխարգելման, մասնավոր հատվածում հաշվապահական հաշվառման ստանդարտների և աուդիտի ուժեղացման և, համապատասխան դեպքերում, այդպիսի միջոցների չպահպանման համար արդյունավետ, համաչափ և զսպող ներգործություն ունեցող քաղաքացիաիրավական, վարչական կամ քրեական պատժամիջոցների սահմանման ուղղությամբ»։ Կոնվենցիան </w:t>
      </w:r>
      <w:r w:rsidRPr="00DD66E6">
        <w:lastRenderedPageBreak/>
        <w:t>այնուհետ պարզաբանում է այդ նպատակներին հասնելուն ուղղված միջոցները, որոնք, inter alia, կարող են ներառել</w:t>
      </w:r>
      <w:r w:rsidRPr="00DD66E6">
        <w:rPr>
          <w:rFonts w:ascii="MS Mincho" w:hAnsi="MS Mincho"/>
        </w:rPr>
        <w:t>․</w:t>
      </w:r>
      <w:r w:rsidRPr="00DD66E6">
        <w:t xml:space="preserve"> </w:t>
      </w:r>
    </w:p>
    <w:p w14:paraId="6C7C4F34" w14:textId="77777777" w:rsidR="00DD66E6" w:rsidRPr="00DD66E6" w:rsidRDefault="00DD66E6" w:rsidP="00DD66E6">
      <w:pPr>
        <w:tabs>
          <w:tab w:val="left" w:pos="851"/>
          <w:tab w:val="left" w:pos="993"/>
        </w:tabs>
        <w:spacing w:line="276" w:lineRule="auto"/>
      </w:pPr>
      <w:r w:rsidRPr="00DD66E6">
        <w:t>ա) իրավապահ մարմինների և համապատասխան մասնավոր կազմակերպությունների միջև համագործակցության խրախուսումը,</w:t>
      </w:r>
    </w:p>
    <w:p w14:paraId="77F7800A" w14:textId="77777777" w:rsidR="00DD66E6" w:rsidRPr="00DD66E6" w:rsidRDefault="00DD66E6" w:rsidP="00DD66E6">
      <w:pPr>
        <w:tabs>
          <w:tab w:val="left" w:pos="851"/>
          <w:tab w:val="left" w:pos="993"/>
        </w:tabs>
        <w:spacing w:line="276" w:lineRule="auto"/>
      </w:pPr>
      <w:r w:rsidRPr="00DD66E6">
        <w:t>բ) համապատասխան մասնավոր կազմակերպությունների աշխատանքում բարեխղճության ապահովման համար նախատեսված ստանդարտների և ընթացակարգերի մշակման խրախուսումը,</w:t>
      </w:r>
    </w:p>
    <w:p w14:paraId="6CF7ED1A" w14:textId="77777777" w:rsidR="00DD66E6" w:rsidRPr="00DD66E6" w:rsidRDefault="00DD66E6" w:rsidP="00DD66E6">
      <w:pPr>
        <w:tabs>
          <w:tab w:val="left" w:pos="851"/>
          <w:tab w:val="left" w:pos="993"/>
        </w:tabs>
        <w:spacing w:line="276" w:lineRule="auto"/>
      </w:pPr>
      <w:r w:rsidRPr="00DD66E6">
        <w:t xml:space="preserve"> գ)մասնավոր կազմակերպությունների գործունեության թափանցիկության խրախուսումը, </w:t>
      </w:r>
    </w:p>
    <w:p w14:paraId="7E4FE6D1" w14:textId="77777777" w:rsidR="00DD66E6" w:rsidRPr="00DD66E6" w:rsidRDefault="00DD66E6" w:rsidP="00DD66E6">
      <w:pPr>
        <w:tabs>
          <w:tab w:val="left" w:pos="851"/>
          <w:tab w:val="left" w:pos="993"/>
        </w:tabs>
        <w:spacing w:line="276" w:lineRule="auto"/>
      </w:pPr>
      <w:r w:rsidRPr="00DD66E6">
        <w:t xml:space="preserve">դ)մասնավոր կազմակերպությունների գործունեությունը կարգավորող ընթացակարգերի չարաշահումների կանխարգելումը, </w:t>
      </w:r>
    </w:p>
    <w:p w14:paraId="5A56E12D" w14:textId="77777777" w:rsidR="00DD66E6" w:rsidRPr="00DD66E6" w:rsidRDefault="00DD66E6" w:rsidP="00DD66E6">
      <w:pPr>
        <w:tabs>
          <w:tab w:val="left" w:pos="851"/>
          <w:tab w:val="left" w:pos="993"/>
        </w:tabs>
        <w:spacing w:line="276" w:lineRule="auto"/>
      </w:pPr>
      <w:r w:rsidRPr="00DD66E6">
        <w:t xml:space="preserve">ե)շահերի բախումների առաջացման կանխարգելումը, </w:t>
      </w:r>
    </w:p>
    <w:p w14:paraId="520961EC" w14:textId="77777777" w:rsidR="00DD66E6" w:rsidRPr="00DD66E6" w:rsidRDefault="00DD66E6" w:rsidP="00DD66E6">
      <w:pPr>
        <w:tabs>
          <w:tab w:val="left" w:pos="851"/>
          <w:tab w:val="left" w:pos="993"/>
        </w:tabs>
        <w:spacing w:line="276" w:lineRule="auto"/>
      </w:pPr>
      <w:r w:rsidRPr="00DD66E6">
        <w:t xml:space="preserve">զ)ապահովումը, որ մասնավոր կազմակերպությունները, իրենց կառուցվածքը և մեծությունը հաշվի առնելով, ունենան ներքին աուդիտորական վերահսկողության բավարար մեխանիզմներ։ </w:t>
      </w:r>
    </w:p>
    <w:p w14:paraId="4CFE8E20" w14:textId="77777777" w:rsidR="00DD66E6" w:rsidRPr="00DD66E6" w:rsidRDefault="00DD66E6" w:rsidP="00DD66E6">
      <w:pPr>
        <w:tabs>
          <w:tab w:val="left" w:pos="851"/>
          <w:tab w:val="left" w:pos="993"/>
        </w:tabs>
        <w:spacing w:line="276" w:lineRule="auto"/>
      </w:pPr>
      <w:r w:rsidRPr="00DD66E6">
        <w:t>ՄԱԿ-ի «Կոռուպցիայի դեմ կոնվենցիայի» Հայաստանի գնահատման շրջանակներում ևս առաջարկվել է անհրաժեշտ ջանքեր գործադրել մասնավոր հատվածում կոռուպցիայի կանխարգելման, հակակոռուպցիոն կառուցակարգերի ամրապնդման և ներդրման ուղղությամբ։</w:t>
      </w:r>
      <w:r w:rsidRPr="00DD66E6">
        <w:rPr>
          <w:vertAlign w:val="superscript"/>
        </w:rPr>
        <w:footnoteReference w:id="44"/>
      </w:r>
    </w:p>
    <w:p w14:paraId="5C9F30F9" w14:textId="77777777" w:rsidR="00DD66E6" w:rsidRPr="00DD66E6" w:rsidRDefault="00DD66E6" w:rsidP="00DD66E6">
      <w:pPr>
        <w:tabs>
          <w:tab w:val="left" w:pos="851"/>
          <w:tab w:val="left" w:pos="993"/>
        </w:tabs>
        <w:spacing w:line="276" w:lineRule="auto"/>
      </w:pPr>
      <w:r w:rsidRPr="00DD66E6">
        <w:t xml:space="preserve">Նույն կոնվենցիայի 9-րդ հոդվածը պարտավորեցնում է Կոնվենցիան վավերացրած պետություններին </w:t>
      </w:r>
      <w:r w:rsidRPr="00DD66E6">
        <w:rPr>
          <w:color w:val="000000"/>
          <w:shd w:val="clear" w:color="auto" w:fill="FFFFFF"/>
        </w:rPr>
        <w:t>ստեղծել  հանրային գնումների պատշաճ համակարգեր համար, որոնք հիմնվում են թափանցիկության, մրցակցության և որոշումների ընդունման օբյեկտիվ չափանիշների վրա, համապատասխան միջոցներ ձեռնարկի պետական ֆինանսների կառավարման թափանցիկությանը և հաշվետվությանը նպաստելու ուղղությամբ։</w:t>
      </w:r>
    </w:p>
    <w:p w14:paraId="6226A802" w14:textId="77777777" w:rsidR="00DD66E6" w:rsidRPr="00DD66E6" w:rsidRDefault="00DD66E6" w:rsidP="00DD66E6">
      <w:pPr>
        <w:tabs>
          <w:tab w:val="left" w:pos="851"/>
          <w:tab w:val="left" w:pos="993"/>
        </w:tabs>
        <w:spacing w:line="276" w:lineRule="auto"/>
      </w:pPr>
      <w:r w:rsidRPr="00DD66E6">
        <w:t>Միաժամանակ, ՏՀԶԿ-ի 5-րդ փուլի գնահատման պիլոտային զեկույցը</w:t>
      </w:r>
      <w:r w:rsidRPr="00DD66E6">
        <w:rPr>
          <w:vertAlign w:val="superscript"/>
        </w:rPr>
        <w:footnoteReference w:id="45"/>
      </w:r>
      <w:r w:rsidRPr="00DD66E6">
        <w:t xml:space="preserve"> նույնպես անդրադարձ է կատարում մասնավոր ոլորտում կոռուպցիայի դեմ պայքարի կառուցակարգերի ամրապնդմանն ու կատարելագործմանը։ Մասնավորապես, զեկույցում նշվում է, որ մասնավոր հատվածում բարեվարքությունը դեռևս ամբողջապես ներառված չէ Հայաստանի կառավարության հակակոռուպցիոն օրակարգում, Կորպորատիվ կառավարման կանոնագիրքը թարմացված չէ, ինչը հնարավորություն չի ընձեռում ներդնել առավել համապարփակ կորպորատիվ կառավարման մշակույթ, առկա են ոչ բավարար խրախուսական մեխանիզմներ մասնավոր հատվածում բարեվարքությունն ամրապնդելու ուղղությամբ, գործող ինստիտուցիոնալ կառուցակարգերը բավարար չեն լիարժեքորեն և արդյունավետորեն պաշտպանել բիզնես համայնքի շահերը։ </w:t>
      </w:r>
    </w:p>
    <w:p w14:paraId="00082F9E" w14:textId="77777777" w:rsidR="00DD66E6" w:rsidRPr="00DD66E6" w:rsidRDefault="00DD66E6" w:rsidP="00DD66E6">
      <w:pPr>
        <w:tabs>
          <w:tab w:val="left" w:pos="851"/>
          <w:tab w:val="left" w:pos="993"/>
        </w:tabs>
        <w:spacing w:line="276" w:lineRule="auto"/>
      </w:pPr>
      <w:r w:rsidRPr="00DD66E6">
        <w:lastRenderedPageBreak/>
        <w:t xml:space="preserve">Ընդհանուր առմամբ, բիզնեսին կոռուպցիայի դեմ պայքարում ներգրավելը, մասնավոր ոլորտի համար հակակոռուպցիոն միջոցառումների իրականացումը հակակոռուպցիոն քաղաքականության կարևորագույն ուղղություններից են: </w:t>
      </w:r>
    </w:p>
    <w:p w14:paraId="55178089" w14:textId="77777777" w:rsidR="00DD66E6" w:rsidRPr="00DD66E6" w:rsidRDefault="00DD66E6" w:rsidP="00DD66E6">
      <w:pPr>
        <w:tabs>
          <w:tab w:val="left" w:pos="851"/>
          <w:tab w:val="left" w:pos="993"/>
        </w:tabs>
        <w:spacing w:line="276" w:lineRule="auto"/>
      </w:pPr>
      <w:r w:rsidRPr="00DD66E6">
        <w:t>Այս առումով, 2019-2022թթ</w:t>
      </w:r>
      <w:r w:rsidRPr="00DD66E6">
        <w:rPr>
          <w:rFonts w:ascii="MS Mincho" w:hAnsi="MS Mincho"/>
        </w:rPr>
        <w:t>․</w:t>
      </w:r>
      <w:r w:rsidRPr="00DD66E6">
        <w:t xml:space="preserve"> Հակակոռուպցիոն ռազմավարության և դրանից բխող Գործողությունների ծրագրում ներառվեցին մասնավոր հատվածում հակակոռուպցիոն կառուցակարգերի և մեխանիզմների ներդրման որոշ միջոցառումներ, որոնք առավեալպես վերաբերում էին </w:t>
      </w:r>
      <w:bookmarkStart w:id="22" w:name="_Hlk134176041"/>
      <w:r w:rsidRPr="00DD66E6">
        <w:t>գործարար ոլորտում հակակոռուպցիոն համապատասխանության պահանջների ընդունման խթանմանը</w:t>
      </w:r>
      <w:bookmarkEnd w:id="22"/>
      <w:r w:rsidRPr="00DD66E6">
        <w:t xml:space="preserve">, գնումների ոլորտի կատարելագործմանը, իրավաբանական անձանց իրական սեփականատերերի ինստիտուտի ներդրմանը, տնտեսական մրցակցության պաշտպանության ոլորտի վերաբերյալ օրենսդրության կատարելագործմանը։ </w:t>
      </w:r>
    </w:p>
    <w:p w14:paraId="01AAF432" w14:textId="77777777" w:rsidR="00DD66E6" w:rsidRPr="00DD66E6" w:rsidRDefault="00DD66E6" w:rsidP="00DD66E6">
      <w:pPr>
        <w:tabs>
          <w:tab w:val="left" w:pos="0"/>
          <w:tab w:val="left" w:pos="851"/>
          <w:tab w:val="left" w:pos="993"/>
        </w:tabs>
        <w:spacing w:line="276" w:lineRule="auto"/>
      </w:pPr>
      <w:r w:rsidRPr="00DD66E6">
        <w:tab/>
        <w:t>Հիմք ընդունելով նախորդ Ռազմավարության-ի մոնիոթորինգի և գնահատման արդյունքները</w:t>
      </w:r>
      <w:r w:rsidRPr="00DD66E6">
        <w:rPr>
          <w:vertAlign w:val="superscript"/>
        </w:rPr>
        <w:footnoteReference w:id="46"/>
      </w:r>
      <w:r w:rsidRPr="00DD66E6">
        <w:t>՝ կարելի է եզրակացնել, որ բավարար առաջընթաց է գրանցվել</w:t>
      </w:r>
      <w:r w:rsidRPr="00DD66E6">
        <w:rPr>
          <w:rFonts w:ascii="MS Mincho" w:hAnsi="MS Mincho"/>
        </w:rPr>
        <w:t>․</w:t>
      </w:r>
    </w:p>
    <w:p w14:paraId="1666DCE9" w14:textId="77777777" w:rsidR="00DD66E6" w:rsidRPr="00DD66E6" w:rsidRDefault="00DD66E6" w:rsidP="008A61CE">
      <w:pPr>
        <w:numPr>
          <w:ilvl w:val="0"/>
          <w:numId w:val="6"/>
        </w:numPr>
        <w:tabs>
          <w:tab w:val="left" w:pos="0"/>
          <w:tab w:val="left" w:pos="851"/>
          <w:tab w:val="left" w:pos="993"/>
        </w:tabs>
        <w:spacing w:after="160" w:line="276" w:lineRule="auto"/>
        <w:ind w:left="450" w:firstLine="567"/>
        <w:contextualSpacing/>
      </w:pPr>
      <w:r w:rsidRPr="00DD66E6">
        <w:t>Գնումների օրենսդրության ոլորտի կատարելագործման ուղղությամբ, մասնավորապես, 2022թ</w:t>
      </w:r>
      <w:r w:rsidRPr="00DD66E6">
        <w:rPr>
          <w:rFonts w:ascii="MS Mincho" w:hAnsi="MS Mincho"/>
        </w:rPr>
        <w:t>․</w:t>
      </w:r>
      <w:r w:rsidRPr="00DD66E6">
        <w:t xml:space="preserve"> հունվարի 21-ին ՀՀ Ազգային ժողովի կողմից ընդունվել են գնումների ոլորտի օրենսդրության բարելավմանն ուղղված օրենսդրական ակտերը, որոնց նպատակն էր վերափոխել գնումների բողոքարկման համակարգը՝ հաշվի առնելով նաև Առևտրի Համաշխարհային Կազմակերպության պետական գնումների համաձայնագրով և ՀՀ-ԵՄ ՀԸԳՀ-ով ՀՀ կողմից ստանձած պարտավորությունների պահանջները։ </w:t>
      </w:r>
    </w:p>
    <w:p w14:paraId="033599B6" w14:textId="77777777" w:rsidR="00DD66E6" w:rsidRPr="00DD66E6" w:rsidRDefault="00DD66E6" w:rsidP="008A61CE">
      <w:pPr>
        <w:numPr>
          <w:ilvl w:val="0"/>
          <w:numId w:val="6"/>
        </w:numPr>
        <w:tabs>
          <w:tab w:val="left" w:pos="0"/>
          <w:tab w:val="left" w:pos="851"/>
          <w:tab w:val="left" w:pos="993"/>
        </w:tabs>
        <w:spacing w:after="160" w:line="276" w:lineRule="auto"/>
        <w:ind w:left="450" w:firstLine="567"/>
        <w:contextualSpacing/>
      </w:pPr>
      <w:r w:rsidRPr="00DD66E6">
        <w:t xml:space="preserve">Իրավաբանական անձանց իրական շահառուների ինստիտուտի ներդրման և ՀՀ-ում գործող բոլոր իրավաբանական անձանց համար իրական շահառուների բացահայտման պարտադիր պահանջի ամրագրմամբ։ </w:t>
      </w:r>
    </w:p>
    <w:p w14:paraId="09643A49" w14:textId="77777777" w:rsidR="008A61CE" w:rsidRDefault="00DD66E6" w:rsidP="008A61CE">
      <w:pPr>
        <w:numPr>
          <w:ilvl w:val="0"/>
          <w:numId w:val="6"/>
        </w:numPr>
        <w:tabs>
          <w:tab w:val="left" w:pos="0"/>
          <w:tab w:val="left" w:pos="851"/>
          <w:tab w:val="left" w:pos="993"/>
        </w:tabs>
        <w:spacing w:after="160" w:line="276" w:lineRule="auto"/>
        <w:ind w:left="450" w:firstLine="567"/>
        <w:contextualSpacing/>
      </w:pPr>
      <w:r w:rsidRPr="00DD66E6">
        <w:t>Տնտեսական մրցակցության պաշտպանության ոլորտի վերաբերյալ օրենսդրության կատարելգործման ուղղությամբ, մասնավորապես, 2021 թվականին փոփոխություններ են կատարվել  «Տնտեսական մրցակցության պաշտպանության մասին» ՀՀ օրենքում և հարակից օրենքներում, ինչի արդյունքնում, ի թիվս այլնի, բարելավվել են վարույթային ընթացակարգերը, Մրցակցության պաշտպանության հանձնաժողովը հզորացվել է, ի թիվս այլնի, հակամրցակցային համաձայնություններ և պպաշտոնատար անձանց/պետական մարմինների հակարցմակցային գործունեությունը բացահայելու գործառույթի իրականացման առնչությամբ։ Զուգահեռաբար նոր Քրեական օրենսգրքի շրջանակում լրացվել և բարելավվել են տնտեսական մրցակցության բնագավառում հանցագործությունների, ներառյալ կոռուպցիոն բնույթի հանցագործությունների հանցակազմերը։</w:t>
      </w:r>
    </w:p>
    <w:p w14:paraId="26A063C6" w14:textId="2EEB067A" w:rsidR="00DD66E6" w:rsidRPr="00DD66E6" w:rsidRDefault="00DD66E6" w:rsidP="008A61CE">
      <w:pPr>
        <w:numPr>
          <w:ilvl w:val="0"/>
          <w:numId w:val="6"/>
        </w:numPr>
        <w:tabs>
          <w:tab w:val="left" w:pos="0"/>
          <w:tab w:val="left" w:pos="851"/>
          <w:tab w:val="left" w:pos="993"/>
        </w:tabs>
        <w:spacing w:after="160" w:line="276" w:lineRule="auto"/>
        <w:ind w:left="450" w:firstLine="567"/>
        <w:contextualSpacing/>
      </w:pPr>
      <w:r w:rsidRPr="00DD66E6">
        <w:lastRenderedPageBreak/>
        <w:t>Ձևավորվել է Բիզնեսի բարեվարքության ակումբը</w:t>
      </w:r>
      <w:r w:rsidRPr="00DD66E6">
        <w:rPr>
          <w:vertAlign w:val="superscript"/>
        </w:rPr>
        <w:footnoteReference w:id="47"/>
      </w:r>
      <w:r w:rsidRPr="00DD66E6">
        <w:t>, որի շրջանակներում շուրջ 22 ընկերություններում ներդրվել են հակակոռուպցիոն համապատասխանության կառուցակարգեր։</w:t>
      </w:r>
    </w:p>
    <w:p w14:paraId="722063D1" w14:textId="28107954" w:rsidR="00DD66E6" w:rsidRPr="00DD66E6" w:rsidRDefault="008A61CE" w:rsidP="004D3DCD">
      <w:pPr>
        <w:tabs>
          <w:tab w:val="left" w:pos="851"/>
          <w:tab w:val="left" w:pos="993"/>
        </w:tabs>
        <w:spacing w:line="276" w:lineRule="auto"/>
      </w:pPr>
      <w:r>
        <w:tab/>
      </w:r>
      <w:r>
        <w:tab/>
      </w:r>
      <w:r w:rsidR="00DD66E6" w:rsidRPr="00DD66E6">
        <w:t>Մասնակի կամ ոչ բավարար առաջընթաց է գրանցվել</w:t>
      </w:r>
      <w:r w:rsidR="00DD66E6" w:rsidRPr="00DD66E6">
        <w:rPr>
          <w:rFonts w:ascii="MS Mincho" w:hAnsi="MS Mincho"/>
        </w:rPr>
        <w:t>․</w:t>
      </w:r>
    </w:p>
    <w:p w14:paraId="5FA22E4D" w14:textId="77777777" w:rsidR="00DD66E6" w:rsidRPr="00DD66E6" w:rsidRDefault="00DD66E6" w:rsidP="004D3DCD">
      <w:pPr>
        <w:numPr>
          <w:ilvl w:val="0"/>
          <w:numId w:val="7"/>
        </w:numPr>
        <w:tabs>
          <w:tab w:val="left" w:pos="851"/>
          <w:tab w:val="left" w:pos="993"/>
        </w:tabs>
        <w:spacing w:after="160" w:line="276" w:lineRule="auto"/>
        <w:ind w:left="0" w:firstLine="567"/>
        <w:contextualSpacing/>
      </w:pPr>
      <w:r w:rsidRPr="00DD66E6">
        <w:t>Գործարար ոլորտում հակակոռուպցիոն համապատասխանության պահանջների ընդունման խթանման ուղղությամբ, մասնավորապես, չի ընդունվել կամ հաստատվել Կորպորատիվ կառավարման կանոնագրքի նախագիծը, պետական աջակցության ծրագրով հակակոռուպցիոն համապատասխանության առկայությունը՝ որպես առավելություն տվող չափանիշի սահմանմանն ուղղված իրավական ակտի նախագիծը։ Կարելի է եզրակացնել, որ մասնավոր ոլորտում կոռուպցիայի դեմ պայքարին ուղղված միջոցառումներն մնացել են անավարտ, այդ ոլորտում արդյունավետ հակակոռուպցիոն կառուցակարգեր ներդրված չեն։</w:t>
      </w:r>
    </w:p>
    <w:p w14:paraId="6BD73708" w14:textId="77777777" w:rsidR="00DD66E6" w:rsidRPr="00DD66E6" w:rsidRDefault="00DD66E6" w:rsidP="00DD66E6">
      <w:pPr>
        <w:tabs>
          <w:tab w:val="left" w:pos="851"/>
          <w:tab w:val="left" w:pos="993"/>
        </w:tabs>
        <w:spacing w:line="276" w:lineRule="auto"/>
      </w:pPr>
      <w:r w:rsidRPr="00DD66E6">
        <w:t xml:space="preserve">Միջազգային պարտավորությունների կատարման մոնիթորինգի արդյունքները վկայում են, որ ՏՀԶԿ 5-րդ գնահատման փուլի պիլոտային գնահատման արդյունքներով՝ «գործարար բարեվարքություն» կատարողականի ուղղությամբ ՀՀ կողմից ստանձնած պարտավորությունները շուրջ 90%-ով կատարված չեն։ </w:t>
      </w:r>
    </w:p>
    <w:p w14:paraId="3A671FCC" w14:textId="77777777" w:rsidR="00DD66E6" w:rsidRPr="00DD66E6" w:rsidRDefault="00DD66E6" w:rsidP="00DD66E6">
      <w:pPr>
        <w:tabs>
          <w:tab w:val="left" w:pos="851"/>
          <w:tab w:val="left" w:pos="993"/>
        </w:tabs>
        <w:spacing w:line="276" w:lineRule="auto"/>
      </w:pPr>
      <w:r w:rsidRPr="00DD66E6">
        <w:t>ՄԱԿ-ի «Կոռուպցիայի դեմ կոնվենցիա»-ի պարտավորությունների գնահատման 2021 թվականի արդյունքներով՝ գործարար ոլորտում հակակոռուպցիոն բարեփոխումները շարունակում են մնալ ոչ բավարար։ ԱՄՆ պետական դեպարտամենտի ամենամյա ՀՀ ներդրումային միջավայրի վերաբերյալ զեկույցների</w:t>
      </w:r>
      <w:r w:rsidRPr="00DD66E6">
        <w:rPr>
          <w:vertAlign w:val="superscript"/>
        </w:rPr>
        <w:footnoteReference w:id="48"/>
      </w:r>
      <w:r w:rsidRPr="00DD66E6">
        <w:t xml:space="preserve"> համաձայն ևս՝ ՀՀ-ում գործարար ոլորտի և ներդրումային միջավայրի վրա շարունակում է բացասական ազդեցություն ունենալ կոռուպցիան և այդ ոլորտում դրա դեմ ոչ բավարար պայքարը։</w:t>
      </w:r>
    </w:p>
    <w:p w14:paraId="213BB28C" w14:textId="77777777" w:rsidR="00DD66E6" w:rsidRPr="00DD66E6" w:rsidRDefault="00DD66E6" w:rsidP="00DD66E6">
      <w:pPr>
        <w:tabs>
          <w:tab w:val="left" w:pos="851"/>
          <w:tab w:val="left" w:pos="993"/>
        </w:tabs>
        <w:spacing w:line="276" w:lineRule="auto"/>
      </w:pPr>
      <w:r w:rsidRPr="00DD66E6">
        <w:t>2023-2026թթ</w:t>
      </w:r>
      <w:r w:rsidRPr="00DD66E6">
        <w:rPr>
          <w:rFonts w:ascii="MS Mincho" w:hAnsi="MS Mincho"/>
        </w:rPr>
        <w:t>․</w:t>
      </w:r>
      <w:r w:rsidRPr="00DD66E6">
        <w:t xml:space="preserve"> հակակոռուպցիոն ռազմավարության մշակման շրջանակում հավաքագրված կարիքների, ներկայացված խնդիրների, ԱՄՆ կառավարության Մասնավոր ձեռնարկատիրության միջազգային կենտրոնի աջակցությամբ իրականացված գործարար ոլորտում կոռուպցիոն ռիսկերի և խնդիրների ուսումնասիրության</w:t>
      </w:r>
      <w:r w:rsidRPr="00DD66E6">
        <w:rPr>
          <w:vertAlign w:val="superscript"/>
        </w:rPr>
        <w:footnoteReference w:id="49"/>
      </w:r>
      <w:r w:rsidRPr="00DD66E6">
        <w:t xml:space="preserve"> ամփոփումից ևս պարզ է դառնում, որ գործարար/մասնավոր ոլորտում կոռուպցիայի դեմ պայքարի կառուցակարգերի և մեխանիզմների ներդրումն ու կատարելագործումը տվյալ պահին խիստ անհրաժեշտություն </w:t>
      </w:r>
      <w:r w:rsidRPr="00DD66E6">
        <w:lastRenderedPageBreak/>
        <w:t>են, որի իրագործման նպատակով անհրաժեշտ է թիրախային և համալիր միջոցառումների ապահովում՝ զուգորդելով և համակցելով կոռուպցիայի կանխարգելման, հակազդման, հակակոռուպցիոն կրթության և իրազեկման գործիքակազմերը։</w:t>
      </w:r>
    </w:p>
    <w:p w14:paraId="0A3D6BBF" w14:textId="77777777" w:rsidR="00DD66E6" w:rsidRPr="00DD66E6" w:rsidRDefault="00DD66E6" w:rsidP="00DD66E6">
      <w:pPr>
        <w:tabs>
          <w:tab w:val="left" w:pos="851"/>
          <w:tab w:val="left" w:pos="993"/>
        </w:tabs>
        <w:spacing w:line="276" w:lineRule="auto"/>
      </w:pPr>
      <w:r w:rsidRPr="00DD66E6">
        <w:t>Մասնավոր ոլորտում կոռուպցիայի դեմ պայքարը՝ որպես ռազմավարական նպատակ սահմանելը, վառ ապացույց է առ այն, որ Կառավարությունը հետևողական է իր միջազգային պարտավորությունների կատարմանը, մեծապես կարևորում է միջազգային ռեյտինգային զեկույցներում իր ցուցանիշների բարելավումը, առանձնակի շեշտադրում է ներդրումային բարենպաստ միջավայր ունենալու իր բարձր կամքը՝ գործուն քայլեր ձեռնարկելով դրա ապահովման համար անհրաժեշտ հակակոռուպցիոն բարեփոխումների իրականացման ուղղությամբ, գործուն միջոցներ է ձեռնարկում տնտեսական գործունեության զարգացման հարցում՝ արմատախիլ անելով դրան խոչընդոտող կոռուպցիոն արատավոր երևույթները։</w:t>
      </w:r>
    </w:p>
    <w:p w14:paraId="715B2B6A" w14:textId="77777777" w:rsidR="00DD66E6" w:rsidRPr="00DD66E6" w:rsidRDefault="00DD66E6" w:rsidP="00DD66E6">
      <w:pPr>
        <w:spacing w:line="276" w:lineRule="auto"/>
        <w:ind w:firstLine="0"/>
        <w:rPr>
          <w:rFonts w:cs="Arian AMU"/>
        </w:rPr>
      </w:pPr>
    </w:p>
    <w:p w14:paraId="1A9B3EC2"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6E8509FA"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2A7759EF"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0B91D273"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53C70F76"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6FCC7262"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546E1665"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17275C28" w14:textId="77777777" w:rsidR="008A61CE" w:rsidRDefault="008A61CE" w:rsidP="00DD66E6">
      <w:pPr>
        <w:tabs>
          <w:tab w:val="left" w:pos="450"/>
          <w:tab w:val="left" w:pos="993"/>
          <w:tab w:val="left" w:pos="1418"/>
        </w:tabs>
        <w:spacing w:line="276" w:lineRule="auto"/>
        <w:ind w:firstLine="0"/>
        <w:jc w:val="center"/>
        <w:rPr>
          <w:b/>
          <w:color w:val="000000" w:themeColor="text1"/>
        </w:rPr>
      </w:pPr>
    </w:p>
    <w:p w14:paraId="519D8814" w14:textId="1E5DFFB4" w:rsidR="00DD66E6" w:rsidRPr="00DD66E6" w:rsidRDefault="00DD66E6" w:rsidP="00DD66E6">
      <w:pPr>
        <w:tabs>
          <w:tab w:val="left" w:pos="450"/>
          <w:tab w:val="left" w:pos="993"/>
          <w:tab w:val="left" w:pos="1418"/>
        </w:tabs>
        <w:spacing w:line="276" w:lineRule="auto"/>
        <w:ind w:firstLine="0"/>
        <w:jc w:val="center"/>
        <w:rPr>
          <w:b/>
          <w:color w:val="000000" w:themeColor="text1"/>
        </w:rPr>
      </w:pPr>
      <w:r w:rsidRPr="00DD66E6">
        <w:rPr>
          <w:b/>
          <w:color w:val="000000" w:themeColor="text1"/>
        </w:rPr>
        <w:t>ՌԱԶՄԱՎԱՐԱԿԱՆ ՈՒՂՂՈՒԹՅՈՒՆՆԵՐ</w:t>
      </w:r>
    </w:p>
    <w:p w14:paraId="237A49CC" w14:textId="77777777" w:rsidR="00DD66E6" w:rsidRPr="00DD66E6" w:rsidRDefault="00DD66E6" w:rsidP="00DD66E6">
      <w:pPr>
        <w:keepNext/>
        <w:keepLines/>
        <w:ind w:firstLine="0"/>
        <w:jc w:val="center"/>
        <w:outlineLvl w:val="1"/>
        <w:rPr>
          <w:b/>
          <w:color w:val="000000" w:themeColor="text1"/>
        </w:rPr>
      </w:pPr>
    </w:p>
    <w:p w14:paraId="04EF9565" w14:textId="07F81FFF" w:rsidR="00DD66E6" w:rsidRPr="00DD66E6" w:rsidRDefault="00DD66E6" w:rsidP="008A61CE">
      <w:pPr>
        <w:ind w:firstLine="0"/>
        <w:jc w:val="center"/>
        <w:rPr>
          <w:b/>
          <w:color w:val="000000" w:themeColor="text1"/>
        </w:rPr>
      </w:pPr>
      <w:r w:rsidRPr="00DD66E6">
        <w:rPr>
          <w:b/>
          <w:color w:val="000000" w:themeColor="text1"/>
        </w:rPr>
        <w:t>ԳՈՐԾԱՐԱՐ ՈԼՈՐՏՈՒՄ ԲԱՐԵՎԱՐՔՈՒԹՅԱՆ ԱՄՐԱՊՆԴՈՒՄ</w:t>
      </w:r>
    </w:p>
    <w:p w14:paraId="7642F0A5" w14:textId="77777777" w:rsidR="00DD66E6" w:rsidRPr="00DD66E6" w:rsidRDefault="00DD66E6" w:rsidP="00DD66E6">
      <w:pPr>
        <w:spacing w:line="276" w:lineRule="auto"/>
      </w:pPr>
      <w:bookmarkStart w:id="29" w:name="_Hlk134178330"/>
      <w:r w:rsidRPr="00DD66E6">
        <w:t xml:space="preserve">Գործարար ոլորտում կոռուպցիայի կանխարգելման առանցքային միջոցը հակակոռուպցիոն համապատասխանության ծրագրերի և կառուցակարգերի ներդրումն ու դրանց կիրառումը խրախուսելն է։ </w:t>
      </w:r>
    </w:p>
    <w:p w14:paraId="0116E98C" w14:textId="77777777" w:rsidR="00DD66E6" w:rsidRPr="00DD66E6" w:rsidRDefault="00DD66E6" w:rsidP="00DD66E6">
      <w:pPr>
        <w:spacing w:line="276" w:lineRule="auto"/>
      </w:pPr>
      <w:r w:rsidRPr="00DD66E6">
        <w:t>Համապատասխանությունը (compliance) լայն հայեցակարգ է, որը գործարարության համատեքստում վերաբերում է բազմաթիվ առանցքային ոլորտների` ներառյալ կոռուպցիայի դեմ պայքարի, ազգային և միջազգային օրենքներին, կանոնակարգերին, կանոններին և սկզբունքներին հետևելուն</w:t>
      </w:r>
      <w:r w:rsidRPr="00DD66E6">
        <w:rPr>
          <w:vertAlign w:val="superscript"/>
        </w:rPr>
        <w:footnoteReference w:id="50"/>
      </w:r>
      <w:r w:rsidRPr="00DD66E6">
        <w:t>:</w:t>
      </w:r>
    </w:p>
    <w:p w14:paraId="670A6039" w14:textId="77777777" w:rsidR="00DD66E6" w:rsidRPr="00DD66E6" w:rsidRDefault="00DD66E6" w:rsidP="00DD66E6">
      <w:pPr>
        <w:spacing w:line="276" w:lineRule="auto"/>
      </w:pPr>
      <w:r w:rsidRPr="00DD66E6">
        <w:t xml:space="preserve">Համապատասխանությունը դուրս է գալիս օրենսդրական պահանջների շրջանակից, քանի որ դա արտացոլում է ընկերության կորպորատիվ մշակույթը՝ ընդունելի արժեքների, հարաբերությունների, նպատակների և գործելաոճի ամբողջությունը, որը խթանում է էթիկական վարքագիծը ընկերության նպատակների իրագործմանն ուղղված գործունեությունն իրականացնելիս: Բացի էթիկական բնույթի նկատառումներից` բոլոր ընկերությունների համար գոյություն ունեն հակակոռուպցիոն լուրջ տնտեսական </w:t>
      </w:r>
      <w:r w:rsidRPr="00DD66E6">
        <w:lastRenderedPageBreak/>
        <w:t>փաստարկներ, սակայն դրանք հատկապես գրավիչ են դարձնում զարգացող և ձևավորվող շուկաների միջին մեծության ընկերություններին ոչ միայն իր երկրի ներսում, այլև խոշորներ ընկերությունների համար, որոնք համաշխարհային մասշտաբով փնտրում են իրենց գործունեությունն ընդլայնելու հնարավորություններ: Հակակոռուպցիոն միջոցառումներն ընդհանուր առմամբ հանգեցնում են կառավարման բարելավման, քանի որ ընկերությունները դադարում են հաշտվել երկակի ստանդարտների, ոչ թափանցիկ բիզնես որոշումների և աշխատակիցների ռիսկային վարվելակերպի հետ:</w:t>
      </w:r>
    </w:p>
    <w:p w14:paraId="141A45AD" w14:textId="77777777" w:rsidR="00DD66E6" w:rsidRPr="00DD66E6" w:rsidRDefault="00DD66E6" w:rsidP="00DD66E6">
      <w:pPr>
        <w:spacing w:line="276" w:lineRule="auto"/>
      </w:pPr>
      <w:r w:rsidRPr="00DD66E6">
        <w:t xml:space="preserve">Հակակոռուպցիոն համապատասխանության ներդրման շրջանակներում որոշակի, սակայն, ոչ բավարար քայլեր իրականացվել են նախորդ 3 տարիների ընթացքում։ Այս կապակցությամբ, առաջարկվում է ապահովել </w:t>
      </w:r>
      <w:bookmarkStart w:id="31" w:name="_Hlk134696942"/>
      <w:r w:rsidRPr="00DD66E6">
        <w:rPr>
          <w:color w:val="000000" w:themeColor="text1"/>
        </w:rPr>
        <w:t>ՏՀԶԿ G20-ի</w:t>
      </w:r>
      <w:r w:rsidRPr="00DD66E6">
        <w:rPr>
          <w:color w:val="000000" w:themeColor="text1"/>
          <w:vertAlign w:val="superscript"/>
        </w:rPr>
        <w:footnoteReference w:id="51"/>
      </w:r>
      <w:r w:rsidRPr="00DD66E6">
        <w:rPr>
          <w:color w:val="000000" w:themeColor="text1"/>
        </w:rPr>
        <w:t xml:space="preserve"> հակակոռուպցիոն պահանջներին համապատասխան Կորպորատիվ կառավարման նոր կանոնագրքի ընդունումը, դրա կիրառման վերահսկողության մեխանիզմների սահմանումը, և վերջինիս </w:t>
      </w:r>
      <w:bookmarkEnd w:id="31"/>
      <w:r w:rsidRPr="00DD66E6">
        <w:rPr>
          <w:color w:val="000000" w:themeColor="text1"/>
        </w:rPr>
        <w:t xml:space="preserve">կիրառումը խրախուսելու նպատակով միջոցառումների իրականացումը։ Կանոնագիրքը </w:t>
      </w:r>
      <w:r w:rsidRPr="00DD66E6">
        <w:t xml:space="preserve">պետք է ներառի նաև մոնիթորինգի, հաշվետվողականության և թափանցիկության մեխանիզմներ։ Կանոնագրքի իրացման շրջանակներում անհրաժեշտ է, որ պետությունը ձևավորի անհրաժեշտ կառուցակարգեր՝ խրախուսելու մասնավոր ոլորտի ներկայացուցիչների կողմից այդ կառուցակարգերը ներդնելուն։ </w:t>
      </w:r>
    </w:p>
    <w:p w14:paraId="4EEFAA0E" w14:textId="77777777" w:rsidR="00DD66E6" w:rsidRPr="00DD66E6" w:rsidRDefault="00DD66E6" w:rsidP="00DD66E6">
      <w:pPr>
        <w:spacing w:line="276" w:lineRule="auto"/>
      </w:pPr>
      <w:r w:rsidRPr="00DD66E6">
        <w:t>Միաժամանակ, անհրաժեշտ է ապահովել պետական և համայնքային առևտրային կազմակերպություններում հակակոռուպցիոն համապատասխանության կառուցակարգերի սահմանումը</w:t>
      </w:r>
      <w:r w:rsidRPr="00DD66E6">
        <w:rPr>
          <w:vertAlign w:val="superscript"/>
        </w:rPr>
        <w:footnoteReference w:id="52"/>
      </w:r>
      <w:r w:rsidRPr="00DD66E6">
        <w:t>, որը պետք է իրականացվի փուլ առ փուլ և կրի իմպերատիվ բնույթ։ Ցուցակված ՓԲԸ-ների</w:t>
      </w:r>
      <w:r w:rsidRPr="00DD66E6">
        <w:rPr>
          <w:rFonts w:ascii="Times New Roman" w:hAnsi="Times New Roman" w:cs="Times New Roman"/>
        </w:rPr>
        <w:t>,</w:t>
      </w:r>
      <w:r w:rsidRPr="00DD66E6">
        <w:t xml:space="preserve"> պետական և համայնքային ՓԲԸ-ների համար առաջարկվում է նոր կորպորաիվ կառավարման կանոնագրքի կիրառումը սահմանել որպես պարտադիր պահանջ։</w:t>
      </w:r>
    </w:p>
    <w:p w14:paraId="5B5BBB5E" w14:textId="77777777" w:rsidR="00DD66E6" w:rsidRPr="00DD66E6" w:rsidRDefault="00DD66E6" w:rsidP="00DD66E6">
      <w:pPr>
        <w:spacing w:line="276" w:lineRule="auto"/>
      </w:pPr>
      <w:r w:rsidRPr="00DD66E6">
        <w:t>Զուգահեռաբար, առաջարկվում է նաև իրականացնել գործարար ոլորտում հակակոռուպցիոն համապատասխանության պահանջների ներդրումը և հավաքական գործողությունները խթանող իրազեկման արշավներ, նախաձեռնություններ և վերապատրաստումներ`մասնագիտացված ՔՀԿ-ների  հետ (գործարար շահերի պաշտպանությամբ զբաղվող կազմակերպություններ և գործարար անդամակցությամբ զբաղվող կազմակերպությունները) համագործակցությամբ։</w:t>
      </w:r>
    </w:p>
    <w:p w14:paraId="692FEEA5" w14:textId="77777777" w:rsidR="00DD66E6" w:rsidRPr="00DD66E6" w:rsidRDefault="00DD66E6" w:rsidP="00DD66E6">
      <w:pPr>
        <w:spacing w:line="276" w:lineRule="auto"/>
        <w:rPr>
          <w:color w:val="000000"/>
        </w:rPr>
      </w:pPr>
      <w:r w:rsidRPr="00DD66E6">
        <w:lastRenderedPageBreak/>
        <w:t>Միջազգային կազմակերպությունների կողմից մշտապես բարձրաձայնվել է նաև պետական և համայնքային մասնակցությամբ առևտրային կազմակերպություններում կոռուպցիոն ռիսկերի գնահատման և կառավարման համակարգերի ներդրման անհրաժեշտությունը</w:t>
      </w:r>
      <w:r w:rsidRPr="00DD66E6">
        <w:rPr>
          <w:vertAlign w:val="superscript"/>
        </w:rPr>
        <w:footnoteReference w:id="53"/>
      </w:r>
      <w:r w:rsidRPr="00DD66E6">
        <w:t xml:space="preserve">։ Այս տեսանկյունից անհրաժեշտ է սահմանել ինչպես օրենսդրական, այնպես էլ ինստիտուցիոնալ կառուցակարգեր՝ ապահովելու ռիսկերի կառավարման և գնահատման գործընթացի արդյունավետությունը։ </w:t>
      </w:r>
      <w:r w:rsidRPr="00DD66E6">
        <w:rPr>
          <w:color w:val="000000"/>
        </w:rPr>
        <w:t xml:space="preserve">Այս համատեքստում որպես ռիսկերի գնահատման մեթոդաբանություն կարելի է դիտարկել Ստանդարտների միջազգային կազմակերպության մոդելը: Մոդելն ապացուցել է իր կենսունակությունը Սինգապուրում և Մալայզիայում։ Ստանդարտների միջազգային կազմակերպության կողմից առաջարկվող մեթոդները հեշտությամբ ինտեգրվում են կառավարման գրեթե բոլոր համակարգերում: Մոդելն այս կամ այն մասով կիրառվել է նաև Հարավային Կորեայում, Լատվիայում, Ուկրաինայում, Պակիստանում և այլն: Մոդելը հենված է  ISO 9001:2015 Որակի կառավարման համակարգ, ISO 31000:2018 Ռիսկերի կառավարում, դրա բաղադրիչ հանդիսացող ուղեցույց՝ ISO 31010:2019, ISO 37000:2021 Կազմակերպությունների կառավարում և ISO 37001:2016 Կաշառակերության հակազդման կառավարման համակարգ ստանդարտներից բաղկացած ինտեգրացված կառավարման համակարգի վրա: </w:t>
      </w:r>
    </w:p>
    <w:p w14:paraId="6EE3268D" w14:textId="77777777" w:rsidR="00DD66E6" w:rsidRPr="00DD66E6" w:rsidRDefault="00DD66E6" w:rsidP="00DD66E6">
      <w:pPr>
        <w:spacing w:line="276" w:lineRule="auto"/>
      </w:pPr>
      <w:r w:rsidRPr="00DD66E6">
        <w:t>Զուգահեռաբար, առաջարկվում է նաև շարունակաբար կատարելագործել պետական և համայնքային մասնակցությամբ առևտրային կազմակերպությունների տնօրենի և խորհրդի անդամների թափանցիկ, արժանիքահեն նշանակման, խորհրդի անդամների անկախության չափորոշիչները, ֆինանսական և ոչ ֆինանսական հաշվետվողականության և թափանցիկության, ներքին հսկողության և ռիսկերի կառավարման</w:t>
      </w:r>
      <w:r w:rsidRPr="00DD66E6" w:rsidDel="00076ABC">
        <w:t xml:space="preserve"> </w:t>
      </w:r>
      <w:r w:rsidRPr="00DD66E6">
        <w:t>համակարգերը, վարձատրության սանդղակները, տարեկան արտաքին աուդիտի ենթարկվելու և հրապարակման պահանջները։</w:t>
      </w:r>
    </w:p>
    <w:p w14:paraId="1B4ADDAB" w14:textId="77777777" w:rsidR="00DD66E6" w:rsidRPr="00DD66E6" w:rsidRDefault="00DD66E6" w:rsidP="00DD66E6">
      <w:pPr>
        <w:spacing w:line="276" w:lineRule="auto"/>
      </w:pPr>
      <w:r w:rsidRPr="00DD66E6">
        <w:t>Առանձնապես կարևորվում է նաև պետական և համայնքային մասնակցությամբ առևտրային կազմակերպություններում կոռուպցիոն ռիսկերի կառավարման և գնահատման համակարգերի ներդրման գործընթացը։ Այս համատեքստում, անհրաժեշտ է ուժեղացնել ինստիտուցիոնալ կառուցակարգերը՝ ԿԿՀ-ին վերապահելով նաև նշյալ կազմակերպություններում կոռուպցիոն ռիսկերի գնահատման մեթոդաբանության սահմանման, մասնագիտական աջակցության տրամադրման իրավասությունները և անհրաժեշտ գործիքակազմերը:</w:t>
      </w:r>
    </w:p>
    <w:p w14:paraId="2226B912" w14:textId="77777777" w:rsidR="00DD66E6" w:rsidRPr="00DD66E6" w:rsidRDefault="00DD66E6" w:rsidP="00DD66E6">
      <w:pPr>
        <w:spacing w:line="276" w:lineRule="auto"/>
        <w:jc w:val="center"/>
      </w:pPr>
    </w:p>
    <w:p w14:paraId="4296BA1C" w14:textId="77777777" w:rsidR="00DD66E6" w:rsidRPr="00DD66E6" w:rsidRDefault="00DD66E6" w:rsidP="00DD66E6">
      <w:pPr>
        <w:spacing w:line="276" w:lineRule="auto"/>
        <w:jc w:val="center"/>
        <w:rPr>
          <w:b/>
        </w:rPr>
      </w:pPr>
      <w:r w:rsidRPr="00DD66E6">
        <w:rPr>
          <w:b/>
        </w:rPr>
        <w:t>ԳՈՐԾԱՐԱՐՆԵՐԻ ԻՐԱՎՈՒՆՔՆԵՐԻ ՊԱՇՏՊԱՆՈՒԹՅՈՒՆ</w:t>
      </w:r>
    </w:p>
    <w:p w14:paraId="2B6EA475" w14:textId="77777777" w:rsidR="00DD66E6" w:rsidRPr="00DD66E6" w:rsidRDefault="00DD66E6" w:rsidP="00DD66E6">
      <w:pPr>
        <w:spacing w:line="276" w:lineRule="auto"/>
        <w:rPr>
          <w:b/>
        </w:rPr>
      </w:pPr>
    </w:p>
    <w:p w14:paraId="4EA7DFA4" w14:textId="77777777" w:rsidR="00DD66E6" w:rsidRPr="00DD66E6" w:rsidRDefault="00DD66E6" w:rsidP="00DD66E6">
      <w:pPr>
        <w:spacing w:line="276" w:lineRule="auto"/>
      </w:pPr>
      <w:r w:rsidRPr="00DD66E6">
        <w:t xml:space="preserve">Մասնավոր հատվածում գործարարների իրավունքների պաշտպանության արդյունավետ մեխանիզմների առկայության  պահանջն ամրագրված է ՏՀԶԿ 5-րդ փուլի գնահատման պիլոտային զեկույցում, ինչպես նաև բազմիցս մատնանշվել է բիզնես համայնքի կողմից տարբեր ուսումնասիրությունների և հարցումների ընթացքում։ </w:t>
      </w:r>
    </w:p>
    <w:p w14:paraId="193B66D4" w14:textId="77777777" w:rsidR="00DD66E6" w:rsidRPr="00DD66E6" w:rsidRDefault="00DD66E6" w:rsidP="00DD66E6">
      <w:pPr>
        <w:spacing w:line="276" w:lineRule="auto"/>
      </w:pPr>
      <w:r w:rsidRPr="00DD66E6">
        <w:lastRenderedPageBreak/>
        <w:t>Բիզնես համայնքի և ՀԿ սեկտորի ներկայացուցիչների մասնակցությամբ կազմակերպված մի շարք քննարկումների ընթացքում բարձրաձայնվել է Մարդու իրավունքների պաշտպանի գրասենյակի ինստիտուցիոնալ հզորացման կարևորությունը՝ մասնավոր հատվածի և պետական մարմինների միջև հարաբերություններում գործարարների իրավունքների պաշտպանության համատեքստում։ Կարողությունների զարգացման շրջանակներում մշտապես կարևորվել է ՄԻՊ աշխատակազմում առանձին ստորաբաժանման հիմնումը կամ հաստիքների ավելացումը, որը հնարավորություն կընձեռի առավել արդյունավետ իրականացնել այդ գործառույթը։ Ուստի, առաջարկվում է դիտարկել ՄԻՊ աշխատակազմում գործարարների իրավունքների պաշտպանության նպատակով առանձին ստորաբաժանման ձևավորումը, կամ համապատասխան թվով հաստիքների ավելացման հարցը։ Դրան զուգահեռ, անհրաժեշտ է նաև շարունակաբար կատարելագործել ՄԻՊ աշխատակիցների կարողությունները՝ կազմակերպելով վերապատրաստման դասընթացներ, ճանաչողական այցեր և փորձի փոխանակումներ։</w:t>
      </w:r>
    </w:p>
    <w:p w14:paraId="16E49B19" w14:textId="77777777" w:rsidR="00DD66E6" w:rsidRPr="00DD66E6" w:rsidRDefault="00DD66E6" w:rsidP="00DD66E6">
      <w:pPr>
        <w:spacing w:line="276" w:lineRule="auto"/>
      </w:pPr>
      <w:r w:rsidRPr="00DD66E6">
        <w:t xml:space="preserve">Մի շարք ուսումնասիրություններ և միջազգային կառույցներ իրենց զեկույցներում բարձրաձայնում են, որ բիզնես համայնքը չունի բավարար իրազեկվածության մակարդակ՝ իրենց իրավունքների արդյունավետ միջոցների և մեխանիզմների պաշտպանության վերաբերյալ։ </w:t>
      </w:r>
    </w:p>
    <w:p w14:paraId="5B1EDDE1" w14:textId="77777777" w:rsidR="00DD66E6" w:rsidRPr="00DD66E6" w:rsidRDefault="00DD66E6" w:rsidP="00DD66E6">
      <w:pPr>
        <w:spacing w:line="276" w:lineRule="auto"/>
      </w:pPr>
      <w:r w:rsidRPr="00DD66E6">
        <w:t>2023թ</w:t>
      </w:r>
      <w:r w:rsidRPr="00DD66E6">
        <w:rPr>
          <w:rFonts w:ascii="Times New Roman" w:hAnsi="Times New Roman" w:cs="Times New Roman"/>
        </w:rPr>
        <w:t>․</w:t>
      </w:r>
      <w:r w:rsidRPr="00DD66E6">
        <w:t xml:space="preserve"> ապրիլին «ՀՀ-ում մասնավոր հատվածին հանրային ծառայությունների մատուցման բնագավառում կոռուպցիոն ռիսկերի գնահատման» արդյունքները</w:t>
      </w:r>
      <w:r w:rsidRPr="00DD66E6">
        <w:rPr>
          <w:vertAlign w:val="superscript"/>
        </w:rPr>
        <w:footnoteReference w:id="54"/>
      </w:r>
      <w:r w:rsidRPr="00DD66E6">
        <w:t xml:space="preserve"> վկայում են այն մասին, որ բիզնես համայնքը բավարար չափով տեղեկացված չէ առկա հակակոռուպցիոն մեխանիզմների, ինչպես նաև իրենց իրավունքների պաշտպանության արդյունավետ միջոցների մասին։ Այս առումով նշվել է, որ առկա մեխանիզմները (e-draft համակարգ, ոչ կանոնավոր հանրային քննարկումներ) բավարար չեն ու պետությունը պետք է ակտիվ աշխատանք տանի հատկապես հետևյալ երկու ուղղություններով` բիզնես ասոցիացիաների հետ ակտիվ աշխատանք և մասնավոր հատվածի իրազեկում նախատեսվող ու իրականացվող միջոցառումների (ներառյալ՝ օրենսդրական բարեփոխումները), դրանց պատճառների, նպատակների ու ընթացքի մասին։ Այս համատեքստում, առաջարկվում է կազմակերպել և իրականացնել իրազեկվածության բարձրացման միջոցառումներ բիզնես համայնքի շրջանում՝ իրենց իրավունքների արդյունավետ միջոցների պաշտպանության և հակակոռուպցիոն մեխանիզմների վերաբերյալ։ </w:t>
      </w:r>
    </w:p>
    <w:p w14:paraId="4A32EBBC" w14:textId="77777777" w:rsidR="00DD66E6" w:rsidRPr="00DD66E6" w:rsidRDefault="00DD66E6" w:rsidP="00DD66E6">
      <w:pPr>
        <w:spacing w:line="276" w:lineRule="auto"/>
      </w:pPr>
      <w:r w:rsidRPr="00DD66E6">
        <w:t xml:space="preserve">Միջազգային պրակտիկայում տարածված է այն մոտեցումը, համաձայն որի՝ կոռուպցիայի կանխարգելմամբ զբաղվող մարմիններին վերապահված է գործարար ոլորտում կոռուպցիայի կանխարգելման գործառույթ, որն իրականացվում է մարմնի համապատասխան ստորաբաժանման կամ անհրաժեշտ թվով մասնագետների միջոցով։ Միաժամանակ, այդ մարմիններին է վերապահված նաև գործարար հատվածի հետ </w:t>
      </w:r>
      <w:r w:rsidRPr="00DD66E6">
        <w:lastRenderedPageBreak/>
        <w:t>համագործակցության շրջանակներում խորհրդապահական</w:t>
      </w:r>
      <w:r w:rsidRPr="00DD66E6">
        <w:rPr>
          <w:vertAlign w:val="superscript"/>
        </w:rPr>
        <w:footnoteReference w:id="55"/>
      </w:r>
      <w:r w:rsidRPr="00DD66E6">
        <w:t xml:space="preserve"> հանդիպումների իրականացման գործիքակազմը՝ միտված կոռուպցիոն ռիսկերի գնահատմանը և բարեփոխման առաջարկությունների ներկայացմանը թիրախ ոլորտներում։ Այս համատեքստում, առաջարկվում է շարունակաբար հզորացնել ԿԿՀ-ի կարողությունները՝ այդ թվում նաև մարդկային ռեսուրսների և ինստիտուտոցիանալ տեսանկյունից։</w:t>
      </w:r>
    </w:p>
    <w:p w14:paraId="1E8A73D3" w14:textId="77777777" w:rsidR="00DD66E6" w:rsidRPr="00DD66E6" w:rsidRDefault="00DD66E6" w:rsidP="00DD66E6">
      <w:pPr>
        <w:spacing w:line="276" w:lineRule="auto"/>
        <w:ind w:firstLine="0"/>
      </w:pPr>
    </w:p>
    <w:bookmarkEnd w:id="29"/>
    <w:p w14:paraId="0F2EDEED" w14:textId="1EBDA65A" w:rsidR="00DD66E6" w:rsidRPr="00DD66E6" w:rsidRDefault="00DD66E6" w:rsidP="005765E3">
      <w:pPr>
        <w:ind w:firstLine="0"/>
        <w:jc w:val="center"/>
        <w:rPr>
          <w:b/>
        </w:rPr>
      </w:pPr>
      <w:r w:rsidRPr="00DD66E6">
        <w:rPr>
          <w:b/>
        </w:rPr>
        <w:t>ԻՐԱՎԱԲԱՆԱԿԱՆ ԱՆՁԱՆՑ ԻՐԱԿԱՆ ՇԱՀԱՌՈՒՆԵՐԻ ԲԱՑԱՀԱՅՏՄԱՆ ԻՆՍՏԻՏՈՒՏԻ ԿԱՏԱՐԵԼԱԳՈՐԾՈՒՄ</w:t>
      </w:r>
    </w:p>
    <w:p w14:paraId="142AF507" w14:textId="77777777" w:rsidR="00DD66E6" w:rsidRPr="00DD66E6" w:rsidRDefault="00DD66E6" w:rsidP="00DD66E6">
      <w:pPr>
        <w:spacing w:line="276" w:lineRule="auto"/>
        <w:ind w:right="134"/>
      </w:pPr>
      <w:r w:rsidRPr="00DD66E6">
        <w:t xml:space="preserve">Իրավաբանական անձանց իրական շահառուների բացահայտումը կոռուպցիայի դեմ պայքարի կարևորագույն գործիքներից է, որի նպատակը փողերի լվացման, ահաբեկչության ֆինանսավորման, հարկերից խուսափման, կոռուպցիոն սխեմաների կիրառման կանխարգելումը և հանցավոր գործունեության դեպքերի բացահայտումն է։ ՀՀ-ում իրավաբանական անձանց իրական շահառուի բացահայտման ինստիտուտը ներդրվել է 2008 թվականին «Փողերի լվացման և ահաբեկչության ֆինանսավորման դեմ պայքարի մասին» օրենքով՝ համաձայն Ֆինանսական միջոցառումների աշխատանքային խմբի հանձնարարականների պահանջների: </w:t>
      </w:r>
    </w:p>
    <w:p w14:paraId="4F06D998" w14:textId="77777777" w:rsidR="00DD66E6" w:rsidRPr="00DD66E6" w:rsidRDefault="00DD66E6" w:rsidP="00DD66E6">
      <w:pPr>
        <w:spacing w:line="276" w:lineRule="auto"/>
        <w:ind w:right="134"/>
      </w:pPr>
      <w:r w:rsidRPr="00DD66E6">
        <w:t xml:space="preserve">2017 թվականից ի վեր, մասնավորապես՝ </w:t>
      </w:r>
      <w:r w:rsidRPr="00DD66E6">
        <w:rPr>
          <w:rFonts w:eastAsia="Times New Roman" w:cs="Arian AMU"/>
        </w:rPr>
        <w:t>Բաց կառավարման գործընկերության</w:t>
      </w:r>
      <w:r w:rsidRPr="00DD66E6">
        <w:t xml:space="preserve"> և Արդյունահանող ճյուղերի թափանցիկության նախաձեռնության շրջանակներում միջազգային պարտավորությունների իրականացման շնորհիվ, Հայաստանի Հանրապետությունը զգալի առաջընթաց է գրանցել իրական շահառուների թափանցիկության ապահովման և հանրային կենտրոնացված ռեգիստրի ստեղծման գործում։ </w:t>
      </w:r>
    </w:p>
    <w:p w14:paraId="54D68412" w14:textId="77777777" w:rsidR="00DD66E6" w:rsidRPr="00DD66E6" w:rsidRDefault="00DD66E6" w:rsidP="00DD66E6">
      <w:pPr>
        <w:spacing w:line="276" w:lineRule="auto"/>
        <w:ind w:right="134"/>
      </w:pPr>
      <w:r w:rsidRPr="00DD66E6">
        <w:t>2019 թվականին սահմանվել են Հայաստանի մետաղական հանքարդյունաբերության ոլորտում ընդերքօգտագործման իրավունք ունեցող կամ ընդերքօգտագործման իրավունքի համար դիմող ընկերությունների իրական շահառուների (սեփականատերերի) վերաբերյալ տվյալների ներկայացման և հրապարակման իրավական կարգավորումները:</w:t>
      </w:r>
    </w:p>
    <w:p w14:paraId="449576F0" w14:textId="77777777" w:rsidR="00DD66E6" w:rsidRPr="00DD66E6" w:rsidRDefault="00DD66E6" w:rsidP="00DD66E6">
      <w:pPr>
        <w:spacing w:line="276" w:lineRule="auto"/>
        <w:ind w:right="134"/>
      </w:pPr>
      <w:r w:rsidRPr="00DD66E6">
        <w:t xml:space="preserve"> 2020 թվականից իրավաբանական անձանց պետական ռեգիստրի առցանց հարթակում հրապարակվում են այդ կազմակերպությունների իրական շահառուների (սեփականատերերի) վերաբերյալ հայտարարագրերը: 2021 թվականի օրենսդրական փոփոխությունների արդյունքում ընդլայնվել է իրական շահառուների վերաբերյալ </w:t>
      </w:r>
      <w:r w:rsidRPr="00DD66E6">
        <w:lastRenderedPageBreak/>
        <w:t xml:space="preserve">հայտարարագիր ներկայացնելու պարտականություն ունեցող սուբյեկտների շրջանակը՝ ներառելով հանրային ծառայությունների ոլորտում գործունեություն իրականացնող, ինչպես նաև տեսալսողական և մեդիա ծառայություն մատուցող իրավաբանական անձանց։ 2023 թվականից իրական շահառուների վերաբերյալ հայտարարագրերի ներկայացման պահանջը տարածվում է բոլոր իրավաբանական անձանց վրա։ </w:t>
      </w:r>
    </w:p>
    <w:p w14:paraId="3500AB35" w14:textId="77777777" w:rsidR="00DD66E6" w:rsidRPr="00DD66E6" w:rsidRDefault="00DD66E6" w:rsidP="00DD66E6">
      <w:pPr>
        <w:spacing w:line="276" w:lineRule="auto"/>
        <w:ind w:right="134"/>
      </w:pPr>
      <w:r w:rsidRPr="00DD66E6">
        <w:t>2021 թվականից գործարկվել է իրական շահառուների հայտարարագրման էլեկտրոնային համակարգը, ընդ որում, ՀՀ-ում իրական շահառուների հայտարարագրման էլեկտրոնային համակարգի ստեղծման հիմքում դրել է Open Ownership միջազգային կազմակերպության կողմից մշակված «Իրական շահառուների տվյալների ստանդարտը» (BODS), որը սահմանում է տվյալների հավաքագրման ու հրապարակման տեխնիկական բնութագրիչները:</w:t>
      </w:r>
    </w:p>
    <w:p w14:paraId="75B4D7CF" w14:textId="77777777" w:rsidR="00DD66E6" w:rsidRPr="00DD66E6" w:rsidRDefault="00DD66E6" w:rsidP="00DD66E6">
      <w:pPr>
        <w:spacing w:line="276" w:lineRule="auto"/>
        <w:ind w:right="134"/>
      </w:pPr>
      <w:r w:rsidRPr="00DD66E6">
        <w:t xml:space="preserve">Տեխնիկական հնարավորությունների սահմաններում ապահովվել է տվյալների շտեմարանների փոխգործելիությունը իրավաբանական անձանց պետական ռեգիստրի էլեկտրոնային համակարգի և բնակչության ռեգիստրի հետ։ 2019 թվականից Հայաստանը ներգրավվել է ԲԿԳ </w:t>
      </w:r>
      <w:r w:rsidRPr="00DD66E6">
        <w:rPr>
          <w:rFonts w:eastAsia="Times New Roman" w:cs="Arian AMU"/>
          <w:iCs/>
        </w:rPr>
        <w:t>«Իրական շահառուների առաջնորդների խմբում»:</w:t>
      </w:r>
      <w:r w:rsidRPr="00DD66E6">
        <w:t xml:space="preserve">  </w:t>
      </w:r>
    </w:p>
    <w:p w14:paraId="35C80BF2" w14:textId="77777777" w:rsidR="00DD66E6" w:rsidRPr="00DD66E6" w:rsidRDefault="00DD66E6" w:rsidP="00DD66E6">
      <w:pPr>
        <w:tabs>
          <w:tab w:val="left" w:pos="284"/>
          <w:tab w:val="left" w:pos="426"/>
          <w:tab w:val="left" w:pos="709"/>
          <w:tab w:val="left" w:pos="993"/>
        </w:tabs>
        <w:spacing w:line="276" w:lineRule="auto"/>
        <w:contextualSpacing/>
        <w:rPr>
          <w:b/>
        </w:rPr>
      </w:pPr>
      <w:r w:rsidRPr="00DD66E6">
        <w:t>Չնայած իրական շահառուների ոլորտում ձեռնարկված բարեփոխումներին, հարկ է նշել, որ թե օրենսդրական, թե գործնական մակարդակով դեռևս ապահովված չեն իրական շահառուների բացահայտման ինստիտուտի արդյունավետ գործարկման համար անհրաժեշտ բոլոր մեխանիզմները:</w:t>
      </w:r>
    </w:p>
    <w:p w14:paraId="567F248B" w14:textId="77777777" w:rsidR="00DD66E6" w:rsidRPr="00DD66E6" w:rsidRDefault="00DD66E6" w:rsidP="00DD66E6">
      <w:pPr>
        <w:spacing w:line="276" w:lineRule="auto"/>
        <w:ind w:right="134"/>
      </w:pPr>
      <w:r w:rsidRPr="00DD66E6">
        <w:t>Չնայած իրական շահառուների ոլորտում առկա առաջընթացին` պետք է նշել, որ բացակայում են իրական շահառուների վերաբերյալ ներկայացվող  տեղեկությունների արժանահավատության ստուգման արդյունավետ մեխանիզմները, ներդրված չեն իրական շահառուների հայտարարագրման պարտականություն կրող իրավաբանական անձանց ռիսկայնության որոշման հստակ մեթոդաբանություն, տեխնիկական կանոնակարգեր։</w:t>
      </w:r>
    </w:p>
    <w:p w14:paraId="66A9DC55" w14:textId="77777777" w:rsidR="00DD66E6" w:rsidRPr="00DD66E6" w:rsidRDefault="00DD66E6" w:rsidP="00DD66E6">
      <w:pPr>
        <w:spacing w:line="276" w:lineRule="auto"/>
        <w:ind w:right="134"/>
      </w:pPr>
      <w:r w:rsidRPr="00DD66E6">
        <w:t>Հիմնական խնդիրներից է նաև այն, որ չի իրականացվում իրական շահառուների վերաբերյալ ներկայացված տեղեկությունների արժանահավատության արդյունավետ վերահսկողություն: Բացի այդ, հարկ է նշել, որ «իրական շահառու» եզրույթը իրավական բովանդակության տեսանկյունից տարբեր կերպ է արտացոլված ոլորտային իրավական ակտերում, որով պայմանավորված անհրաժեշտ է քայլեր ձեռնարկել դրանց հնարավորինս միասնականացման համար՝ հաշվի առնելով ոլորտային առանձնահատկությունները։</w:t>
      </w:r>
    </w:p>
    <w:p w14:paraId="1D76A20A" w14:textId="77777777" w:rsidR="00DD66E6" w:rsidRPr="00DD66E6" w:rsidRDefault="00DD66E6" w:rsidP="00DD66E6">
      <w:pPr>
        <w:spacing w:line="276" w:lineRule="auto"/>
        <w:ind w:right="134"/>
      </w:pPr>
      <w:r w:rsidRPr="00DD66E6">
        <w:t xml:space="preserve">Անհրաժեշտ է նաև նշել, որ Իրավաբանական անձանց պետական ռեգիստրի գործակալության էլեկտրոնային գործող համակարգը ներկայումս չունի բոլոր անհրաժեշտ տեխնիկական հնարավորությունները՝ տվյալների մշակման, վերլուծության, փնտրման, ծանուցումների ինքնաշխատ ուղարկման, ըստ ռիսկայնության չափանիշների իրավաբանական անձանց նշման՝ «կարմիր դրոշակների» սահմանման (red flagging), վերլուծական տվյալների գեներացման, մեծածավալ (bulk) բաց տվյալներ գեներացնելու, նորարական գործիքներ ներդնելու համար։ </w:t>
      </w:r>
    </w:p>
    <w:p w14:paraId="6B332874" w14:textId="77777777" w:rsidR="00DD66E6" w:rsidRPr="00DD66E6" w:rsidRDefault="00DD66E6" w:rsidP="00DD66E6">
      <w:pPr>
        <w:spacing w:line="276" w:lineRule="auto"/>
        <w:ind w:right="134"/>
      </w:pPr>
      <w:r w:rsidRPr="00DD66E6">
        <w:t xml:space="preserve">Ապահովված չէ պետական ռեգիստրի էլեկտրոնային համակարգի փոխգործակցելիությունը այլ մարմինների կողմից վարվող տվյալների շտեմարանների հետ </w:t>
      </w:r>
      <w:r w:rsidRPr="00DD66E6">
        <w:lastRenderedPageBreak/>
        <w:t xml:space="preserve">(օրինակ՝ ԿԿՀ-ի էլեկտրոնային համակարգերի, բաժնետերերի ռեեստրի և պետական գնումների էլեկտրոնային համակարգի հետ)՝ որպեսզի հնարավոր լինի ինքնաշխատ կարգով ստանալ համապատասխան տվյալներ և վերհանել խնդիրներ։ </w:t>
      </w:r>
    </w:p>
    <w:p w14:paraId="24A3EDA4" w14:textId="77777777" w:rsidR="00DD66E6" w:rsidRPr="00DD66E6" w:rsidRDefault="00DD66E6" w:rsidP="00DD66E6">
      <w:pPr>
        <w:spacing w:line="276" w:lineRule="auto"/>
        <w:ind w:right="134"/>
      </w:pPr>
      <w:r w:rsidRPr="00DD66E6">
        <w:t>Առկա չեն նաև միջազգային համագործակցության շրջանակում իրական շահառուների օտարերկրյա ռեգիստրների հետ փոխգործելիության հնարավորություններ։</w:t>
      </w:r>
    </w:p>
    <w:p w14:paraId="3FE07E07" w14:textId="77777777" w:rsidR="00DD66E6" w:rsidRPr="00DD66E6" w:rsidRDefault="00DD66E6" w:rsidP="00DD66E6">
      <w:pPr>
        <w:spacing w:line="276" w:lineRule="auto"/>
        <w:ind w:right="134"/>
      </w:pPr>
      <w:r w:rsidRPr="00DD66E6">
        <w:t xml:space="preserve">Տվյալների արժանահավատության ստուգման արդյունավետ համակարգի ստեղծման համար էական է Իրավաբանական անձանց պետական ռեգիստրի գործակալության համապատասխան գործառույթների ընդլայնումը։ Բացի այդ, 2023 թվականից իրական շահառուների հայտարարագիր ներկայացնող իրավաբանական անձանց թվի աճի պայմաններում (ավելի քան 100,000 իրավաբանական անձ) զգալիորեն մեծացել է Իրավաբանական անձանց պետական ռեգիստրի գործակալության աշխատանքային ծանրաբեռնվածությունը: </w:t>
      </w:r>
    </w:p>
    <w:p w14:paraId="224F9708" w14:textId="77777777" w:rsidR="00DD66E6" w:rsidRPr="00DD66E6" w:rsidRDefault="00DD66E6" w:rsidP="00DD66E6">
      <w:pPr>
        <w:spacing w:line="276" w:lineRule="auto"/>
        <w:ind w:right="134"/>
      </w:pPr>
      <w:r w:rsidRPr="00DD66E6">
        <w:t>Հիմնական խնդիրներից է նաև այն, որ հայտարարագրերի ներկայացման գործընթացում առկա է անհստակություն իրավաբանական անձի կազմակերպաիրավական ձևով պայմանավորված իրական շահառու հանդիսացող անձանց շրջանակի կապակցությամբ։ Առկա չեն իրական շահառուի նույնականացման մատչելի ուղեցույցներ՝ ըստ իրավաբանական անձանց կազմակերպաիրավական ձևի, որոնցից կկարողանան օգտվել թե իրավաբանական անձինք, և թե իրավասու մարմինները։</w:t>
      </w:r>
    </w:p>
    <w:p w14:paraId="6261C221" w14:textId="77777777" w:rsidR="00DD66E6" w:rsidRPr="00DD66E6" w:rsidRDefault="00DD66E6" w:rsidP="00DD66E6">
      <w:pPr>
        <w:spacing w:line="276" w:lineRule="auto"/>
        <w:ind w:right="134"/>
      </w:pPr>
      <w:r w:rsidRPr="00DD66E6">
        <w:t>Այսպես, 2023 թվականի մարտ ամսվա դրությամբ ՀՀ-ում հայտարարագիրը ներկայացնելու պարտականություն ունեցող ավելի քան 100.000 իրավաբանական անձանցից միայն շուրջ 48 տոկոսն է կատարել օրենքով սահմանված պարտականությունը։ Այնուամենայնիվ, նշված դիմելիության ցածր մակարդակի դեպքում անգամ Պետական ռեգիստրում առաջացել է գերծանրաբեռնվածություն, հետևյալ գործոններով պայմանավորված՝</w:t>
      </w:r>
    </w:p>
    <w:p w14:paraId="5B615CFB" w14:textId="77777777" w:rsidR="00DD66E6" w:rsidRPr="00DD66E6" w:rsidRDefault="00DD66E6" w:rsidP="005765E3">
      <w:pPr>
        <w:numPr>
          <w:ilvl w:val="0"/>
          <w:numId w:val="8"/>
        </w:numPr>
        <w:tabs>
          <w:tab w:val="left" w:pos="851"/>
        </w:tabs>
        <w:spacing w:after="160" w:line="276" w:lineRule="auto"/>
        <w:ind w:left="180" w:right="134" w:firstLine="567"/>
        <w:contextualSpacing/>
      </w:pPr>
      <w:r w:rsidRPr="00DD66E6">
        <w:t>իրավաբանական անձանց 80 տոկոսը հայտարարագիրը ներկայացնում է ոչ թե գործադիր մարմնի ղեկավարի, այլ՝ լիազորված անձի միջոցով։ Լիազորագրերի մուտքագրումը համակարգ իրականացնում է Պետական ռեգիստրը</w:t>
      </w:r>
      <w:r w:rsidRPr="00DD66E6">
        <w:rPr>
          <w:rFonts w:ascii="MS Mincho" w:hAnsi="MS Mincho"/>
        </w:rPr>
        <w:t>․</w:t>
      </w:r>
    </w:p>
    <w:p w14:paraId="4138DFBA" w14:textId="77777777" w:rsidR="00DD66E6" w:rsidRPr="00DD66E6" w:rsidRDefault="00DD66E6" w:rsidP="005765E3">
      <w:pPr>
        <w:numPr>
          <w:ilvl w:val="0"/>
          <w:numId w:val="8"/>
        </w:numPr>
        <w:tabs>
          <w:tab w:val="left" w:pos="851"/>
        </w:tabs>
        <w:spacing w:after="160" w:line="276" w:lineRule="auto"/>
        <w:ind w:left="180" w:right="134" w:firstLine="567"/>
        <w:contextualSpacing/>
      </w:pPr>
      <w:r w:rsidRPr="00DD66E6">
        <w:t>ներկայացված լիազորագրերի շուրջ 30 տոկոսը կազմված է էական սխալներով, արդյունքում առաջանում է անհրաժեշտություն՝ կապվելու քաղաքացիների հետ և առաջարկելու շտկել նշված թերությունները</w:t>
      </w:r>
      <w:r w:rsidRPr="00DD66E6">
        <w:rPr>
          <w:rFonts w:ascii="MS Mincho" w:hAnsi="MS Mincho"/>
        </w:rPr>
        <w:t>․</w:t>
      </w:r>
    </w:p>
    <w:p w14:paraId="3DEBB48B" w14:textId="77777777" w:rsidR="00DD66E6" w:rsidRPr="00DD66E6" w:rsidRDefault="00DD66E6" w:rsidP="005765E3">
      <w:pPr>
        <w:numPr>
          <w:ilvl w:val="0"/>
          <w:numId w:val="8"/>
        </w:numPr>
        <w:tabs>
          <w:tab w:val="left" w:pos="851"/>
        </w:tabs>
        <w:spacing w:after="160" w:line="276" w:lineRule="auto"/>
        <w:ind w:left="180" w:right="134" w:firstLine="567"/>
        <w:contextualSpacing/>
      </w:pPr>
      <w:r w:rsidRPr="00DD66E6">
        <w:t>հայտարարագիր ներկայացնող անձանց մեծամասնությունը նախընտրում է հայտարարագիրը ներկայացնելու բոլոր քայլերում ստանալ Պետական ռեգիստրի մասնագետների խորհրդատվությունը (չնայած վիդեո-ուղեցույցների և Արդարադատության նախարարի հրամանով հաստատված ուղեցույցի՝ կայքում տեղադրված լինելու հանգամանքին),</w:t>
      </w:r>
    </w:p>
    <w:p w14:paraId="167A0766" w14:textId="77777777" w:rsidR="00DD66E6" w:rsidRPr="00DD66E6" w:rsidRDefault="00DD66E6" w:rsidP="00DD66E6">
      <w:pPr>
        <w:tabs>
          <w:tab w:val="left" w:pos="851"/>
        </w:tabs>
        <w:spacing w:line="276" w:lineRule="auto"/>
        <w:ind w:right="134"/>
      </w:pPr>
      <w:r w:rsidRPr="00DD66E6">
        <w:t xml:space="preserve">Հաշվի առնելով, որ Պետական ռեգիստրի հիմնական գործառույթներն իրավաբանական անձանց պետական գրանցումը, իրավաբանական անձանց առանձնացված ստորաբաժանումների, հիմնարկների, առանձնացված </w:t>
      </w:r>
      <w:r w:rsidRPr="00DD66E6">
        <w:lastRenderedPageBreak/>
        <w:t>ստորաբաժանումների և անհատ ձեռնարկատերերի պետական հաշվառումն է՝ վերը նշված գործոններով պայմանավորված գերծանրաբեռնվածությունն իր հերթին կարող է բացասաբար ազդել կատարվող աշխատանքի որակի և ժամկետների վրա։</w:t>
      </w:r>
    </w:p>
    <w:p w14:paraId="627A91CB" w14:textId="77777777" w:rsidR="00DD66E6" w:rsidRPr="00DD66E6" w:rsidRDefault="00DD66E6" w:rsidP="00DD66E6">
      <w:pPr>
        <w:spacing w:line="276" w:lineRule="auto"/>
        <w:ind w:right="134"/>
      </w:pPr>
      <w:r w:rsidRPr="00DD66E6">
        <w:t xml:space="preserve">Հաշվի առնելով վերոգրյալը՝ առաջարկվում է քայլեր ձեռնարկել իրական շահառուների բացահայտման ինստիտուտի կատարելագործման, համակարգի արդյունավետ գործարկման և Պետական ռեգիստրում ԻՇ հայտարարագրման գործընթացը համակարգող և համապատասխան վարչական վարույթ իրականացնող ստորաբաժանման ստեղծման համար: Մասնավորապես, առաջնային նշանակություն ունի միջազգային փորձի ուսումնասիրության հիման վրա իրական շահառուների վերաբերյալ ներկայացված տեղեկությունների արժանահավատության ստուգման  միասնական կառուցակարգի ներդրումը, ստուգման մեթոդաբանության մշակումը և տեխնիկական կանոնակարգերի պատրաստումը, տվյալների արժանահավատության հանրային վերահսկողության հնարավորություն ապահովելը, «իրական շահառու» եզրույթի իրավական բովանդակության միասնականությունը` տարբեր իրավական ակտերում, ինչպես նաև պրակտիկայում հնարավորինս ապահովելը: </w:t>
      </w:r>
    </w:p>
    <w:p w14:paraId="13380C5D" w14:textId="77777777" w:rsidR="00DD66E6" w:rsidRPr="00DD66E6" w:rsidRDefault="00DD66E6" w:rsidP="00DD66E6">
      <w:pPr>
        <w:spacing w:line="276" w:lineRule="auto"/>
        <w:ind w:right="134"/>
      </w:pPr>
      <w:r w:rsidRPr="00DD66E6">
        <w:t>Բացի այդ, հարկ է արդիականացնել և կատարելագործել իրավաբանական անձանց պետական ռեգիստրի</w:t>
      </w:r>
      <w:r w:rsidRPr="00DD66E6">
        <w:rPr>
          <w:rFonts w:eastAsia="Times New Roman" w:cs="Arian AMU"/>
          <w:bCs/>
        </w:rPr>
        <w:t xml:space="preserve"> և </w:t>
      </w:r>
      <w:r w:rsidRPr="00DD66E6">
        <w:t xml:space="preserve"> իրական շահառուների հայտարարագրման էլեկտրոնային համակարգը, մշակել իրական շահառուների նույնականացման միասնական ստանդարտների և դրանց վրա հիմնված իրական շահառուների նույնականացման մատչելի ուղեցույցներ, ինչպես նաև մշակել, կազմակերպել և անցկացնել վերապատրաստման ծրագրեր՝ ըստ թիրախ խմբերի՝ հայտարարատու իրավաբանական անձանց համար, ինչպես նաև պետական ռեգիստրի և իրական շահառուների ոլորտին առնչվող այլ պետական մարմինների համար, ապահովել իրավաբանական անձանց պետական ռեգիստրի գործակալության ինստիտուցիոնալ զարգացումը:</w:t>
      </w:r>
    </w:p>
    <w:p w14:paraId="683F09AC" w14:textId="77777777" w:rsidR="00DD66E6" w:rsidRPr="00DD66E6" w:rsidRDefault="00DD66E6" w:rsidP="00DD66E6">
      <w:pPr>
        <w:spacing w:line="276" w:lineRule="auto"/>
        <w:ind w:right="134"/>
      </w:pPr>
    </w:p>
    <w:p w14:paraId="55630D09" w14:textId="77777777" w:rsidR="00DD66E6" w:rsidRPr="00DD66E6" w:rsidRDefault="00DD66E6" w:rsidP="00DD66E6">
      <w:pPr>
        <w:ind w:firstLine="0"/>
        <w:jc w:val="center"/>
        <w:rPr>
          <w:b/>
        </w:rPr>
      </w:pPr>
      <w:r w:rsidRPr="00DD66E6">
        <w:rPr>
          <w:b/>
        </w:rPr>
        <w:t>ՀԱՐԿԱՅԻՆ ԵՎ ՄԱՔՍԱՅԻՆ ՈԼՈՐՏՈՒՄ ՀԱԿԱԿՈՌՈՒՊՑԻՈՆ ԵՎ ԲԱՐԵՎԱՐՔՈՒԹՅԱՆ ՄԵԽԱՆԻԶՄՆԵՐԻ ԿԱՏԱՐԵԼԱԳՈՐԾՈՒՄ</w:t>
      </w:r>
    </w:p>
    <w:p w14:paraId="53F7EE48" w14:textId="77777777" w:rsidR="00DD66E6" w:rsidRPr="00DD66E6" w:rsidRDefault="00DD66E6" w:rsidP="00DD66E6">
      <w:pPr>
        <w:spacing w:line="276" w:lineRule="auto"/>
        <w:rPr>
          <w:b/>
        </w:rPr>
      </w:pPr>
    </w:p>
    <w:p w14:paraId="697D1C17" w14:textId="77777777" w:rsidR="00DD66E6" w:rsidRPr="00DD66E6" w:rsidRDefault="00DD66E6" w:rsidP="00DD66E6">
      <w:pPr>
        <w:spacing w:line="276" w:lineRule="auto"/>
      </w:pPr>
      <w:r w:rsidRPr="00DD66E6">
        <w:t xml:space="preserve">Վերջին տարիների ընթացքում հարկային և մաքսային ոլորտներում էական և անկյունաքարային միջոցառումներ են իրականացվել կոռուպցիայի դեմ պայքարի և հակակոռուպցիոն կառուցակարգեր ներդնելու ուղղությամբ։ </w:t>
      </w:r>
    </w:p>
    <w:p w14:paraId="7FAB99AF" w14:textId="77777777" w:rsidR="00DD66E6" w:rsidRPr="00DD66E6" w:rsidRDefault="00DD66E6" w:rsidP="00DD66E6">
      <w:pPr>
        <w:spacing w:line="276" w:lineRule="auto"/>
      </w:pPr>
      <w:r w:rsidRPr="00DD66E6">
        <w:t xml:space="preserve">Այսպես, 2022 թվականին ՀՀ ԱԺ-ի կողմից ընդունվել են ««Հարկային ծառայության մասին» օրենքում լրացումներ և փոփոխություններ կատարելու մասին» և ««Մաքսային ծառայության մասին» օրենքում լրացումներ և փոփոխություններ կատարելու մասին» օրենքների նախագծերի փաթեթը, որով ներդրվեցին մաքսային ծառայողների բարեվարքության ստուգման ընթացակարգերը, վերջիններիս պատրաստման դասընթացների կատարելագործմանն ուղղված նոր կառուցակարգեր։ Պետական եկամուտների կոմիտեն ներդրել է նոր չափանիշներով մաքսային ծառայողներ </w:t>
      </w:r>
      <w:r w:rsidRPr="00DD66E6">
        <w:lastRenderedPageBreak/>
        <w:t>պատրաստելու աննախադեպ դասընթացների շարք: Միաժամանակ, 2022 թվականի հունվարին հաստատվել են մաքսային ծառայողի վարքագծի (էթիկայի) կանոնները։</w:t>
      </w:r>
    </w:p>
    <w:p w14:paraId="7533CE06" w14:textId="77777777" w:rsidR="00DD66E6" w:rsidRPr="00DD66E6" w:rsidRDefault="00DD66E6" w:rsidP="00DD66E6">
      <w:pPr>
        <w:spacing w:line="276" w:lineRule="auto"/>
      </w:pPr>
      <w:r w:rsidRPr="00DD66E6">
        <w:t>«ՀՀ-ում մասնավոր հատվածին հանրային ծառայությունների մատուցման բնագավառում կոռուպցիոն ռիսկերի գնահատման» շրջանակներում իրականացվել է ուսումնասիրություն, որին մասնակցել են մասնավոր/գործարար հատվածի ներկայացուցիչներ։ Իրականացված հարցումների արդյունքում մատնանշվել է  վերջին տարիներին հարկային ու մաքսային ոլորտներում կոռուպցիայի էական նվազման հանգամանքը։ Զուգահեռաբար, առկա հիմնախնիդրների շարքում բիզնես համայնքի կողմից մատնանշվել է հարկային/մաքսային/այլ վարչարարական բեռի նվազեցման անհրաժեշտությունը</w:t>
      </w:r>
      <w:r w:rsidRPr="00DD66E6">
        <w:rPr>
          <w:vertAlign w:val="superscript"/>
        </w:rPr>
        <w:footnoteReference w:id="56"/>
      </w:r>
      <w:r w:rsidRPr="00DD66E6">
        <w:t>՝ որպես կոռուպցիայի դեմ պայքարի արդյունավետ միջոց։</w:t>
      </w:r>
    </w:p>
    <w:p w14:paraId="5F73BB55" w14:textId="77777777" w:rsidR="00DD66E6" w:rsidRPr="00DD66E6" w:rsidRDefault="00DD66E6" w:rsidP="00DD66E6">
      <w:pPr>
        <w:spacing w:line="276" w:lineRule="auto"/>
      </w:pPr>
      <w:r w:rsidRPr="00DD66E6">
        <w:t>Ըստ բիզնես համայնքի ներկայացուցիչների՝ հարկային օրենսդրության մասով քննարկվում են կամ արդեն իսկ ընդունվել փոփոխություններ, որոնք լրացուցիչ հաշվետվությունների պահանջ են նախատեսում անհատների համար, հաշվապահական հաշվեկշռի վարման պահանջ են նախատեսում անհատ ձեռնարկատերերի համար, վերացնում են շրջանառության հարկի համակարգը։ Այս բոլոր փոփոխությունները էապես ավելացնում են հարկային համապատասխանության (կոպլեանսի) բեռը փոքր տնտեսվարողների համար (ինչը ինքնին էական կոռուպցիոն ռիսկ է)</w:t>
      </w:r>
      <w:r w:rsidRPr="00DD66E6">
        <w:rPr>
          <w:vertAlign w:val="superscript"/>
        </w:rPr>
        <w:footnoteReference w:id="57"/>
      </w:r>
      <w:r w:rsidRPr="00DD66E6">
        <w:t>։ Իրականացված ուսումնասիրության շրջանակներում, հարկային ոլորտի առնչությամբ բուն կոռուպցիայի մասին նշումները սակավաթիվ են, սակայն շատ հաճախ նշվում է այս ոլորտում «պլան կատարելու» արատավոր երևույթի մասին, որի շրջանակներում հարկային տեսուչները փորձում են անհիմն հարկային պարտավորություններ առաջադրել՝ տուգանքների ու հարկերի հավաքագրման բարձր ցուցանիշներ ապահովելու համար։</w:t>
      </w:r>
    </w:p>
    <w:p w14:paraId="75E68F28" w14:textId="77777777" w:rsidR="00DD66E6" w:rsidRPr="00DD66E6" w:rsidRDefault="00DD66E6" w:rsidP="00DD66E6">
      <w:pPr>
        <w:spacing w:line="276" w:lineRule="auto"/>
      </w:pPr>
      <w:r w:rsidRPr="00DD66E6">
        <w:t>Չնայած վերջին տարիներին իրականացված լայնածավալ բարեփոխումներին, անհրաժեշտ է շարունակաբար բարելավել և կատարելագործել հարկային և մաքսային ծառայողների բարեվարքության համակարգը՝ ներդնելով նոր գործիքակազմեր և կառուցակարգեր։ Առանձնահատուկ ուշադրություն պետք է դարձվի կադրային քաղաքականությանը՝ ներգրավելով մասնագիտական բարձր որակներ ունեցող և բարեվարքության չափանիշներին համապատասխանող աշխատակիցների:</w:t>
      </w:r>
    </w:p>
    <w:p w14:paraId="290EE539" w14:textId="77777777" w:rsidR="00DD66E6" w:rsidRPr="00DD66E6" w:rsidRDefault="00DD66E6" w:rsidP="00DD66E6">
      <w:pPr>
        <w:spacing w:line="276" w:lineRule="auto"/>
      </w:pPr>
      <w:r w:rsidRPr="00DD66E6">
        <w:t xml:space="preserve">Անկյունաքարային նշանակություն պետք է ունենա նաև հարկային և մաքսային վարչարարությունից բխող կոռուպցիոն ռիսկերի վերհանման և դրանց չեզոքացմանն ուղղված արդյունավետ համակարգերի ներդրումը։ Այս համատեքստում կարևորվում է առկա էլեկտրոնային գործիքակազմի շարունակաբար կատարելագոծումը կամ նոր «խելացի» գործիքների ներդրումը, ինչը կնպաստի հարկային վարչարարության արդյունավետության բարձրացմանը, ստվերային տնտեսության դեմ պայքարի գործիքակազմի կատարելագործմանը և բիզնես-հարկային մարմին փոխհարաբերություններում սուբյեկտիվիզմի ու կոռուպցիոն ռիսկերի մեղմացմանը։ Բացի վերը նշվածից, զուգահեռաբար </w:t>
      </w:r>
      <w:r w:rsidRPr="00DD66E6">
        <w:lastRenderedPageBreak/>
        <w:t xml:space="preserve">անհրաժեշտ է կատարելագործել ինչպես օրենսդրական դաշտը, այնպես էլ ինստիտուցիոնալ կառուցակարգերը։ </w:t>
      </w:r>
    </w:p>
    <w:p w14:paraId="3B7C8091" w14:textId="77777777" w:rsidR="00DD66E6" w:rsidRPr="00DD66E6" w:rsidRDefault="00DD66E6" w:rsidP="00DD66E6">
      <w:pPr>
        <w:spacing w:line="276" w:lineRule="auto"/>
      </w:pPr>
    </w:p>
    <w:p w14:paraId="325D11BE" w14:textId="77777777" w:rsidR="00DD66E6" w:rsidRPr="00DD66E6" w:rsidRDefault="00DD66E6" w:rsidP="00DD66E6">
      <w:pPr>
        <w:spacing w:line="276" w:lineRule="auto"/>
        <w:jc w:val="center"/>
        <w:rPr>
          <w:b/>
        </w:rPr>
      </w:pPr>
      <w:r w:rsidRPr="00DD66E6">
        <w:rPr>
          <w:b/>
        </w:rPr>
        <w:t>ՊԵՏԱԿԱՆ ԳՆՈՒՄՆԵՐԻ ԳՈՐԾԸՆԹԱՑՈՒՄ ԲԱՐԵՎԱՐՔՈՒԹՅԱՆ, ՀԱՇՎԵՏՎՈՂԱԿԱՆՈՒԹՅԱՆ ԵՎ ԹԱՓԱՆՑԻԿՈՒԹՅԱՆ ԿԱՏԱՐԵԼԱԳՈՐԾՈՒՄ</w:t>
      </w:r>
    </w:p>
    <w:p w14:paraId="377E8269" w14:textId="77777777" w:rsidR="00DD66E6" w:rsidRPr="00DD66E6" w:rsidRDefault="00DD66E6" w:rsidP="00DD66E6">
      <w:pPr>
        <w:spacing w:line="276" w:lineRule="auto"/>
      </w:pPr>
    </w:p>
    <w:p w14:paraId="0B5DCE90" w14:textId="77777777" w:rsidR="00DD66E6" w:rsidRPr="00DD66E6" w:rsidRDefault="00DD66E6" w:rsidP="00DD66E6">
      <w:pPr>
        <w:spacing w:line="276" w:lineRule="auto"/>
      </w:pPr>
      <w:r w:rsidRPr="00DD66E6">
        <w:t xml:space="preserve">Մասնավոր ոլորտում կոռուպցիայի դեմ համապարփակ և արդյունավետ պայքար մղելու համար առանցքային նշանակություն ունի հանրային գնումների ոլորտում հակակոռուպցիոն կառուցակարգերի շարունակական կատարելագործումը։ </w:t>
      </w:r>
    </w:p>
    <w:p w14:paraId="28CA2AAD" w14:textId="77777777" w:rsidR="00DD66E6" w:rsidRPr="00DD66E6" w:rsidRDefault="00DD66E6" w:rsidP="00DD66E6">
      <w:pPr>
        <w:spacing w:line="276" w:lineRule="auto"/>
      </w:pPr>
      <w:r w:rsidRPr="00DD66E6">
        <w:t>Գնումների ոլորտում կոռուպցիոն ռիսկեր են պարունակում գնումների մասնակիցների, իրական սեփականատերերի մասին տեղեկատվության և նրանց կողմից ներկայացված շահերի բախման բացակայության վերաբերյալ տեղեկությունների ստուգման անկախ մեխանիզմների բացակայությունը։</w:t>
      </w:r>
      <w:r w:rsidRPr="00DD66E6">
        <w:rPr>
          <w:vertAlign w:val="superscript"/>
        </w:rPr>
        <w:footnoteReference w:id="58"/>
      </w:r>
    </w:p>
    <w:p w14:paraId="6ED409CF" w14:textId="77777777" w:rsidR="00DD66E6" w:rsidRPr="00DD66E6" w:rsidRDefault="00DD66E6" w:rsidP="00DD66E6">
      <w:pPr>
        <w:spacing w:line="276" w:lineRule="auto"/>
      </w:pPr>
      <w:r w:rsidRPr="00DD66E6">
        <w:t>Գնումների գործընթացում կոռուպցիայի կանխարգելման շրջանակներում առավելապես կարևորվում են շահերի բախման և բարեվարքության կառուցակարգերի շարունակական կատարելագործումը։ Որպես առաջնային քայլ՝ առաջարկվում է իրականացնել առկա իրավիճակի և գործող կարգավորումների վերաբերյալ համապարփակ ուսումնասիրություն՝ ոււղված պետական բարձրաստիճան պաշտոնյաների ուղղակի և անուղղակի մասնակցությունը պետական գնումնեևրի գործընթացներում բացառելուն, շահերի բախման կառուցակարգերը կատարելագործելուն։ Առաջարկվում է ուսումնասիրությունների արդյունքների հիման վրա կատարելագործել գործող իրավական դաշտը և առկա կառուցակարգերը։</w:t>
      </w:r>
    </w:p>
    <w:p w14:paraId="578937AB" w14:textId="77777777" w:rsidR="00DD66E6" w:rsidRPr="00DD66E6" w:rsidRDefault="00DD66E6" w:rsidP="00DD66E6">
      <w:pPr>
        <w:spacing w:line="276" w:lineRule="auto"/>
      </w:pPr>
      <w:r w:rsidRPr="00DD66E6">
        <w:t>Ներկայումս էլեկտրոնային գնումներն ընդգրկում են գնման գործընթացի բոլոր փուլերը, ներառյալ պայմանագրերի կատարման փուլը։ Գնումների գործընթացների, ներառյալ նաև պայմանագրերի կատարման, վերաբերյալ հիմնական տեղեկատվությունը հրապարակվում և թարմացվում է գնումների պաշտոնական էլեկտրոնային տեղեկագրում ։ Այնուամենայնիվ, անհրաժեշտ է շարունակաբար կատարելագործել հանրային գնումների գործընթացների թափանցիկության և հրապարակայնության համակարգերը՝ ներդնելով հակակոռուպցիոն նոր խելացի գործիքակազմեր և փոխգործելիության համակարգեր։ Այս համատեքստում, առաջարկվում է ՀՀ ֆինանսների նախարարության պետական գնումների էլեկտրոնային գրանցամատյանը (ARMEPS) փոխկապակցել ԿԿՀ-ի հայտարարագրման էլեկտրոնային համակարգի հետ, որի միջոցով էլեկտրոնային գնումների տվյալները կփոխանցվեն ԿԿՀ-ին՝ ներառյալ շահերի բախման առկայության կամ բացակայության մասին հայտարարությունները։</w:t>
      </w:r>
    </w:p>
    <w:p w14:paraId="4629837F" w14:textId="77777777" w:rsidR="00DD66E6" w:rsidRPr="00DD66E6" w:rsidRDefault="00DD66E6" w:rsidP="00DD66E6">
      <w:pPr>
        <w:spacing w:line="276" w:lineRule="auto"/>
      </w:pPr>
      <w:r w:rsidRPr="00DD66E6">
        <w:lastRenderedPageBreak/>
        <w:t>Գնումների գործընթացների հաշվետվողականության բարձրացման տեսանկյունից առաջարկվում է արդիականացնել և կատարելագործել գնումների պլանավորման համակարգը՝ ապահովելով պատվիրատուների կողմից ձեռք բերվող հիմնական ապրանքների համար միասնական բնութագրերի առկայությունը։</w:t>
      </w:r>
    </w:p>
    <w:p w14:paraId="41A679F3" w14:textId="77777777" w:rsidR="00DD66E6" w:rsidRPr="00DD66E6" w:rsidRDefault="00DD66E6" w:rsidP="00DD66E6">
      <w:pPr>
        <w:spacing w:line="276" w:lineRule="auto"/>
      </w:pPr>
      <w:r w:rsidRPr="00DD66E6">
        <w:t>Գնումների գործընթացներում անհրաժեշտ է շարունակաբար կատարելագործել և բարելավել գործընթացների թափանցիկության և հրապարակայնության համակարգերը՝ հանրության և մասնավոր ոլորտի շրջանում գնումների գործընթացի վերաբերյալ վստահության բարձրացման և ամրապնդման ուղղությամբ։ Այս համատեքստում, առաջարկվում է իրականացնել իրազեկման բարձրացման միջոցառումներ՝ ինչպես հանրության, այնպես էլ բիզնես ոլորտի ներկայացուցիչների շրջանում, կատարելագործել գումների միասնական համակարգի որոնման գործիքակազմը, դատարան բողոքարկված գնումներին առնչվող գործերի վիճակագրության վարման և գնումների միասնական հարթակում հրապարակման կառուցակագեր սահմանել։</w:t>
      </w:r>
    </w:p>
    <w:p w14:paraId="2AA13ED0" w14:textId="77777777" w:rsidR="00DD66E6" w:rsidRPr="00DD66E6" w:rsidRDefault="00DD66E6" w:rsidP="00DD66E6">
      <w:pPr>
        <w:spacing w:line="276" w:lineRule="auto"/>
      </w:pPr>
      <w:r w:rsidRPr="00DD66E6">
        <w:t>Զուգահեռաբար, անհրաժեշտ է մշտապես կատարելագործել պետական գնումների շրջանակներում մրցակցության ոլորտի իրավախախտումները վերհանող համակարգչային ապահովման սքրինինգային ծրագրերը, մշակել այդ գործիքների կիրառման ուղեցույցներ, ինչպես նաև զարգացնել Մրցակցության պաշտպանության հանձնաժողովի կարողությունները նշյալ գործիքների արդյունավետ կիրառման ուղղությամբ։</w:t>
      </w:r>
    </w:p>
    <w:p w14:paraId="06F37BBF" w14:textId="77777777" w:rsidR="00DD66E6" w:rsidRPr="00DD66E6" w:rsidRDefault="00DD66E6" w:rsidP="00DD66E6">
      <w:pPr>
        <w:ind w:firstLine="0"/>
        <w:jc w:val="left"/>
        <w:rPr>
          <w:b/>
        </w:rPr>
      </w:pPr>
    </w:p>
    <w:p w14:paraId="45DEFB1E" w14:textId="77777777" w:rsidR="00DD66E6" w:rsidRPr="00DD66E6" w:rsidRDefault="00DD66E6" w:rsidP="00DD66E6">
      <w:pPr>
        <w:spacing w:line="276" w:lineRule="auto"/>
        <w:ind w:left="-450"/>
        <w:jc w:val="center"/>
        <w:rPr>
          <w:b/>
        </w:rPr>
      </w:pPr>
      <w:r w:rsidRPr="00DD66E6">
        <w:rPr>
          <w:b/>
        </w:rPr>
        <w:t>ԿՈՌՈՊՑԻՈՆ ԲՆՈՒՅԹԻ ՏՆՏԵՍԱԿԱՆ ԻՐԱՎԱԽԱԽՏՈՒՄՆԵՐԻ ԲԱՑԱՀԱՅՏՄԱՆ ԱՐԴՅՈՒՆԱՎԵՏՈՒԹՅԱՆ ԲԱՐՁՐԱՑՈՒՄ</w:t>
      </w:r>
    </w:p>
    <w:p w14:paraId="16549899" w14:textId="77777777" w:rsidR="00DD66E6" w:rsidRPr="00DD66E6" w:rsidRDefault="00DD66E6" w:rsidP="00DD66E6">
      <w:pPr>
        <w:spacing w:line="276" w:lineRule="auto"/>
        <w:ind w:left="-450"/>
        <w:jc w:val="center"/>
        <w:rPr>
          <w:b/>
        </w:rPr>
      </w:pPr>
    </w:p>
    <w:p w14:paraId="466EF23C" w14:textId="77777777" w:rsidR="00DD66E6" w:rsidRPr="00DD66E6" w:rsidRDefault="00DD66E6" w:rsidP="00DD66E6">
      <w:pPr>
        <w:spacing w:line="276" w:lineRule="auto"/>
      </w:pPr>
      <w:r w:rsidRPr="00DD66E6">
        <w:t xml:space="preserve">Գործարար ոլորտում կոռուպցիայի դեմ արդյունավետ պայքար իրականացնելու համար կարևորագույն և առանցքային ուղղություններից մեկը ինստիտուցիոնալ կառուցակարգերի կատարելագործումն ու զարգացումն է։ Մասնավոր հատվածում արդյունավետ հակակոռուպցիոն պայքար իրականացնելու համար ոչ միայն կարևորվում են իրավական նորմերի սահմանումն ու կիրառումը, այլ նաև ինստիտուցիոնալ համակարգի զարգացումը։ Այս համատեքստում, անհրաժեշտ է շարունակաբար հզորացնել և կատարելագործել հակակոռուպցիոն մարմինների ինստիտուցիոնալ կարողությունները՝ վերջիններիս օժտելով անհրաժեշտ գործիքակազմով և հմտություններով։  </w:t>
      </w:r>
    </w:p>
    <w:p w14:paraId="294FBAAB" w14:textId="77777777" w:rsidR="00DD66E6" w:rsidRPr="00DD66E6" w:rsidRDefault="00DD66E6" w:rsidP="00DD66E6">
      <w:pPr>
        <w:spacing w:line="276" w:lineRule="auto"/>
      </w:pPr>
      <w:r w:rsidRPr="00DD66E6">
        <w:t xml:space="preserve">Անհրաժեշտ է շարունակաբար վերապատրաստել պետական գնումների իրականացման, այդ գործընթացի նկատմամբ հսկողություն իրականացնող, տնտեսական իրավախախտումներ բացահայտող պաշտոնատար անձանց կարողությունները։ Այդ մարմինների շարքին պետք է դասել Գլխավոր դատախազությունը, Հակակոռուպցիոն կոմիտեն, Քննչական կոմիտեն, Հաշվեքննիչ պալատը, Պետական վերահսկողական ծառայությունը, Մրցակցության պաշտպանության հանձնաժողովը։ Զուգահեռաբար, առաջարկվում է նաև մշակել  տնտեսական բնույթի կոռուպցիոն իրավախախտումների/հանցագործությունների բացահայտման և որակման ուղեցույցներ։ </w:t>
      </w:r>
    </w:p>
    <w:p w14:paraId="72B907E9" w14:textId="77777777" w:rsidR="00DD66E6" w:rsidRPr="00DD66E6" w:rsidRDefault="00DD66E6" w:rsidP="00DD66E6">
      <w:pPr>
        <w:spacing w:line="276" w:lineRule="auto"/>
      </w:pPr>
      <w:r w:rsidRPr="00DD66E6">
        <w:lastRenderedPageBreak/>
        <w:t>Ինստիտուցիոնալ կառուցակարգերի զարգացման և կատարելագործման տեսանկյունից կարևորվում է նաև քաղաքացիական հասարակության և ոչ առևտրային կազմակերպությունների հետ համագործակցության ընդլայնումն ու խորացումը։ Այս կապակցությամբ, առաջարկվում է սահմանել և իրականացնել մասնավոր հատվածում քաղաքացիական հասարակության հետ համագործակցության միջոցով կոռուպցիայի դեմ պայքարի միջոցառումներ իրականացնելու կառուցակարգեր:</w:t>
      </w:r>
    </w:p>
    <w:p w14:paraId="3F717506" w14:textId="77777777" w:rsidR="00DD66E6" w:rsidRPr="00DD66E6" w:rsidRDefault="00DD66E6" w:rsidP="00DD66E6">
      <w:pPr>
        <w:spacing w:line="276" w:lineRule="auto"/>
        <w:rPr>
          <w:b/>
        </w:rPr>
      </w:pPr>
    </w:p>
    <w:p w14:paraId="7EA338EC" w14:textId="77777777" w:rsidR="00DD66E6" w:rsidRPr="00DD66E6" w:rsidRDefault="00DD66E6" w:rsidP="00DD66E6">
      <w:pPr>
        <w:spacing w:line="240" w:lineRule="auto"/>
        <w:ind w:firstLine="0"/>
        <w:jc w:val="left"/>
      </w:pPr>
    </w:p>
    <w:bookmarkEnd w:id="20"/>
    <w:p w14:paraId="02DB324C" w14:textId="77777777" w:rsidR="00897E77" w:rsidRPr="00E04728" w:rsidRDefault="00897E77" w:rsidP="005765E3">
      <w:pPr>
        <w:spacing w:line="276" w:lineRule="auto"/>
        <w:ind w:firstLine="0"/>
        <w:jc w:val="left"/>
      </w:pPr>
    </w:p>
    <w:p w14:paraId="69B0E0AA" w14:textId="77777777" w:rsidR="009236AF" w:rsidRPr="00E04728" w:rsidRDefault="009236AF" w:rsidP="00227021">
      <w:pPr>
        <w:pStyle w:val="Heading1"/>
        <w:spacing w:before="0" w:line="276" w:lineRule="auto"/>
        <w:ind w:firstLine="0"/>
        <w:jc w:val="center"/>
        <w:rPr>
          <w:rFonts w:ascii="GHEA Grapalat" w:hAnsi="GHEA Grapalat"/>
          <w:b/>
          <w:color w:val="000000" w:themeColor="text1"/>
          <w:sz w:val="24"/>
        </w:rPr>
      </w:pPr>
      <w:bookmarkStart w:id="34" w:name="_Toc135078493"/>
      <w:bookmarkStart w:id="35" w:name="_Toc140181774"/>
      <w:r w:rsidRPr="00E04728">
        <w:rPr>
          <w:rFonts w:ascii="GHEA Grapalat" w:hAnsi="GHEA Grapalat"/>
          <w:b/>
          <w:color w:val="000000" w:themeColor="text1"/>
          <w:sz w:val="24"/>
        </w:rPr>
        <w:t>ՆՊԱՏԱԿ 5</w:t>
      </w:r>
      <w:r w:rsidRPr="00E04728">
        <w:rPr>
          <w:rFonts w:ascii="MS Mincho" w:eastAsia="MS Mincho" w:hAnsi="MS Mincho" w:cs="MS Mincho" w:hint="eastAsia"/>
          <w:b/>
          <w:color w:val="000000" w:themeColor="text1"/>
          <w:sz w:val="24"/>
        </w:rPr>
        <w:t>․</w:t>
      </w:r>
      <w:r w:rsidRPr="00E04728">
        <w:rPr>
          <w:rFonts w:ascii="GHEA Grapalat" w:hAnsi="GHEA Grapalat"/>
          <w:b/>
          <w:color w:val="000000" w:themeColor="text1"/>
          <w:sz w:val="24"/>
        </w:rPr>
        <w:t xml:space="preserve"> ՀԱԿԱԿՈՌՈՒՊՑԻՈՆ ՄՈՆԻԹՈՐԻՆԳԻ ԵՎ ԳՆԱՀԱՏՄԱՆ ՀԱՄԱԿԱՐԳԻ ԿԱՏԱՐԵԼԱԳՈՐԾՈՒՄ</w:t>
      </w:r>
      <w:bookmarkEnd w:id="34"/>
      <w:bookmarkEnd w:id="35"/>
    </w:p>
    <w:p w14:paraId="376646A4" w14:textId="08427AD3" w:rsidR="00BF2E9A" w:rsidRPr="00E04728" w:rsidRDefault="00BF2E9A" w:rsidP="00227021">
      <w:pPr>
        <w:spacing w:line="276" w:lineRule="auto"/>
        <w:ind w:firstLine="0"/>
      </w:pPr>
    </w:p>
    <w:p w14:paraId="796EA433" w14:textId="56D4BC4D" w:rsidR="008E49EB" w:rsidRPr="00E04728" w:rsidRDefault="00B9502E" w:rsidP="00227021">
      <w:pPr>
        <w:spacing w:line="276" w:lineRule="auto"/>
        <w:ind w:firstLine="0"/>
        <w:jc w:val="center"/>
        <w:rPr>
          <w:b/>
        </w:rPr>
      </w:pPr>
      <w:r w:rsidRPr="00E04728">
        <w:rPr>
          <w:b/>
        </w:rPr>
        <w:t>ՌԱԶՄԱՎԱՐԱԿԱՆ ՈՒՂՂՈՒԹՅՈՒՆՆԵՐ</w:t>
      </w:r>
    </w:p>
    <w:p w14:paraId="5F1A01A6" w14:textId="77777777" w:rsidR="00B9502E" w:rsidRPr="00E04728" w:rsidRDefault="00B9502E" w:rsidP="00227021">
      <w:pPr>
        <w:tabs>
          <w:tab w:val="left" w:pos="284"/>
          <w:tab w:val="left" w:pos="426"/>
          <w:tab w:val="left" w:pos="709"/>
          <w:tab w:val="left" w:pos="993"/>
        </w:tabs>
        <w:spacing w:line="276" w:lineRule="auto"/>
        <w:ind w:firstLine="0"/>
        <w:contextualSpacing/>
        <w:rPr>
          <w:b/>
          <w:i/>
          <w:color w:val="000000" w:themeColor="text1"/>
        </w:rPr>
      </w:pPr>
    </w:p>
    <w:p w14:paraId="03BE2B14" w14:textId="15176705" w:rsidR="00B9502E" w:rsidRPr="00E04728" w:rsidRDefault="00B9502E" w:rsidP="00227021">
      <w:pPr>
        <w:tabs>
          <w:tab w:val="left" w:pos="284"/>
          <w:tab w:val="left" w:pos="426"/>
          <w:tab w:val="left" w:pos="709"/>
          <w:tab w:val="left" w:pos="993"/>
        </w:tabs>
        <w:spacing w:line="276" w:lineRule="auto"/>
        <w:ind w:firstLine="0"/>
        <w:contextualSpacing/>
        <w:jc w:val="center"/>
        <w:rPr>
          <w:b/>
          <w:color w:val="000000" w:themeColor="text1"/>
        </w:rPr>
      </w:pPr>
      <w:r w:rsidRPr="00E04728">
        <w:rPr>
          <w:b/>
          <w:color w:val="000000" w:themeColor="text1"/>
        </w:rPr>
        <w:t xml:space="preserve">ՀԱԿԱԿՈՌՈՒՊՑԻՈՆ ՄՈՆԻԹՈՐԻՆԳԻ </w:t>
      </w:r>
      <w:r w:rsidR="00940C00" w:rsidRPr="00E04728">
        <w:rPr>
          <w:b/>
          <w:color w:val="000000" w:themeColor="text1"/>
        </w:rPr>
        <w:t>ԵՎ</w:t>
      </w:r>
      <w:r w:rsidRPr="00E04728">
        <w:rPr>
          <w:b/>
          <w:color w:val="000000" w:themeColor="text1"/>
        </w:rPr>
        <w:t xml:space="preserve"> ԳՆԱՀԱՏՄԱՆ ԿԱՌՈՒՑԱԿԱՐԳԵՐԻ ԿԱՏԱՐԵԼԱԳՈՐԾՈՒՄ</w:t>
      </w:r>
    </w:p>
    <w:p w14:paraId="318755B7" w14:textId="77777777" w:rsidR="00B9502E" w:rsidRPr="00E04728" w:rsidRDefault="00B9502E" w:rsidP="00FB46C4">
      <w:pPr>
        <w:tabs>
          <w:tab w:val="left" w:pos="284"/>
          <w:tab w:val="left" w:pos="426"/>
          <w:tab w:val="left" w:pos="709"/>
          <w:tab w:val="left" w:pos="993"/>
        </w:tabs>
        <w:spacing w:line="276" w:lineRule="auto"/>
        <w:contextualSpacing/>
        <w:rPr>
          <w:b/>
          <w:color w:val="000000" w:themeColor="text1"/>
        </w:rPr>
      </w:pPr>
    </w:p>
    <w:p w14:paraId="2FF010D8" w14:textId="1CB923C5" w:rsidR="00B9502E" w:rsidRPr="00E04728" w:rsidRDefault="00B9502E" w:rsidP="00FB46C4">
      <w:pPr>
        <w:tabs>
          <w:tab w:val="left" w:pos="270"/>
          <w:tab w:val="left" w:pos="810"/>
          <w:tab w:val="left" w:pos="1080"/>
        </w:tabs>
        <w:autoSpaceDE w:val="0"/>
        <w:autoSpaceDN w:val="0"/>
        <w:adjustRightInd w:val="0"/>
        <w:spacing w:line="276" w:lineRule="auto"/>
        <w:rPr>
          <w:color w:val="000000"/>
        </w:rPr>
      </w:pPr>
      <w:r w:rsidRPr="00E04728">
        <w:t xml:space="preserve">2019-2022 թվականների Հայաստանի Հանրապետության հակակոռուպցիոն ռազմավարությամբ ամրագրվել էր, որ </w:t>
      </w:r>
      <w:r w:rsidRPr="00E04728">
        <w:rPr>
          <w:color w:val="000000"/>
        </w:rPr>
        <w:t>Հակակոռուպցիոն ռազմավարության և ոլորտային ծրագրերի իրականացման արդյունավետությունն ապահովվելու է մոնիթորինգի ու գնահատման արդյունավետ համակարգ  ներդ</w:t>
      </w:r>
      <w:r w:rsidR="0036589C">
        <w:rPr>
          <w:color w:val="000000"/>
        </w:rPr>
        <w:t>ն</w:t>
      </w:r>
      <w:r w:rsidRPr="00E04728">
        <w:rPr>
          <w:color w:val="000000"/>
        </w:rPr>
        <w:t>ելու</w:t>
      </w:r>
      <w:r w:rsidR="0036589C">
        <w:rPr>
          <w:color w:val="000000"/>
        </w:rPr>
        <w:t xml:space="preserve"> միջոցով</w:t>
      </w:r>
      <w:r w:rsidRPr="00E04728">
        <w:rPr>
          <w:color w:val="000000"/>
        </w:rPr>
        <w:t xml:space="preserve">։ </w:t>
      </w:r>
      <w:r w:rsidRPr="00E04728">
        <w:t xml:space="preserve">Միևնույն ժամանակ </w:t>
      </w:r>
      <w:r w:rsidR="0025404F" w:rsidRPr="00E04728">
        <w:t>կ</w:t>
      </w:r>
      <w:r w:rsidRPr="00E04728">
        <w:t xml:space="preserve">արևորվել էր </w:t>
      </w:r>
      <w:r w:rsidRPr="00E04728">
        <w:rPr>
          <w:color w:val="000000"/>
        </w:rPr>
        <w:t>հակակոռուպցիոն ռազմավարության իրականացման հրապարակային, թափանցիկ, նորարար և հասարակության ակտիվ մասնակցության վրա հիմնված մոնիթորինգի ու գնահատման համակարգի ներդրումը:</w:t>
      </w:r>
    </w:p>
    <w:p w14:paraId="27C2ED43" w14:textId="3DF23A57" w:rsidR="00B9502E" w:rsidRPr="00E04728" w:rsidRDefault="00B9502E" w:rsidP="00FB46C4">
      <w:pPr>
        <w:tabs>
          <w:tab w:val="left" w:pos="270"/>
          <w:tab w:val="left" w:pos="810"/>
          <w:tab w:val="left" w:pos="1080"/>
        </w:tabs>
        <w:autoSpaceDE w:val="0"/>
        <w:autoSpaceDN w:val="0"/>
        <w:adjustRightInd w:val="0"/>
        <w:spacing w:line="276" w:lineRule="auto"/>
        <w:rPr>
          <w:color w:val="000000"/>
        </w:rPr>
      </w:pPr>
      <w:r w:rsidRPr="00E04728">
        <w:rPr>
          <w:color w:val="000000"/>
        </w:rPr>
        <w:t>Հակակոռուպցիոն մոնիթորինգի և գնահատման արդյունավետ կառուցակարգերի անհրաժեշտությունը շեշտվում է նաև միջազգային կազմակերպությունների կողմից։ Այսպես</w:t>
      </w:r>
      <w:r w:rsidR="004D3DCD">
        <w:rPr>
          <w:rFonts w:ascii="MS Mincho" w:eastAsia="MS Mincho" w:hAnsi="MS Mincho" w:cs="MS Mincho" w:hint="eastAsia"/>
          <w:color w:val="000000"/>
        </w:rPr>
        <w:t>.</w:t>
      </w:r>
    </w:p>
    <w:p w14:paraId="7C14DF0E" w14:textId="4A0A2B8E" w:rsidR="00B9502E" w:rsidRPr="00E04728" w:rsidRDefault="00B9502E" w:rsidP="00FB46C4">
      <w:pPr>
        <w:tabs>
          <w:tab w:val="left" w:pos="270"/>
        </w:tabs>
        <w:autoSpaceDE w:val="0"/>
        <w:autoSpaceDN w:val="0"/>
        <w:adjustRightInd w:val="0"/>
        <w:spacing w:line="276" w:lineRule="auto"/>
      </w:pPr>
      <w:r w:rsidRPr="00E04728">
        <w:rPr>
          <w:b/>
        </w:rPr>
        <w:t xml:space="preserve">ՄԱԿ-ի </w:t>
      </w:r>
      <w:r w:rsidRPr="00E04728">
        <w:rPr>
          <w:b/>
          <w:u w:val="single"/>
        </w:rPr>
        <w:t>«Հակակոռուպցիոն ազգային ռազմավարություններ. զարգացման և կիրարկման գործնական ուղեցույցով»</w:t>
      </w:r>
      <w:r w:rsidRPr="00E04728">
        <w:rPr>
          <w:rStyle w:val="FootnoteReference"/>
        </w:rPr>
        <w:footnoteReference w:id="59"/>
      </w:r>
      <w:r w:rsidRPr="00E04728">
        <w:t xml:space="preserve"> կարևորվում է մոնիթորինգի և գնահատման արդյունավետ մեխանիզմների կիրառումը՝ որպես հակակոռուպցիոն ռազմավարության արդունավետ իրականացման գրավական: Համաձայն նշված ուղեցույցի՝ մոնիթորինգը և գնահատումը հնարավորություն են տալիս պարզել առաջընթացը, բացահայտել առկա բացերը և մարտահրավերները, դրանց լուծման մեխանիզմներ մշակել: Մոնիթորինգի և գնահատման շրջանակներում կարևորվում է նաև կատարված միջոցառումների ազդեցության գնահատումը, խնդիրների և բացերի վերհանումը, լուծման ուղիների շտկումը: </w:t>
      </w:r>
    </w:p>
    <w:p w14:paraId="47BE135F" w14:textId="05B2E67E" w:rsidR="00B9502E" w:rsidRPr="00E04728" w:rsidRDefault="00B9502E" w:rsidP="00FB46C4">
      <w:pPr>
        <w:tabs>
          <w:tab w:val="left" w:pos="270"/>
        </w:tabs>
        <w:autoSpaceDE w:val="0"/>
        <w:autoSpaceDN w:val="0"/>
        <w:adjustRightInd w:val="0"/>
        <w:spacing w:line="276" w:lineRule="auto"/>
      </w:pPr>
      <w:r w:rsidRPr="00E04728">
        <w:rPr>
          <w:color w:val="000000" w:themeColor="text1"/>
        </w:rPr>
        <w:lastRenderedPageBreak/>
        <w:t xml:space="preserve"> </w:t>
      </w:r>
      <w:r w:rsidRPr="00E04728">
        <w:rPr>
          <w:b/>
          <w:color w:val="000000" w:themeColor="text1"/>
          <w:u w:val="single"/>
        </w:rPr>
        <w:t>«Հակակոռուպցիոն ռազմավարության վերաբերյալ Կուալա Լումպուրի հայտարարությ</w:t>
      </w:r>
      <w:r w:rsidR="0036589C">
        <w:rPr>
          <w:b/>
          <w:color w:val="000000" w:themeColor="text1"/>
          <w:u w:val="single"/>
        </w:rPr>
        <w:t>ամբ</w:t>
      </w:r>
      <w:r w:rsidRPr="00E04728">
        <w:rPr>
          <w:b/>
          <w:color w:val="000000" w:themeColor="text1"/>
          <w:u w:val="single"/>
        </w:rPr>
        <w:t>»</w:t>
      </w:r>
      <w:r w:rsidRPr="00E04728">
        <w:rPr>
          <w:rStyle w:val="FootnoteReference"/>
        </w:rPr>
        <w:footnoteReference w:id="60"/>
      </w:r>
      <w:r w:rsidRPr="00E04728">
        <w:rPr>
          <w:b/>
          <w:color w:val="000000" w:themeColor="text1"/>
          <w:u w:val="single"/>
        </w:rPr>
        <w:t xml:space="preserve"> </w:t>
      </w:r>
      <w:r w:rsidRPr="00E04728">
        <w:rPr>
          <w:color w:val="000000" w:themeColor="text1"/>
        </w:rPr>
        <w:t>ևս կարևորվում է հակակոռուպցիոն մոնիթորինգի և գնահատման համակարգի արդյունավետության ապահովումը</w:t>
      </w:r>
      <w:r w:rsidRPr="00E04728">
        <w:rPr>
          <w:rStyle w:val="FootnoteReference"/>
        </w:rPr>
        <w:footnoteReference w:id="61"/>
      </w:r>
      <w:r w:rsidRPr="00E04728">
        <w:t>։</w:t>
      </w:r>
    </w:p>
    <w:p w14:paraId="61FA03F1" w14:textId="2B45DC66" w:rsidR="00B9502E" w:rsidRPr="00E04728" w:rsidRDefault="00B9502E" w:rsidP="00FB46C4">
      <w:pPr>
        <w:tabs>
          <w:tab w:val="left" w:pos="142"/>
        </w:tabs>
        <w:autoSpaceDE w:val="0"/>
        <w:autoSpaceDN w:val="0"/>
        <w:adjustRightInd w:val="0"/>
        <w:spacing w:line="276" w:lineRule="auto"/>
      </w:pPr>
      <w:r w:rsidRPr="00E04728">
        <w:t>Արդյունավետ և մասնակցային մոնիթորինգի և գնահատման ապահովումը կարևորվում է նաև</w:t>
      </w:r>
      <w:r w:rsidRPr="00E04728">
        <w:rPr>
          <w:b/>
        </w:rPr>
        <w:t xml:space="preserve"> Հակակոռուպցիոն տարածաշրջանային նախաձեռնության </w:t>
      </w:r>
      <w:r w:rsidRPr="00E04728">
        <w:rPr>
          <w:b/>
          <w:u w:val="single"/>
        </w:rPr>
        <w:t xml:space="preserve">«Հակակոռուպցիոն ազգային ռազմավարությունների և գործողությունների ծրագրերի իրականացման մոնիթորինգի և գնահատման մեթոդաբանություն» </w:t>
      </w:r>
      <w:r w:rsidRPr="00E04728">
        <w:rPr>
          <w:b/>
        </w:rPr>
        <w:t>ուղեցույցով</w:t>
      </w:r>
      <w:r w:rsidRPr="00E04728">
        <w:rPr>
          <w:rStyle w:val="FootnoteReference"/>
        </w:rPr>
        <w:footnoteReference w:id="62"/>
      </w:r>
      <w:r w:rsidRPr="00E04728">
        <w:t xml:space="preserve"> (այսուհետ՝ Ուղեցույց): Ուղեցույցում նաև նկարագրվում է մոնիթորինգ և գնահատում իրականացնելու գործողությունների շրջանակը՝ նշելով, որ մոնիթորինգի մարմինները նախևառաջ պետք է հավաքագրեն մանրամասն տեղեկություններ ռազմավարության իրականացման համար պատասխանատու մարմիններից՝ ստանալով նաև վերջիններիս առաջընթացը և ինքնագնահատումն իրենց կատարած աշխատանքների վերաբերյալ: Հաջորդ քայլին, ըստ Ուղեցույցի, մոնիթորինգ իրականացնող մարմինները պետք է համագործակցեն քաղաքացիական հասարակության հետ՝ աշխատանքների կատարման վերաբերյալ այլընտրանքային դիրքորոշում ստանալու նպատակով: </w:t>
      </w:r>
    </w:p>
    <w:p w14:paraId="4F762BFC" w14:textId="204FCEB8" w:rsidR="00B9502E" w:rsidRPr="00E04728" w:rsidRDefault="00B9502E" w:rsidP="00FB46C4">
      <w:pPr>
        <w:tabs>
          <w:tab w:val="left" w:pos="270"/>
        </w:tabs>
        <w:autoSpaceDE w:val="0"/>
        <w:autoSpaceDN w:val="0"/>
        <w:adjustRightInd w:val="0"/>
        <w:spacing w:line="276" w:lineRule="auto"/>
      </w:pPr>
      <w:r w:rsidRPr="00E04728">
        <w:rPr>
          <w:b/>
        </w:rPr>
        <w:t xml:space="preserve">ՄԱԿ-ի զարգացման ծրագրի (UNDP) </w:t>
      </w:r>
      <w:r w:rsidRPr="00E04728">
        <w:rPr>
          <w:b/>
          <w:u w:val="single"/>
        </w:rPr>
        <w:t>«Հակակոռուպցիոն ռազմավարություններ. հասկանանք՝ ինչն է աշխատում և ինչը՝ ոչ, ինչու՞» խորագրով զեկույցում</w:t>
      </w:r>
      <w:r w:rsidRPr="00E04728">
        <w:rPr>
          <w:rStyle w:val="FootnoteReference"/>
        </w:rPr>
        <w:footnoteReference w:id="63"/>
      </w:r>
      <w:r w:rsidRPr="00E04728">
        <w:t xml:space="preserve"> նշվում է, որ մոնիթորինգի և գնահատման կարևորագույն գործողությունը այնպիսի տեղեկատվության հավաքագրումն է, որը հնարավորություն կտա գնահատել ոչ միայն ընթացքը, այլև կատարված աշխատանքների արդյունավետությունը և համապատասխանությունը ռազմավարությամբ սահմանված ակնկալիքին` առաջընթացի արձանագրումը պարզելու նպատակով</w:t>
      </w:r>
      <w:r w:rsidRPr="00E04728">
        <w:rPr>
          <w:rStyle w:val="FootnoteReference"/>
        </w:rPr>
        <w:footnoteReference w:id="64"/>
      </w:r>
      <w:r w:rsidRPr="00E04728">
        <w:t>:</w:t>
      </w:r>
    </w:p>
    <w:p w14:paraId="038250EC" w14:textId="75ABD46D" w:rsidR="00B9502E" w:rsidRPr="00E04728" w:rsidRDefault="00B9502E" w:rsidP="00FB46C4">
      <w:pPr>
        <w:tabs>
          <w:tab w:val="left" w:pos="270"/>
        </w:tabs>
        <w:autoSpaceDE w:val="0"/>
        <w:autoSpaceDN w:val="0"/>
        <w:adjustRightInd w:val="0"/>
        <w:spacing w:line="276" w:lineRule="auto"/>
      </w:pPr>
      <w:r w:rsidRPr="00E04728">
        <w:rPr>
          <w:b/>
        </w:rPr>
        <w:t>U4</w:t>
      </w:r>
      <w:r w:rsidRPr="00E04728">
        <w:t xml:space="preserve"> </w:t>
      </w:r>
      <w:r w:rsidRPr="00E04728">
        <w:rPr>
          <w:b/>
        </w:rPr>
        <w:t>հակակոռուպցիոն ռեսուրս կենտրոնի</w:t>
      </w:r>
      <w:r w:rsidRPr="00E04728">
        <w:t>՝ Միշելինի միջազգային գիտահետահետազոտական ինստիտուտի՝ «</w:t>
      </w:r>
      <w:r w:rsidRPr="00E04728">
        <w:rPr>
          <w:b/>
          <w:u w:val="single"/>
        </w:rPr>
        <w:t>Ինչպես իրականացնել հակակոռուպցիոն մոնիթորինգ և գնահատում. ուղեցույց պետական մարմինների, դոնոր  կազմակերպությունների և գնահատողների համար»</w:t>
      </w:r>
      <w:r w:rsidRPr="00E04728">
        <w:rPr>
          <w:rStyle w:val="FootnoteReference"/>
          <w:b/>
          <w:u w:val="single"/>
        </w:rPr>
        <w:footnoteReference w:id="65"/>
      </w:r>
      <w:r w:rsidRPr="00E04728">
        <w:rPr>
          <w:b/>
          <w:u w:val="single"/>
        </w:rPr>
        <w:t xml:space="preserve"> զեկույցում</w:t>
      </w:r>
      <w:r w:rsidRPr="00E04728">
        <w:t xml:space="preserve"> նշվում է, որ մոնիթորինգ և գնահատում իրականացնելիս առաջնային է պատասխանատու մարմիններից բազմակողմանի տեղեկատվության հավաքագրումը, որից հետո պետք է գնահատել՝ արդյոք կատարված աշխատանքները և դրանց արդյունքը լուծում են հակակոռուպցիոն քաղաքական փաստաթղթով վերհանված խնդիրները: </w:t>
      </w:r>
    </w:p>
    <w:p w14:paraId="39671034" w14:textId="77777777" w:rsidR="00B9502E" w:rsidRPr="00E04728" w:rsidRDefault="00B9502E" w:rsidP="00FB46C4">
      <w:pPr>
        <w:tabs>
          <w:tab w:val="left" w:pos="270"/>
        </w:tabs>
        <w:autoSpaceDE w:val="0"/>
        <w:autoSpaceDN w:val="0"/>
        <w:adjustRightInd w:val="0"/>
        <w:spacing w:line="276" w:lineRule="auto"/>
      </w:pPr>
      <w:r w:rsidRPr="00E04728">
        <w:rPr>
          <w:b/>
        </w:rPr>
        <w:lastRenderedPageBreak/>
        <w:t>Համաշխարհային բանկի «Հակակոռուպցիոն գործողությունների ծրագրի մոնիթորինգը և գնահատումը»</w:t>
      </w:r>
      <w:r w:rsidRPr="00E04728">
        <w:t xml:space="preserve"> խորագրով զեկույցում</w:t>
      </w:r>
      <w:r w:rsidRPr="00E04728">
        <w:rPr>
          <w:rStyle w:val="FootnoteReference"/>
        </w:rPr>
        <w:footnoteReference w:id="66"/>
      </w:r>
      <w:r w:rsidRPr="00E04728">
        <w:t xml:space="preserve"> ևս կարևորվում է Հակակոռուպցիոն գործողությունների ծրագրի մոնիթորինգի և գնահատման կառուցակարգերի արդյունավետության երաշխավորումը՝ սահմանելով </w:t>
      </w:r>
      <w:r w:rsidRPr="00E04728">
        <w:rPr>
          <w:color w:val="000000"/>
        </w:rPr>
        <w:t>կատարողականի գնահատման ցուցիչները և ընթացակարգը, ապահովելով մոնիթորինգի և գնահատման գործընթացում հասարակության մասնակցության արդյունավետությունը։</w:t>
      </w:r>
    </w:p>
    <w:p w14:paraId="167CA37E" w14:textId="02AB82A8" w:rsidR="00B9502E" w:rsidRPr="00E04728" w:rsidRDefault="00B9502E" w:rsidP="00FB46C4">
      <w:pPr>
        <w:tabs>
          <w:tab w:val="left" w:pos="0"/>
          <w:tab w:val="left" w:pos="619"/>
          <w:tab w:val="left" w:pos="900"/>
          <w:tab w:val="left" w:pos="1134"/>
        </w:tabs>
        <w:spacing w:line="276" w:lineRule="auto"/>
        <w:contextualSpacing/>
      </w:pPr>
      <w:r w:rsidRPr="00E04728">
        <w:t xml:space="preserve">Չնայած </w:t>
      </w:r>
      <w:r w:rsidR="0036589C" w:rsidRPr="003F0E1F">
        <w:t xml:space="preserve">2019-2022 թվակաների հակակոռուպցիոն ռազմավարության շրջանակում մոնիթորինգի և գնահատման համակարգի </w:t>
      </w:r>
      <w:r w:rsidRPr="00E04728">
        <w:t xml:space="preserve">բարեփոխումներին, </w:t>
      </w:r>
      <w:r w:rsidR="0036589C">
        <w:t>պետք</w:t>
      </w:r>
      <w:r w:rsidR="0036589C">
        <w:rPr>
          <w:lang w:val="x-none"/>
        </w:rPr>
        <w:t xml:space="preserve"> է նշել, որ</w:t>
      </w:r>
      <w:r w:rsidR="0036589C" w:rsidRPr="00E04728">
        <w:t xml:space="preserve"> </w:t>
      </w:r>
      <w:r w:rsidRPr="00E04728">
        <w:t>հակակոռուպցիոն մոնիթորինգի և գնահատման համակարգը դեռևս ամբողջությամբ կայացած չեն։ Մասնավորապես</w:t>
      </w:r>
      <w:r w:rsidRPr="00E04728">
        <w:rPr>
          <w:rFonts w:ascii="MS Mincho" w:eastAsia="MS Mincho" w:hAnsi="MS Mincho" w:cs="MS Mincho" w:hint="eastAsia"/>
        </w:rPr>
        <w:t>․</w:t>
      </w:r>
    </w:p>
    <w:p w14:paraId="4698C654" w14:textId="77777777" w:rsidR="00B9502E" w:rsidRPr="00E04728" w:rsidRDefault="00B9502E" w:rsidP="00FB46C4">
      <w:pPr>
        <w:numPr>
          <w:ilvl w:val="0"/>
          <w:numId w:val="22"/>
        </w:numPr>
        <w:tabs>
          <w:tab w:val="clear" w:pos="720"/>
          <w:tab w:val="num" w:pos="851"/>
        </w:tabs>
        <w:spacing w:line="276" w:lineRule="auto"/>
        <w:ind w:left="0" w:firstLine="567"/>
      </w:pPr>
      <w:r w:rsidRPr="00E04728">
        <w:t>Անբավարար է մշակված գործոնային (ուղղակի արդյունքների) մակարդակում պլանավորված գնահատման ցուցիչները։ Ցուցիչների համար բացակայում են տվյալների հավաքագրման և/կամ հաշվարկի մեթոդաբանությունները, իսկ որոշ ցուցիչների դեպքում հստակ չէ թե ինչպես են դրանք նկարագրում իրավիճակը։</w:t>
      </w:r>
    </w:p>
    <w:p w14:paraId="6DFD6F23" w14:textId="77777777" w:rsidR="00B9502E" w:rsidRPr="00E04728" w:rsidRDefault="00B9502E" w:rsidP="00FB46C4">
      <w:pPr>
        <w:numPr>
          <w:ilvl w:val="0"/>
          <w:numId w:val="22"/>
        </w:numPr>
        <w:tabs>
          <w:tab w:val="clear" w:pos="720"/>
          <w:tab w:val="num" w:pos="851"/>
        </w:tabs>
        <w:spacing w:line="276" w:lineRule="auto"/>
        <w:ind w:left="0" w:firstLine="567"/>
      </w:pPr>
      <w:r w:rsidRPr="00E04728">
        <w:t xml:space="preserve">Որոշ դեպքերում բացակայում է կապը միջոցառման ակնկալվող արդյունքի և գնահատող ցուցիչի միջև։ </w:t>
      </w:r>
    </w:p>
    <w:p w14:paraId="2E9D7DC3" w14:textId="33DFA5AE" w:rsidR="00B9502E" w:rsidRPr="00E04728" w:rsidRDefault="00B9502E" w:rsidP="00FB46C4">
      <w:pPr>
        <w:numPr>
          <w:ilvl w:val="0"/>
          <w:numId w:val="22"/>
        </w:numPr>
        <w:tabs>
          <w:tab w:val="clear" w:pos="720"/>
          <w:tab w:val="num" w:pos="851"/>
        </w:tabs>
        <w:spacing w:line="276" w:lineRule="auto"/>
        <w:ind w:left="0" w:firstLine="567"/>
      </w:pPr>
      <w:r w:rsidRPr="00E04728">
        <w:t>Միջոցառումների ամենամյա ակնկալվող արդյունքների «կատարված է ամբողջությամբ», «կատարված է մեծամասամբ», «կատարված է մասնակիորեն», «կատարված չէ» գնահատականները տրվում են հայեցողական գնահատման եղանակով և չունեն կատարման աստիճանը բնութագրող չափորոշիչներ</w:t>
      </w:r>
      <w:r w:rsidR="0036589C" w:rsidRPr="00E04728" w:rsidDel="0036589C">
        <w:t xml:space="preserve"> </w:t>
      </w:r>
      <w:r w:rsidRPr="00E04728">
        <w:t xml:space="preserve">։ </w:t>
      </w:r>
    </w:p>
    <w:p w14:paraId="1C8E053A" w14:textId="77777777" w:rsidR="0036589C" w:rsidRPr="00F636FF" w:rsidRDefault="0036589C" w:rsidP="0036589C">
      <w:pPr>
        <w:numPr>
          <w:ilvl w:val="0"/>
          <w:numId w:val="22"/>
        </w:numPr>
        <w:tabs>
          <w:tab w:val="clear" w:pos="720"/>
          <w:tab w:val="num" w:pos="851"/>
        </w:tabs>
        <w:spacing w:line="276" w:lineRule="auto"/>
        <w:ind w:left="0" w:firstLine="567"/>
        <w:rPr>
          <w:rFonts w:cs="Arian AMU"/>
        </w:rPr>
      </w:pPr>
      <w:r w:rsidRPr="00F636FF">
        <w:rPr>
          <w:rFonts w:cs="Arian AMU"/>
        </w:rPr>
        <w:t>Ոլորտային հասարակական կազմակերպություններն իրականացնում են հակակոռուպցիոն ռազմավարության և դրա իրականացման միջոցառումների ծրագրի այլընտրանքային գնահատում</w:t>
      </w:r>
      <w:r>
        <w:rPr>
          <w:rFonts w:asciiTheme="minorHAnsi" w:hAnsiTheme="minorHAnsi" w:cs="Arian AMU"/>
        </w:rPr>
        <w:t>`</w:t>
      </w:r>
      <w:r w:rsidRPr="00F636FF">
        <w:rPr>
          <w:rFonts w:cs="Arian AMU"/>
        </w:rPr>
        <w:t xml:space="preserve"> յուրաքանչյուրն </w:t>
      </w:r>
      <w:r w:rsidRPr="003F0E1F">
        <w:rPr>
          <w:rFonts w:cs="Arian AMU"/>
        </w:rPr>
        <w:t>իր</w:t>
      </w:r>
      <w:r>
        <w:rPr>
          <w:rFonts w:asciiTheme="minorHAnsi" w:hAnsiTheme="minorHAnsi" w:cs="Arian AMU"/>
        </w:rPr>
        <w:t xml:space="preserve"> </w:t>
      </w:r>
      <w:r w:rsidRPr="00F636FF">
        <w:rPr>
          <w:rFonts w:cs="Arian AMU"/>
        </w:rPr>
        <w:t>մեթոդաբանությամբ</w:t>
      </w:r>
      <w:r w:rsidRPr="001A10D8">
        <w:rPr>
          <w:rFonts w:cs="Arian AMU"/>
        </w:rPr>
        <w:t xml:space="preserve"> և</w:t>
      </w:r>
      <w:r>
        <w:rPr>
          <w:rFonts w:asciiTheme="minorHAnsi" w:hAnsiTheme="minorHAnsi" w:cs="Arian AMU"/>
        </w:rPr>
        <w:t xml:space="preserve"> </w:t>
      </w:r>
      <w:r w:rsidRPr="00F636FF">
        <w:rPr>
          <w:rFonts w:cs="Arian AMU"/>
        </w:rPr>
        <w:t>գնահատման կատեգորիաներով: Նման պայմաններում  այլ</w:t>
      </w:r>
      <w:r w:rsidRPr="001A10D8">
        <w:rPr>
          <w:rFonts w:cs="Arian AMU"/>
        </w:rPr>
        <w:t>ըն</w:t>
      </w:r>
      <w:r w:rsidRPr="00F636FF">
        <w:rPr>
          <w:rFonts w:cs="Arian AMU"/>
        </w:rPr>
        <w:t>տրանքային գնահատումները հնարավոր չի լինում դիտարկել իրավասու մարմնի կողմից իրականացվող</w:t>
      </w:r>
      <w:r>
        <w:rPr>
          <w:rFonts w:asciiTheme="minorHAnsi" w:hAnsiTheme="minorHAnsi" w:cs="Arian AMU"/>
        </w:rPr>
        <w:t xml:space="preserve"> </w:t>
      </w:r>
      <w:r w:rsidRPr="00F636FF">
        <w:rPr>
          <w:rFonts w:cs="Arian AMU"/>
        </w:rPr>
        <w:t xml:space="preserve">գնահատման շրջանակում: </w:t>
      </w:r>
    </w:p>
    <w:p w14:paraId="6AEE78FB" w14:textId="77777777" w:rsidR="00B9502E" w:rsidRPr="00E04728" w:rsidRDefault="00B9502E" w:rsidP="00FB46C4">
      <w:pPr>
        <w:numPr>
          <w:ilvl w:val="0"/>
          <w:numId w:val="22"/>
        </w:numPr>
        <w:tabs>
          <w:tab w:val="clear" w:pos="720"/>
          <w:tab w:val="num" w:pos="851"/>
        </w:tabs>
        <w:spacing w:line="276" w:lineRule="auto"/>
        <w:ind w:left="0" w:firstLine="567"/>
      </w:pPr>
      <w:r w:rsidRPr="00E04728">
        <w:t>Մոնիթորինգի և գնահատման գործիքակազմի կատարելագործման տեսանկյունից անհրաժեշտ է նախևառաջ ավարտին հասցնել թվային գործիքների կիրառմանն ուղղված աշխատանքները։ Բացի այդ, մեխանիզմներ պետք է սահմանվեն հակակոռուպցիոն ծրագրերի և միջազգային պարտավորությունների կատարման համար մարմինների հաշվետվողականության մեխանիզմների կատարելագործման ուղղությամբ, որը կներառի ոչ միայն հաշվետվություններ կազմող անձանց և հակակոռուպցիոն ծրագրերի պատասխանատուների  շարունակական կարողությունների զարգացումը, այլև հաշվետվության ներկայացման և թիրախային բովանդակության ապահվման կարևորության շուրջ իրազեկման աշխատանքների շարունակականությունը։</w:t>
      </w:r>
    </w:p>
    <w:p w14:paraId="00216CB9" w14:textId="0789A4B9" w:rsidR="006E2136" w:rsidRPr="00E04728" w:rsidRDefault="00B9502E" w:rsidP="000A402F">
      <w:pPr>
        <w:tabs>
          <w:tab w:val="left" w:pos="0"/>
          <w:tab w:val="left" w:pos="619"/>
          <w:tab w:val="left" w:pos="900"/>
          <w:tab w:val="left" w:pos="1134"/>
        </w:tabs>
        <w:spacing w:line="276" w:lineRule="auto"/>
        <w:contextualSpacing/>
      </w:pPr>
      <w:r w:rsidRPr="00E04728">
        <w:t>Ամփոփելով նշյալը, հարկ է արձանագրել, որ 2023-2026թթ. Ռազմավարությունը պետք է ապահովի մոնիթորինգի և գնահատման համակարգի զարգաց</w:t>
      </w:r>
      <w:r w:rsidR="0036589C" w:rsidRPr="0036589C">
        <w:t xml:space="preserve"> </w:t>
      </w:r>
      <w:r w:rsidR="0036589C" w:rsidRPr="00F636FF">
        <w:t>զարգաց</w:t>
      </w:r>
      <w:r w:rsidR="0036589C" w:rsidRPr="00BA6EE5">
        <w:t xml:space="preserve">ման անհրաժեշտ </w:t>
      </w:r>
      <w:r w:rsidR="0036589C" w:rsidRPr="00BA6EE5">
        <w:lastRenderedPageBreak/>
        <w:t>բոլոր նախադրյալները</w:t>
      </w:r>
      <w:r w:rsidR="0036589C" w:rsidRPr="00E04728" w:rsidDel="0036589C">
        <w:t xml:space="preserve"> </w:t>
      </w:r>
      <w:r w:rsidR="0036589C">
        <w:t>և մեխանիզմները</w:t>
      </w:r>
      <w:r w:rsidRPr="00E04728">
        <w:t>: Հակակոռուպցիոն մոնիթորինգի համակարգը պետք է հնարավորություն ընձեռի գնահատել կոռուպցիայի մակարդակի փոփոխությունները, ներառել բովանդակային` կատարողական մոնիթորինգի համակարգը, տալ ընթացիկ իրավիճակի չափելի նկարագիրը: Մոնիթորինգի համակարգը պետք է պարունակի ռազմավարական նպատակների, միջոցառումների իրականացման ելքերի և արդյունքների գնահատման ցուցիչները, որոնք «ցանկացած մակարդակում պետք է սահմանվեն հնարավորինս հստակ և չափելի արդյունքային ցուցանիշներով: Դրանք պետք է հնարավոր լինի ներկայացնել թվային տեսքով և քանակապես՝ որոշակի հենանիշի կամ ժամանակահատվածի նկատմամբ, որպեսզի հնարավոր լինի մոնիթորինգի ենթարկել դրա իրագործումը:</w:t>
      </w:r>
      <w:r w:rsidR="0036589C">
        <w:t xml:space="preserve"> </w:t>
      </w:r>
      <w:r w:rsidRPr="00E04728">
        <w:t>Անհնար է հասկանալ և գնահատել որևէ նպատակի իրագործումը կամ դրա գծով առաջընթացը, եթե այն չափելի չի»</w:t>
      </w:r>
      <w:r w:rsidRPr="00E04728">
        <w:rPr>
          <w:rStyle w:val="FootnoteReference"/>
        </w:rPr>
        <w:footnoteReference w:id="67"/>
      </w:r>
      <w:r w:rsidRPr="00E04728">
        <w:t>:</w:t>
      </w:r>
      <w:r w:rsidR="0036589C">
        <w:t xml:space="preserve"> </w:t>
      </w:r>
      <w:r w:rsidR="006E2136" w:rsidRPr="00E04728">
        <w:rPr>
          <w:rFonts w:cs="Arian AMU"/>
        </w:rPr>
        <w:t xml:space="preserve">Վերոնշյալից </w:t>
      </w:r>
      <w:r w:rsidR="00BF5204" w:rsidRPr="00E04728">
        <w:rPr>
          <w:rFonts w:cs="Arian AMU"/>
        </w:rPr>
        <w:t>բացի, անհրաժեշտ է միասնականացնել այլընտրանքային գնահատումների կառուցակարգերը</w:t>
      </w:r>
      <w:r w:rsidR="0036589C">
        <w:rPr>
          <w:rFonts w:cs="Arian AMU"/>
        </w:rPr>
        <w:t>:</w:t>
      </w:r>
    </w:p>
    <w:p w14:paraId="6B78D43F" w14:textId="5062260C" w:rsidR="00B9502E" w:rsidRPr="00E04728" w:rsidRDefault="0036589C" w:rsidP="00FB46C4">
      <w:pPr>
        <w:spacing w:line="276" w:lineRule="auto"/>
        <w:ind w:right="211"/>
        <w:rPr>
          <w:shd w:val="clear" w:color="auto" w:fill="FFFFFF"/>
        </w:rPr>
      </w:pPr>
      <w:r w:rsidRPr="00136B93">
        <w:t>Մոնիթորնգի և գնահատման համակարգի արդյունավետության վրա իր բացասական ազդեցությունն է թողնում նա</w:t>
      </w:r>
      <w:r>
        <w:t>և</w:t>
      </w:r>
      <w:r w:rsidR="00B9502E" w:rsidRPr="00E04728">
        <w:rPr>
          <w:shd w:val="clear" w:color="auto" w:fill="FFFFFF"/>
        </w:rPr>
        <w:t xml:space="preserve"> </w:t>
      </w:r>
      <w:r>
        <w:t>այդ ուղղությամբ իրականացվող</w:t>
      </w:r>
      <w:r w:rsidRPr="00E04728">
        <w:rPr>
          <w:shd w:val="clear" w:color="auto" w:fill="FFFFFF"/>
        </w:rPr>
        <w:t xml:space="preserve"> </w:t>
      </w:r>
      <w:r w:rsidR="00B9502E" w:rsidRPr="00E04728">
        <w:rPr>
          <w:shd w:val="clear" w:color="auto" w:fill="FFFFFF"/>
        </w:rPr>
        <w:t>հարցումների իրականացման</w:t>
      </w:r>
      <w:r w:rsidR="00B9502E" w:rsidRPr="00E04728">
        <w:rPr>
          <w:rFonts w:cs="Arian AMU"/>
          <w:shd w:val="clear" w:color="auto" w:fill="FFFFFF"/>
        </w:rPr>
        <w:t xml:space="preserve"> </w:t>
      </w:r>
      <w:r w:rsidR="00270FB0" w:rsidRPr="00E04728">
        <w:rPr>
          <w:rFonts w:cs="Arian AMU"/>
          <w:shd w:val="clear" w:color="auto" w:fill="FFFFFF"/>
        </w:rPr>
        <w:t>միասնական</w:t>
      </w:r>
      <w:r w:rsidR="00270FB0" w:rsidRPr="00E04728">
        <w:rPr>
          <w:shd w:val="clear" w:color="auto" w:fill="FFFFFF"/>
        </w:rPr>
        <w:t xml:space="preserve"> </w:t>
      </w:r>
      <w:r w:rsidR="00B9502E" w:rsidRPr="00E04728">
        <w:rPr>
          <w:shd w:val="clear" w:color="auto" w:fill="FFFFFF"/>
        </w:rPr>
        <w:t>մեթոդաբանությ</w:t>
      </w:r>
      <w:r>
        <w:rPr>
          <w:shd w:val="clear" w:color="auto" w:fill="FFFFFF"/>
        </w:rPr>
        <w:t>ան բացակայությունը</w:t>
      </w:r>
      <w:r w:rsidR="00B9502E" w:rsidRPr="00E04728">
        <w:rPr>
          <w:shd w:val="clear" w:color="auto" w:fill="FFFFFF"/>
        </w:rPr>
        <w:t xml:space="preserve">, ինչը հնարավորություն չի տալիս ապահովել հարցումների </w:t>
      </w:r>
      <w:r w:rsidR="00B9502E" w:rsidRPr="00E04728">
        <w:rPr>
          <w:rFonts w:cs="Arian AMU"/>
          <w:shd w:val="clear" w:color="auto" w:fill="FFFFFF"/>
        </w:rPr>
        <w:t>ի</w:t>
      </w:r>
      <w:r w:rsidR="008169FF" w:rsidRPr="00E04728">
        <w:rPr>
          <w:rFonts w:cs="Arian AMU"/>
          <w:shd w:val="clear" w:color="auto" w:fill="FFFFFF"/>
        </w:rPr>
        <w:t>րա</w:t>
      </w:r>
      <w:r w:rsidR="00B9502E" w:rsidRPr="00E04728">
        <w:rPr>
          <w:rFonts w:cs="Arian AMU"/>
          <w:shd w:val="clear" w:color="auto" w:fill="FFFFFF"/>
        </w:rPr>
        <w:t>կանացման</w:t>
      </w:r>
      <w:r w:rsidR="00B9502E" w:rsidRPr="00E04728">
        <w:rPr>
          <w:shd w:val="clear" w:color="auto" w:fill="FFFFFF"/>
        </w:rPr>
        <w:t xml:space="preserve"> ինստիտուցիոնալացումը, ինչը շատ կարևոր է հակակոռուպցիոն բարեփոխումների արդյունքային ազդեցությունը գնահատելու, հասարակության հետ հետադարձ կապն ապա</w:t>
      </w:r>
      <w:r w:rsidR="0072453F">
        <w:rPr>
          <w:shd w:val="clear" w:color="auto" w:fill="FFFFFF"/>
        </w:rPr>
        <w:t>հո</w:t>
      </w:r>
      <w:r w:rsidR="00B9502E" w:rsidRPr="00E04728">
        <w:rPr>
          <w:shd w:val="clear" w:color="auto" w:fill="FFFFFF"/>
        </w:rPr>
        <w:t>վե</w:t>
      </w:r>
      <w:r w:rsidR="0072453F">
        <w:rPr>
          <w:shd w:val="clear" w:color="auto" w:fill="FFFFFF"/>
        </w:rPr>
        <w:t>լ</w:t>
      </w:r>
      <w:r w:rsidR="00B9502E" w:rsidRPr="00E04728">
        <w:rPr>
          <w:shd w:val="clear" w:color="auto" w:fill="FFFFFF"/>
        </w:rPr>
        <w:t xml:space="preserve">ու նպատակով։ </w:t>
      </w:r>
    </w:p>
    <w:p w14:paraId="157374DE" w14:textId="46FE14CF" w:rsidR="00B9502E" w:rsidRPr="00E04728" w:rsidRDefault="00B9502E" w:rsidP="00FB46C4">
      <w:pPr>
        <w:spacing w:line="276" w:lineRule="auto"/>
        <w:ind w:right="211"/>
        <w:rPr>
          <w:shd w:val="clear" w:color="auto" w:fill="FFFFFF"/>
        </w:rPr>
      </w:pPr>
      <w:r w:rsidRPr="00E04728">
        <w:rPr>
          <w:shd w:val="clear" w:color="auto" w:fill="FFFFFF"/>
        </w:rPr>
        <w:t xml:space="preserve">Այդ կապակցությամբ </w:t>
      </w:r>
      <w:r w:rsidRPr="00E04728">
        <w:t>անհրաժեշտ է դիտարկել կոռուպցիայի դեմ պայքարի առնչությամբ հանրային հարցումների միասնական մեթոդաբանության մշակման անհրաժեշտությունը և հարցումների իրականացման ինստիտուցիոնալ</w:t>
      </w:r>
      <w:r w:rsidR="0072453F">
        <w:t>ա</w:t>
      </w:r>
      <w:r w:rsidRPr="00E04728">
        <w:t>ցման հնարավորությունը։</w:t>
      </w:r>
    </w:p>
    <w:p w14:paraId="7A8E6A6E" w14:textId="7DD09409" w:rsidR="004C62A5" w:rsidRPr="00E04728" w:rsidRDefault="0072453F" w:rsidP="00FB46C4">
      <w:pPr>
        <w:pStyle w:val="ListParagraph"/>
        <w:numPr>
          <w:ilvl w:val="0"/>
          <w:numId w:val="23"/>
        </w:numPr>
        <w:tabs>
          <w:tab w:val="left" w:pos="993"/>
        </w:tabs>
        <w:spacing w:line="276" w:lineRule="auto"/>
        <w:ind w:left="0" w:right="211" w:firstLine="567"/>
        <w:rPr>
          <w:rFonts w:cs="Arian AMU"/>
          <w:shd w:val="clear" w:color="auto" w:fill="FFFFFF"/>
        </w:rPr>
      </w:pPr>
      <w:r>
        <w:rPr>
          <w:rFonts w:cs="Arian AMU"/>
          <w:shd w:val="clear" w:color="auto" w:fill="FFFFFF"/>
        </w:rPr>
        <w:t xml:space="preserve">Բացի այդ, հարկ է վերանայել նաև </w:t>
      </w:r>
      <w:r w:rsidR="00B9502E" w:rsidRPr="00E04728">
        <w:rPr>
          <w:rFonts w:cs="Arian AMU"/>
          <w:shd w:val="clear" w:color="auto" w:fill="FFFFFF"/>
        </w:rPr>
        <w:t>Հակակոռուպցիոն քաղաքականության խորհրդի գործունեությ</w:t>
      </w:r>
      <w:r>
        <w:rPr>
          <w:rFonts w:cs="Arian AMU"/>
          <w:shd w:val="clear" w:color="auto" w:fill="FFFFFF"/>
        </w:rPr>
        <w:t>ան</w:t>
      </w:r>
      <w:r w:rsidR="00B9502E" w:rsidRPr="00E04728">
        <w:rPr>
          <w:rFonts w:cs="Arian AMU"/>
          <w:shd w:val="clear" w:color="auto" w:fill="FFFFFF"/>
        </w:rPr>
        <w:t xml:space="preserve"> </w:t>
      </w:r>
      <w:r w:rsidRPr="00136B93">
        <w:rPr>
          <w:rFonts w:cs="Arian AMU"/>
        </w:rPr>
        <w:t>ընդհանուր տրամաբանությունը, քանի որ խորհրդի գործունեության ընթացքում ի հայտ են եկել այնպիսի խնդիրներ, ինչպիսիք են`</w:t>
      </w:r>
      <w:r>
        <w:rPr>
          <w:rFonts w:cs="Arian AMU"/>
        </w:rPr>
        <w:t xml:space="preserve"> </w:t>
      </w:r>
      <w:r w:rsidR="00B9502E" w:rsidRPr="00E04728">
        <w:rPr>
          <w:rFonts w:cs="Arian AMU"/>
        </w:rPr>
        <w:t>խորհրդի կազմում հասարակական կազմ</w:t>
      </w:r>
      <w:r>
        <w:rPr>
          <w:rFonts w:cs="Arian AMU"/>
        </w:rPr>
        <w:t>ա</w:t>
      </w:r>
      <w:r w:rsidR="00B9502E" w:rsidRPr="00E04728">
        <w:rPr>
          <w:rFonts w:cs="Arian AMU"/>
        </w:rPr>
        <w:t>կերպությունների ներգրավման ընթացակարգերի, խորհրդի կազմում ըն</w:t>
      </w:r>
      <w:r>
        <w:rPr>
          <w:rFonts w:cs="Arian AMU"/>
        </w:rPr>
        <w:t>դ</w:t>
      </w:r>
      <w:r w:rsidR="00B9502E" w:rsidRPr="00E04728">
        <w:rPr>
          <w:rFonts w:cs="Arian AMU"/>
        </w:rPr>
        <w:t>գրկվելու հնարավորություն ունեցող ոչ արևտրային կազմակերպությունների սահմանափակ շրջանա</w:t>
      </w:r>
      <w:r>
        <w:rPr>
          <w:rFonts w:cs="Arian AMU"/>
        </w:rPr>
        <w:t xml:space="preserve">ը, </w:t>
      </w:r>
      <w:r w:rsidR="004C62A5" w:rsidRPr="00E04728">
        <w:rPr>
          <w:rFonts w:cs="Arian AMU"/>
        </w:rPr>
        <w:t>խորհրդի գործունեության թափանիցկությանն առնչվող պահանջների ամբողջական չլինել</w:t>
      </w:r>
      <w:r>
        <w:rPr>
          <w:rFonts w:cs="Arian AMU"/>
        </w:rPr>
        <w:t>ը</w:t>
      </w:r>
      <w:r w:rsidR="008169FF" w:rsidRPr="00E04728">
        <w:rPr>
          <w:rFonts w:cs="Arian AMU"/>
        </w:rPr>
        <w:t xml:space="preserve">: Բացի այդ, անհրաժեշտ է վերանայել Խորհրդի կազմում ներառված շահագրգիռ պետական մարմինների շրջանակը՝ դրանում ընդգրկելով հակակոռուպցիոն բոլոր ինստիտուցիոնալ մարմիններին, ինչպես նաև սույն ռազմավարության </w:t>
      </w:r>
      <w:r w:rsidR="004C62A5" w:rsidRPr="00E04728">
        <w:rPr>
          <w:rFonts w:cs="Arian AMU"/>
        </w:rPr>
        <w:t>իրականացման համար պատասխանատու հիմնական կատարող բոլոր մարմիններին:</w:t>
      </w:r>
    </w:p>
    <w:p w14:paraId="0957256B" w14:textId="2B781A9A" w:rsidR="00B9502E" w:rsidRPr="00E04728" w:rsidRDefault="004C62A5" w:rsidP="004C62A5">
      <w:pPr>
        <w:tabs>
          <w:tab w:val="left" w:pos="993"/>
        </w:tabs>
        <w:spacing w:line="276" w:lineRule="auto"/>
        <w:ind w:right="211" w:firstLine="540"/>
        <w:rPr>
          <w:rFonts w:cs="Arian AMU"/>
          <w:shd w:val="clear" w:color="auto" w:fill="FFFFFF"/>
        </w:rPr>
      </w:pPr>
      <w:r w:rsidRPr="00E04728">
        <w:rPr>
          <w:rFonts w:cs="Arian AMU"/>
        </w:rPr>
        <w:lastRenderedPageBreak/>
        <w:t>Այսպիսով,</w:t>
      </w:r>
      <w:r w:rsidR="00B9502E" w:rsidRPr="00E04728">
        <w:rPr>
          <w:rFonts w:cs="Arian AMU"/>
        </w:rPr>
        <w:t xml:space="preserve"> </w:t>
      </w:r>
      <w:r w:rsidRPr="00E04728">
        <w:rPr>
          <w:rFonts w:cs="Arian AMU"/>
        </w:rPr>
        <w:t>անհրաժեշտ է բարելավել Հակակոռուպցիոն քաղաքականության խորհրդի գործուեությանն առնչվող իրավական ակտերը՝ առկա բացերը լրացնե</w:t>
      </w:r>
      <w:r w:rsidR="0072453F">
        <w:rPr>
          <w:rFonts w:cs="Arian AMU"/>
        </w:rPr>
        <w:t>լ</w:t>
      </w:r>
      <w:r w:rsidRPr="00E04728">
        <w:rPr>
          <w:rFonts w:cs="Arian AMU"/>
        </w:rPr>
        <w:t>ու և Խորհրդի գործունեության կարգավորումներն առավել հստակեցնելու նպատակով:</w:t>
      </w:r>
    </w:p>
    <w:p w14:paraId="5A30A171" w14:textId="77777777" w:rsidR="00B9502E" w:rsidRPr="00E04728" w:rsidRDefault="00B9502E" w:rsidP="006D5A3F">
      <w:pPr>
        <w:tabs>
          <w:tab w:val="left" w:pos="810"/>
        </w:tabs>
        <w:spacing w:line="276" w:lineRule="auto"/>
        <w:ind w:firstLine="0"/>
        <w:contextualSpacing/>
      </w:pPr>
    </w:p>
    <w:p w14:paraId="16AE5674" w14:textId="045F6EC3" w:rsidR="00B9502E" w:rsidRPr="00E04728" w:rsidRDefault="00B9502E" w:rsidP="006D5A3F">
      <w:pPr>
        <w:tabs>
          <w:tab w:val="left" w:pos="284"/>
          <w:tab w:val="left" w:pos="426"/>
          <w:tab w:val="left" w:pos="709"/>
          <w:tab w:val="left" w:pos="993"/>
        </w:tabs>
        <w:spacing w:line="276" w:lineRule="auto"/>
        <w:ind w:firstLine="0"/>
        <w:contextualSpacing/>
        <w:jc w:val="center"/>
        <w:rPr>
          <w:b/>
          <w:color w:val="000000" w:themeColor="text1"/>
        </w:rPr>
      </w:pPr>
      <w:r w:rsidRPr="00E04728">
        <w:rPr>
          <w:b/>
          <w:color w:val="000000" w:themeColor="text1"/>
        </w:rPr>
        <w:t>ՀԱԿԱԿՈՌՈՒՊՑԻՈՆ ՄՈՆԻԹՈՐԻՆԳԻ ԵՎ ԳՆԱՀԱՏՄԱՆ ԻՆՍՏԻՏՈՒՑԻՈՆԱԼ ՀԱՄԱԿԱՐԳԻ ՀԶՈՐԱՑՈՒՄ</w:t>
      </w:r>
    </w:p>
    <w:p w14:paraId="39375C62" w14:textId="77777777" w:rsidR="00B9502E" w:rsidRPr="00E04728" w:rsidRDefault="00B9502E" w:rsidP="00FB46C4">
      <w:pPr>
        <w:tabs>
          <w:tab w:val="left" w:pos="810"/>
        </w:tabs>
        <w:spacing w:line="276" w:lineRule="auto"/>
        <w:contextualSpacing/>
        <w:jc w:val="center"/>
        <w:rPr>
          <w:b/>
          <w:u w:val="single"/>
        </w:rPr>
      </w:pPr>
    </w:p>
    <w:p w14:paraId="1BDFF6F1" w14:textId="77777777" w:rsidR="00B9502E" w:rsidRPr="00E04728" w:rsidRDefault="00B9502E" w:rsidP="00FB46C4">
      <w:pPr>
        <w:spacing w:line="276" w:lineRule="auto"/>
      </w:pPr>
      <w:r w:rsidRPr="00E04728">
        <w:t>Տնտեսական համագործակցության և զարգացման կազմակերպության (ՏՀԶԿ) Արևելյան Եվրոպայի և Կենտրոնական Ասիայի երկրների հակակոռուպցիոն ցանցի Ստամբուլյան հակակոռուպցիոն գործողությունների ծրագրի մոնիթորինգի 4-րդ փուլի գնահատման 2018 թվականի զեկույցով (այսուհետ՝ Զեկույց) ամրագրվել է, որ մոնիթորինգի իրականացման ինստիտուցիոնալ կառուցակարգերը արդյունավետ չեն: Արդյունքում, Հայաստանի Հանրապետությանն առաջարկվել է նախատեսել համարժեք ռեսուրսներ և հակակոռուպցիոն գործունեության մեջ մասնագիտացած, մշտապես գործող համապատասխան անձնակազմ, որն ակտիվորեն կաջակցի քաղաքականության համակարգմանը, իրականացմանն ու մոնիթորինգին:</w:t>
      </w:r>
      <w:r w:rsidRPr="00E04728">
        <w:rPr>
          <w:rStyle w:val="FootnoteReference"/>
        </w:rPr>
        <w:footnoteReference w:id="68"/>
      </w:r>
      <w:r w:rsidRPr="00E04728">
        <w:rPr>
          <w:rFonts w:ascii="Cambria" w:hAnsi="Cambria" w:cs="Cambria"/>
        </w:rPr>
        <w:t> </w:t>
      </w:r>
    </w:p>
    <w:p w14:paraId="09E20589" w14:textId="68D15F74" w:rsidR="00B9502E" w:rsidRPr="00E04728" w:rsidRDefault="00B9502E">
      <w:pPr>
        <w:spacing w:line="276" w:lineRule="auto"/>
      </w:pPr>
      <w:r w:rsidRPr="00E04728">
        <w:t>Հաշվի առնելով</w:t>
      </w:r>
      <w:r w:rsidR="0072453F">
        <w:t xml:space="preserve">, որ </w:t>
      </w:r>
      <w:r w:rsidRPr="00E04728">
        <w:t>ՀՀ վարչապետի աշխատակազմի հակակոռուպցիոն ծրագրերի և մոնիթորինգի վարչությունը լուծարվել է, վերջինիս լիազորությունները</w:t>
      </w:r>
      <w:r w:rsidR="0072453F">
        <w:t xml:space="preserve"> </w:t>
      </w:r>
      <w:r w:rsidRPr="00E04728">
        <w:t>կենտրոնացվել են մեկ ստորաբաժանման ներքո և վերապահվել են ՀՀ արդարադատության</w:t>
      </w:r>
      <w:r w:rsidRPr="00E04728">
        <w:rPr>
          <w:rFonts w:ascii="Cambria" w:hAnsi="Cambria" w:cs="Cambria"/>
        </w:rPr>
        <w:t> </w:t>
      </w:r>
      <w:r w:rsidRPr="00E04728">
        <w:t xml:space="preserve"> նախարարության հակակոռուպցիոն ստորաբաժանմանը, որը վերակազմակերպվել և ներկայումս գործում է որպես Հակակոռուպցիոն քաղաքականության մշակման և մոնիթորինգի վարչություն (այսուհետ՝ Վարչություն)</w:t>
      </w:r>
      <w:r w:rsidR="0072453F">
        <w:t xml:space="preserve">: </w:t>
      </w:r>
      <w:r w:rsidR="0072453F" w:rsidRPr="00F636FF">
        <w:t>)</w:t>
      </w:r>
      <w:r w:rsidR="0072453F">
        <w:rPr>
          <w:rFonts w:asciiTheme="minorHAnsi" w:hAnsiTheme="minorHAnsi"/>
        </w:rPr>
        <w:t xml:space="preserve">: </w:t>
      </w:r>
      <w:r w:rsidR="0072453F" w:rsidRPr="00BA6EE5">
        <w:t>Վարչության աշխատանքի ծավալը ժամանակի ընթացքու</w:t>
      </w:r>
      <w:r w:rsidR="0072453F" w:rsidRPr="0045469E">
        <w:t>մ</w:t>
      </w:r>
      <w:r w:rsidR="0072453F">
        <w:t xml:space="preserve"> աճել է:Ն</w:t>
      </w:r>
      <w:r w:rsidRPr="00E04728">
        <w:t xml:space="preserve">երկայումս Վարչության հիմնական գործառույթները, ի թիվս հիմնական նախկին գործառույթների, ընդգրկում </w:t>
      </w:r>
      <w:r w:rsidR="0072453F">
        <w:t>են</w:t>
      </w:r>
      <w:r w:rsidRPr="00E04728">
        <w:t xml:space="preserve"> նաև հետևյալը</w:t>
      </w:r>
      <w:r w:rsidRPr="00E04728">
        <w:rPr>
          <w:rFonts w:ascii="MS Mincho" w:eastAsia="MS Mincho" w:hAnsi="MS Mincho" w:cs="MS Mincho" w:hint="eastAsia"/>
        </w:rPr>
        <w:t>․</w:t>
      </w:r>
    </w:p>
    <w:p w14:paraId="3EFB06B3" w14:textId="7AEDB8DE" w:rsidR="00B9502E" w:rsidRPr="00E04728" w:rsidRDefault="00B9502E" w:rsidP="00FB46C4">
      <w:pPr>
        <w:pStyle w:val="ListParagraph"/>
        <w:numPr>
          <w:ilvl w:val="0"/>
          <w:numId w:val="16"/>
        </w:numPr>
        <w:tabs>
          <w:tab w:val="left" w:pos="810"/>
        </w:tabs>
        <w:spacing w:line="276" w:lineRule="auto"/>
        <w:ind w:left="0" w:firstLine="567"/>
      </w:pPr>
      <w:r w:rsidRPr="00E04728">
        <w:t xml:space="preserve">Հակակոռուպցիոն քաղաքականության, ներառյալ ռազմավարությունների և ծրագրերի </w:t>
      </w:r>
      <w:r w:rsidR="008A51D3" w:rsidRPr="00E04728">
        <w:rPr>
          <w:rFonts w:cs="Arian AMU"/>
        </w:rPr>
        <w:t xml:space="preserve">կոռուպցիայի դեմ պայքարի հաղորդակցման ծրագրերի </w:t>
      </w:r>
      <w:r w:rsidRPr="00E04728">
        <w:rPr>
          <w:rFonts w:cs="Arian AMU"/>
        </w:rPr>
        <w:t>մշակում</w:t>
      </w:r>
      <w:r w:rsidR="008A51D3" w:rsidRPr="00E04728">
        <w:rPr>
          <w:rFonts w:cs="Arian AMU"/>
        </w:rPr>
        <w:t>,</w:t>
      </w:r>
      <w:r w:rsidR="008A51D3" w:rsidRPr="00E04728">
        <w:t xml:space="preserve"> </w:t>
      </w:r>
      <w:r w:rsidRPr="00E04728">
        <w:t xml:space="preserve">Կառավարության ծրագրով և այլ ռազմավարական փաստաթղթերով սահմանված՝ կոռուպցիայի դեմ պայքարին ուղղված միջոցառումների մշակում և իրականացում </w:t>
      </w:r>
    </w:p>
    <w:p w14:paraId="3F3CE821" w14:textId="77777777" w:rsidR="00B9502E" w:rsidRPr="00E04728" w:rsidRDefault="00B9502E" w:rsidP="00FB46C4">
      <w:pPr>
        <w:pStyle w:val="ListParagraph"/>
        <w:numPr>
          <w:ilvl w:val="0"/>
          <w:numId w:val="16"/>
        </w:numPr>
        <w:tabs>
          <w:tab w:val="left" w:pos="810"/>
        </w:tabs>
        <w:spacing w:line="276" w:lineRule="auto"/>
        <w:ind w:left="0" w:firstLine="567"/>
      </w:pPr>
      <w:r w:rsidRPr="00E04728">
        <w:t>Հակակոռուպցիոն ինստիտուցիոնալ 4 մարմինների կարիքներից բխող շարունակական օրենսդրական փոփոխություններ</w:t>
      </w:r>
    </w:p>
    <w:p w14:paraId="1EA2116F" w14:textId="4347E39F" w:rsidR="00B9502E" w:rsidRPr="00E04728" w:rsidRDefault="00B9502E" w:rsidP="00FB46C4">
      <w:pPr>
        <w:pStyle w:val="ListParagraph"/>
        <w:numPr>
          <w:ilvl w:val="0"/>
          <w:numId w:val="16"/>
        </w:numPr>
        <w:tabs>
          <w:tab w:val="left" w:pos="810"/>
        </w:tabs>
        <w:spacing w:line="276" w:lineRule="auto"/>
        <w:ind w:left="0" w:firstLine="567"/>
      </w:pPr>
      <w:r w:rsidRPr="00E04728">
        <w:t>Կոռուպցիայի պայքարի ոլորտի իրավական ակտերի մշակում</w:t>
      </w:r>
      <w:r w:rsidR="0072453F">
        <w:t>,</w:t>
      </w:r>
      <w:r w:rsidRPr="00E04728">
        <w:t xml:space="preserve"> </w:t>
      </w:r>
      <w:r w:rsidR="0072453F">
        <w:t>ի</w:t>
      </w:r>
      <w:r w:rsidRPr="00E04728">
        <w:t xml:space="preserve">րավական ակտերի նախագծերի ուսումնասիրություն՝ կոռուպցիայի տեսանկյունից խնդրահարույց լինելու տեսանկյունից Արդարադատության նախարարության իրավասությունների շրջանակում </w:t>
      </w:r>
    </w:p>
    <w:p w14:paraId="4A8381D3" w14:textId="5C506F54" w:rsidR="00B9502E" w:rsidRPr="00E04728" w:rsidRDefault="00B9502E" w:rsidP="00FB46C4">
      <w:pPr>
        <w:pStyle w:val="ListParagraph"/>
        <w:numPr>
          <w:ilvl w:val="0"/>
          <w:numId w:val="16"/>
        </w:numPr>
        <w:tabs>
          <w:tab w:val="left" w:pos="810"/>
        </w:tabs>
        <w:spacing w:line="276" w:lineRule="auto"/>
        <w:ind w:left="0" w:firstLine="567"/>
      </w:pPr>
      <w:r w:rsidRPr="00E04728">
        <w:t>Հակակոռուպցիոն ռազմավարությունների և ծրագրերի</w:t>
      </w:r>
      <w:r w:rsidR="008A51D3" w:rsidRPr="00E04728">
        <w:rPr>
          <w:rFonts w:cs="Arian AMU"/>
        </w:rPr>
        <w:t>, կոռուպցիայի դեմ պայքարի հաղորդակցման ծրագրի</w:t>
      </w:r>
      <w:r w:rsidRPr="00E04728">
        <w:t xml:space="preserve"> կատարման նկատմամբ հսկողություն, մոնիթորինգ և գնահատում, համապատասխան զեկույցների կազմում. </w:t>
      </w:r>
    </w:p>
    <w:p w14:paraId="321865D4" w14:textId="267D2CAC" w:rsidR="00B9502E" w:rsidRPr="00E04728" w:rsidRDefault="00B9502E" w:rsidP="00FB46C4">
      <w:pPr>
        <w:pStyle w:val="ListParagraph"/>
        <w:numPr>
          <w:ilvl w:val="0"/>
          <w:numId w:val="16"/>
        </w:numPr>
        <w:tabs>
          <w:tab w:val="left" w:pos="810"/>
        </w:tabs>
        <w:spacing w:line="276" w:lineRule="auto"/>
        <w:ind w:left="0" w:firstLine="567"/>
      </w:pPr>
      <w:r w:rsidRPr="00E04728">
        <w:lastRenderedPageBreak/>
        <w:t>2023 թվականից՝ Հակակոռուպցիոն պատասխանատուների աշխատանքի համակարգում, մասնագիտական աջակցության տրամադրում (շուրջ 200 անձ), վերջիններիս կողմից ներկայացված փաստաթղթերի ուսումնասիրություն, դիտարկումների ներկայացում</w:t>
      </w:r>
      <w:r w:rsidR="0072453F">
        <w:t>:</w:t>
      </w:r>
    </w:p>
    <w:p w14:paraId="24BEF2F6" w14:textId="26CEAC60" w:rsidR="008A51D3" w:rsidRPr="00E04728" w:rsidRDefault="00B9502E" w:rsidP="008A51D3">
      <w:pPr>
        <w:pStyle w:val="ListParagraph"/>
        <w:numPr>
          <w:ilvl w:val="0"/>
          <w:numId w:val="16"/>
        </w:numPr>
        <w:tabs>
          <w:tab w:val="left" w:pos="810"/>
        </w:tabs>
        <w:spacing w:line="276" w:lineRule="auto"/>
        <w:ind w:left="0" w:firstLine="567"/>
      </w:pPr>
      <w:r w:rsidRPr="00E04728">
        <w:t xml:space="preserve">Հակակոռուպցիոն միջազգային պարտավորությունների կատարման նկատմամբ հսկողություն և աշխատանքների համակարգում Հակակոռուպցիոն միջազգային կազմակերպությունների հետ հարաբերություններում </w:t>
      </w:r>
      <w:r w:rsidR="0072453F">
        <w:t>ՀՀ</w:t>
      </w:r>
      <w:r w:rsidRPr="00E04728">
        <w:t xml:space="preserve"> շահերի ներկայացում, այդ կառույցների մարմինների գործունեությանը մասնակցություն Միջազգային պարտավորությունների գնահատման շրջանակներում հարցաշարերի լրացում, ինքնագնահատման զեկույցների կազմում, այդ միջազգային կազմակերպությունների տարբեր մասնագիտացված աշխատանքային խմբերի աշխատանքներին մասնակցություն</w:t>
      </w:r>
      <w:r w:rsidR="008A51D3" w:rsidRPr="00E04728">
        <w:rPr>
          <w:rFonts w:cs="Arian AMU"/>
        </w:rPr>
        <w:t>, տաբեր պետությունների կոնվենցիոն պարտավորությունների գնահատում</w:t>
      </w:r>
      <w:r w:rsidR="0072453F">
        <w:t>:</w:t>
      </w:r>
    </w:p>
    <w:p w14:paraId="104B438A" w14:textId="77777777" w:rsidR="008A51D3" w:rsidRPr="00E04728" w:rsidRDefault="008A51D3" w:rsidP="00FC4656">
      <w:pPr>
        <w:pStyle w:val="ListParagraph"/>
        <w:numPr>
          <w:ilvl w:val="0"/>
          <w:numId w:val="16"/>
        </w:numPr>
        <w:tabs>
          <w:tab w:val="left" w:pos="810"/>
        </w:tabs>
        <w:spacing w:line="276" w:lineRule="auto"/>
        <w:ind w:left="0" w:firstLine="540"/>
      </w:pPr>
      <w:r w:rsidRPr="00E04728">
        <w:t>Նկատի ունենալով բյուջետային  աջակցության մեծ ծավալները, դոնոր կազմակերպության կողմից մեծածավալ ֆինանսավորումը՝ Վարչությունը ֆինանսական ստորաբաժանման աջակցությամբ կազմում է բյուջետային ծրագրերի կազմում, իրականացնում հաշվարկներ:</w:t>
      </w:r>
    </w:p>
    <w:p w14:paraId="5AF87172" w14:textId="633F098D" w:rsidR="00B9502E" w:rsidRPr="00E04728" w:rsidRDefault="00B9502E" w:rsidP="00FB46C4">
      <w:pPr>
        <w:tabs>
          <w:tab w:val="left" w:pos="0"/>
          <w:tab w:val="left" w:pos="619"/>
          <w:tab w:val="left" w:pos="900"/>
          <w:tab w:val="left" w:pos="1134"/>
        </w:tabs>
        <w:spacing w:line="276" w:lineRule="auto"/>
        <w:contextualSpacing/>
      </w:pPr>
      <w:r w:rsidRPr="00E04728">
        <w:t xml:space="preserve">Առկա խնդիրների առնչությամբ հարկ է նշել, որ </w:t>
      </w:r>
      <w:r w:rsidR="0072453F">
        <w:t>Վ</w:t>
      </w:r>
      <w:r w:rsidRPr="00E04728">
        <w:t>արչության կողմից հակակոռուպցիոն մոնիթորինգի և գնահատման, ինչպես նաև միջազգային պարտավորությունների համակարգման գործընթացի շրջանակներում էապես դժվարություններ է ստեղծում իրավասու մարմիններից սահմանված ժամկետում տեղեկությունների չներկայացումը կամ ոչ ամբողջական ներկայացումը, նույնաբովանդակ տեղեկատվության առնչությամբ տարբեր մարմինների կողմից ներկայացված տեղեկությունների անհամապատասխանությունը և այլն։  Միևնույն ժամանակ, Վարչության մարդկային ռեսուրսների և գործառույթների միջև առկա է էական անհամաչափություն</w:t>
      </w:r>
      <w:r w:rsidR="0072453F">
        <w:t xml:space="preserve"> </w:t>
      </w:r>
      <w:r w:rsidR="0072453F">
        <w:rPr>
          <w:rFonts w:asciiTheme="minorHAnsi" w:hAnsiTheme="minorHAnsi" w:cstheme="minorHAnsi"/>
        </w:rPr>
        <w:t>(</w:t>
      </w:r>
      <w:r w:rsidR="0072453F" w:rsidRPr="00F636FF">
        <w:t>Վարչություն ունի 8 հաստիք</w:t>
      </w:r>
      <w:r w:rsidR="0072453F">
        <w:rPr>
          <w:rFonts w:asciiTheme="minorHAnsi" w:hAnsiTheme="minorHAnsi" w:cstheme="minorHAnsi"/>
        </w:rPr>
        <w:t>)</w:t>
      </w:r>
      <w:r w:rsidRPr="00E04728">
        <w:t>։</w:t>
      </w:r>
    </w:p>
    <w:p w14:paraId="66C1FCF2" w14:textId="65F2711C" w:rsidR="00B9502E" w:rsidRPr="00E04728" w:rsidRDefault="00B9502E" w:rsidP="00FB46C4">
      <w:pPr>
        <w:numPr>
          <w:ilvl w:val="0"/>
          <w:numId w:val="14"/>
        </w:numPr>
        <w:tabs>
          <w:tab w:val="left" w:pos="851"/>
          <w:tab w:val="left" w:pos="993"/>
          <w:tab w:val="left" w:pos="1170"/>
          <w:tab w:val="left" w:pos="1530"/>
        </w:tabs>
        <w:spacing w:line="276" w:lineRule="auto"/>
        <w:ind w:left="0" w:firstLine="567"/>
        <w:contextualSpacing/>
      </w:pPr>
      <w:r w:rsidRPr="00E04728">
        <w:t>Օրենքով սահմանված կարգով հանրապետական իշխանության մարմիններում, պետական կառավարման մարմիններում և տեղական ինքնակառավարման մարմիններում նշանակվել են հակակոռուպցիոն ծրագրերի պատասխանատուներ</w:t>
      </w:r>
      <w:r w:rsidR="0072453F">
        <w:t xml:space="preserve">, ինչը </w:t>
      </w:r>
      <w:r w:rsidRPr="00E04728">
        <w:t xml:space="preserve">հնարավորություն </w:t>
      </w:r>
      <w:r w:rsidR="0072453F">
        <w:t>է ընձեռում</w:t>
      </w:r>
      <w:r w:rsidR="0072453F" w:rsidRPr="00E04728">
        <w:t xml:space="preserve"> </w:t>
      </w:r>
      <w:r w:rsidRPr="00E04728">
        <w:t>ապահովելու ներգ</w:t>
      </w:r>
      <w:r w:rsidR="0072453F">
        <w:t>եր</w:t>
      </w:r>
      <w:r w:rsidRPr="00E04728">
        <w:t>ատեսչական մակարդակում հակակոռուպցիոն ծրագրերի և միջազգային պարտավորությունների կատարման աշխատանքների համակարգվածությունը և հաշվետվողականությունը։ Սակայն հարկ է նշել, որ հակակոռուպցիոն ծրագրերի պատասխանատումների համար անհրաժեշտ է իր</w:t>
      </w:r>
      <w:r w:rsidR="0072453F">
        <w:t>ա</w:t>
      </w:r>
      <w:r w:rsidRPr="00E04728">
        <w:t>կանացնել վերապատրաստումներ և վերջիններիս համար մշակել ուղեցույցներ՝ նկատի ունենալով ինստիտուտի նոր լինելը և դրանից բխող՝ նշված անձանց կարողությունների զարգացման անհրաժեշտությունը։</w:t>
      </w:r>
    </w:p>
    <w:p w14:paraId="5D56EC11" w14:textId="3C827920" w:rsidR="00B9502E" w:rsidRPr="00E04728" w:rsidRDefault="00B9502E" w:rsidP="00BA6EE5">
      <w:pPr>
        <w:numPr>
          <w:ilvl w:val="0"/>
          <w:numId w:val="14"/>
        </w:numPr>
        <w:tabs>
          <w:tab w:val="left" w:pos="851"/>
          <w:tab w:val="left" w:pos="993"/>
          <w:tab w:val="left" w:pos="1170"/>
          <w:tab w:val="left" w:pos="1260"/>
          <w:tab w:val="left" w:pos="1530"/>
        </w:tabs>
        <w:spacing w:line="276" w:lineRule="auto"/>
        <w:ind w:left="0" w:firstLine="567"/>
        <w:contextualSpacing/>
      </w:pPr>
      <w:r w:rsidRPr="00E04728">
        <w:t xml:space="preserve">Դեռևս 2019 թվականին ստեղծվել է Հակակոռուպցիոն քաղաքականության խորհուրդը, </w:t>
      </w:r>
      <w:r w:rsidR="0072453F">
        <w:t xml:space="preserve">իսկ </w:t>
      </w:r>
      <w:r w:rsidRPr="00E04728">
        <w:t>2022 թվականի դեկտեմբեր-2023 թվականի հունվար ամիսներին անցկացվել է մրցույթ՝ հակակոռուպցիոն քաղաքականության խորհրդի կազմում նոր հասարակա</w:t>
      </w:r>
      <w:r w:rsidR="0072453F">
        <w:t>կա</w:t>
      </w:r>
      <w:r w:rsidRPr="00E04728">
        <w:t>ն կազմակերպություններ ներգրավելու և ըստ այդմ՝ ռոտացիա ապահովելու նպատակով։</w:t>
      </w:r>
      <w:r w:rsidRPr="00E04728">
        <w:rPr>
          <w:vertAlign w:val="superscript"/>
        </w:rPr>
        <w:footnoteReference w:id="69"/>
      </w:r>
    </w:p>
    <w:p w14:paraId="423F0562" w14:textId="38705880" w:rsidR="00B9502E" w:rsidRPr="00E04728" w:rsidRDefault="00B9502E" w:rsidP="00FB46C4">
      <w:pPr>
        <w:pStyle w:val="ListParagraph"/>
        <w:numPr>
          <w:ilvl w:val="0"/>
          <w:numId w:val="23"/>
        </w:numPr>
        <w:tabs>
          <w:tab w:val="left" w:pos="851"/>
        </w:tabs>
        <w:spacing w:line="276" w:lineRule="auto"/>
        <w:ind w:left="0" w:firstLine="567"/>
      </w:pPr>
      <w:r w:rsidRPr="00E04728">
        <w:lastRenderedPageBreak/>
        <w:t>Անդրադառնալով այլընտրանքային գնահատումներին և ոլորտային հասարակական կազմակերպությունների դերակատարմանը կոռուպցիայի դեմ պայքարին, հարկ է նշել հետևյալը՝</w:t>
      </w:r>
    </w:p>
    <w:p w14:paraId="06BE623D" w14:textId="77777777" w:rsidR="00B9502E" w:rsidRPr="00E04728" w:rsidRDefault="00B9502E" w:rsidP="00FB46C4">
      <w:pPr>
        <w:pStyle w:val="ListParagraph"/>
        <w:numPr>
          <w:ilvl w:val="0"/>
          <w:numId w:val="24"/>
        </w:numPr>
        <w:spacing w:line="276" w:lineRule="auto"/>
        <w:ind w:left="0" w:firstLine="567"/>
      </w:pPr>
      <w:r w:rsidRPr="00E04728">
        <w:t>Իրավաբանների հայկակական ասոցիացիան Հայաստանի ՔԿՀ-ների հակակոռուպցիոն կոալիցիայի հետ համատեղ յուրաքանչյուր կիսամյակ իրականացնում է Հակակոռուպցիոն ռազմավարության իրականացման մոնիթորինգ և գնահատում, ինչպես նաև ներկայացվում են համապատասխան առաջարկություններ։</w:t>
      </w:r>
      <w:r w:rsidRPr="00E04728">
        <w:rPr>
          <w:vertAlign w:val="superscript"/>
        </w:rPr>
        <w:footnoteReference w:id="70"/>
      </w:r>
    </w:p>
    <w:p w14:paraId="50CB6546" w14:textId="77777777" w:rsidR="00B9502E" w:rsidRPr="00E04728" w:rsidRDefault="00B9502E" w:rsidP="00FB46C4">
      <w:pPr>
        <w:pStyle w:val="ListParagraph"/>
        <w:numPr>
          <w:ilvl w:val="0"/>
          <w:numId w:val="24"/>
        </w:numPr>
        <w:spacing w:line="276" w:lineRule="auto"/>
        <w:ind w:left="0" w:firstLine="567"/>
      </w:pPr>
      <w:r w:rsidRPr="00E04728">
        <w:t>Թրանսփարենսի ինթերնեշնլ հակակոռուպցիոն կենտրոնը պարբերաբար իրականացնում է մշտադիտարկում հակակոռուպցիոն ռազմավարության առանձին ուղղությունների իրականացման վերաբերյալ</w:t>
      </w:r>
      <w:r w:rsidRPr="00E04728">
        <w:rPr>
          <w:vertAlign w:val="superscript"/>
        </w:rPr>
        <w:footnoteReference w:id="71"/>
      </w:r>
      <w:r w:rsidRPr="00E04728">
        <w:t>։</w:t>
      </w:r>
    </w:p>
    <w:p w14:paraId="25F9013A" w14:textId="77777777" w:rsidR="00B9502E" w:rsidRPr="00E04728" w:rsidRDefault="00B9502E" w:rsidP="00FB46C4">
      <w:pPr>
        <w:pStyle w:val="ListParagraph"/>
        <w:numPr>
          <w:ilvl w:val="0"/>
          <w:numId w:val="24"/>
        </w:numPr>
        <w:spacing w:line="276" w:lineRule="auto"/>
        <w:ind w:left="0" w:firstLine="567"/>
      </w:pPr>
      <w:r w:rsidRPr="00E04728">
        <w:t>Իրազեկ քաղաքացիներ միավորում հասարակական կազմակերպությունը ևս պարբերաբար ներկայացնում է դիրքորոշում հակակոռուպցիոն ռազմավարության առանձին ուղղությունների իրականացման վերաբերյալ։</w:t>
      </w:r>
      <w:r w:rsidRPr="00E04728">
        <w:rPr>
          <w:vertAlign w:val="superscript"/>
        </w:rPr>
        <w:footnoteReference w:id="72"/>
      </w:r>
    </w:p>
    <w:p w14:paraId="5CB0DCE5" w14:textId="77777777" w:rsidR="00B9502E" w:rsidRPr="00E04728" w:rsidRDefault="00B9502E" w:rsidP="00FB46C4">
      <w:pPr>
        <w:spacing w:line="276" w:lineRule="auto"/>
      </w:pPr>
      <w:r w:rsidRPr="00E04728">
        <w:t>Վերոնշյալի համատեքստում հարկ է նշել, որ քաղաքացիական հասարակության կազմակերպությունների մասնակցությունն ապահովվում է նաև Հակակոռուպցիոն քաղաքականության խորհրդի գործունեությանը վերջիններիս մասնակցությամբ</w:t>
      </w:r>
      <w:r w:rsidRPr="00E04728">
        <w:rPr>
          <w:vertAlign w:val="superscript"/>
        </w:rPr>
        <w:footnoteReference w:id="73"/>
      </w:r>
      <w:r w:rsidRPr="00E04728">
        <w:t xml:space="preserve">։ </w:t>
      </w:r>
    </w:p>
    <w:p w14:paraId="08171A55" w14:textId="77777777" w:rsidR="00B9502E" w:rsidRPr="00E04728" w:rsidRDefault="00B9502E" w:rsidP="00FB46C4">
      <w:pPr>
        <w:spacing w:line="276" w:lineRule="auto"/>
      </w:pPr>
      <w:r w:rsidRPr="00E04728">
        <w:t>Այնուամենայնիվ քաղաքացիական հասարակության դերակատարման արդյունավետության բարձրացման նպատակով անհրաժեշտ է վերջիններիս համար ևս իրականացնել կարողությունների զարգացում՝ շարունակական հիմունքներով։</w:t>
      </w:r>
    </w:p>
    <w:p w14:paraId="7959D9E2" w14:textId="77777777" w:rsidR="00B9502E" w:rsidRPr="00E04728" w:rsidRDefault="00B9502E" w:rsidP="00FB46C4">
      <w:pPr>
        <w:tabs>
          <w:tab w:val="left" w:pos="900"/>
          <w:tab w:val="left" w:pos="990"/>
        </w:tabs>
        <w:spacing w:line="276" w:lineRule="auto"/>
        <w:rPr>
          <w:color w:val="2F5496" w:themeColor="accent1" w:themeShade="BF"/>
          <w:shd w:val="clear" w:color="auto" w:fill="FFFFFF"/>
        </w:rPr>
      </w:pPr>
      <w:r w:rsidRPr="00E04728">
        <w:t>Այսպիսով, հակակոռուպցիոն մոնիթորինգի և գնահատման իսնտիտուցիոնալ համակարգի շարունակական զարգացման նպատակով՝</w:t>
      </w:r>
    </w:p>
    <w:p w14:paraId="7554B7C0" w14:textId="77777777" w:rsidR="00B9502E" w:rsidRPr="00E04728" w:rsidRDefault="00B9502E" w:rsidP="00FB46C4">
      <w:pPr>
        <w:pStyle w:val="ListParagraph"/>
        <w:numPr>
          <w:ilvl w:val="0"/>
          <w:numId w:val="21"/>
        </w:numPr>
        <w:tabs>
          <w:tab w:val="left" w:pos="900"/>
          <w:tab w:val="left" w:pos="990"/>
        </w:tabs>
        <w:spacing w:line="276" w:lineRule="auto"/>
        <w:ind w:left="0" w:firstLine="567"/>
      </w:pPr>
      <w:r w:rsidRPr="00E04728">
        <w:t>Միևնույն ժամանակ, նկատի ունենալով Արդարադատության նախարարության հակակոռուպցիոն քաղաքականության և մոնիթորինգի վարչության մեծածավալ գործառույթները և դրանց կարևորությունը Հայաստանի Հանրապետության համար՝ անհրաժեշտ է դիտարկել նշված վարչության հաստիքների համալրման և ինստիտուցիոնալ կարողությունների զարգացման հնարավորությունները։</w:t>
      </w:r>
    </w:p>
    <w:p w14:paraId="4E1A3856" w14:textId="530D83D9" w:rsidR="00B9502E" w:rsidRPr="00E04728" w:rsidRDefault="00B9502E" w:rsidP="00FB46C4">
      <w:pPr>
        <w:pStyle w:val="ListParagraph"/>
        <w:numPr>
          <w:ilvl w:val="0"/>
          <w:numId w:val="21"/>
        </w:numPr>
        <w:tabs>
          <w:tab w:val="left" w:pos="900"/>
          <w:tab w:val="left" w:pos="990"/>
        </w:tabs>
        <w:spacing w:line="276" w:lineRule="auto"/>
        <w:ind w:left="0" w:firstLine="567"/>
      </w:pPr>
      <w:r w:rsidRPr="00E04728">
        <w:t xml:space="preserve">Նշված աշխատանքներին զուգահեռ անհրաժեշտ է մեխանիզմներ մշակել </w:t>
      </w:r>
      <w:r w:rsidR="006929D3">
        <w:t>Վ</w:t>
      </w:r>
      <w:r w:rsidRPr="00E04728">
        <w:t xml:space="preserve">արչության կողմից հակակոռուպցիոն մոնիթորինգի և գնահատման, ինչպես նաև միջազգային պարտավորությունների համակարգման գործընթացը բարդացնող խնդիրների լուծման ուղղությամբ։ Մասնավորապես անհրաժեշտ է մեխանիզմներ նախատեսել իրավասու </w:t>
      </w:r>
      <w:r w:rsidRPr="00E04728">
        <w:lastRenderedPageBreak/>
        <w:t xml:space="preserve">մարմիններից սահմանված ժամկետում և ամբողջական տեղեկությունների ստացման ապահովման, նույնաբովանդակ տեղեկատվության առնչությամբ տարբեր մարմինների կողմից ներկայացված տեղեկությունների անհամապատասխանության դեպքերի նվազեցման ուղղությամբ։  </w:t>
      </w:r>
    </w:p>
    <w:p w14:paraId="4C52CB68" w14:textId="4EF720F4" w:rsidR="008E49EB" w:rsidRPr="00E04728" w:rsidRDefault="00B9502E" w:rsidP="00BA6EE5">
      <w:pPr>
        <w:pStyle w:val="ListParagraph"/>
        <w:numPr>
          <w:ilvl w:val="0"/>
          <w:numId w:val="21"/>
        </w:numPr>
        <w:tabs>
          <w:tab w:val="left" w:pos="900"/>
          <w:tab w:val="left" w:pos="990"/>
        </w:tabs>
        <w:spacing w:line="276" w:lineRule="auto"/>
        <w:ind w:left="0" w:firstLine="567"/>
      </w:pPr>
      <w:r w:rsidRPr="00E04728">
        <w:t>Անհրաժեշտ է ոլորտային քաղաքացիական հասարակության կազմակերպությունների կարողությունների զարգացման միջոցառումներ իրականացնել</w:t>
      </w:r>
      <w:r w:rsidR="00C242AC" w:rsidRPr="00E04728">
        <w:rPr>
          <w:rFonts w:cs="Arian AMU"/>
        </w:rPr>
        <w:t>՝ նախևառաջ դիտարկելով այլընտանքային գնահատում իրականացնող, ինչպես նաև Հակակոռուպցիոն քաղաքականության խորհրդի կազմում ներառված հասարակական կազմակերպություններին</w:t>
      </w:r>
      <w:r w:rsidRPr="00E04728">
        <w:t>։</w:t>
      </w:r>
    </w:p>
    <w:p w14:paraId="42037BB8" w14:textId="2B61C75A" w:rsidR="008E49EB" w:rsidRPr="00BA6EE5" w:rsidRDefault="008E49EB" w:rsidP="00BA6EE5">
      <w:pPr>
        <w:spacing w:line="276" w:lineRule="auto"/>
        <w:jc w:val="center"/>
        <w:rPr>
          <w:b/>
        </w:rPr>
      </w:pPr>
      <w:r w:rsidRPr="00E04728">
        <w:br w:type="page"/>
      </w:r>
      <w:bookmarkStart w:id="36" w:name="_Toc135078494"/>
      <w:r w:rsidRPr="00BA6EE5">
        <w:rPr>
          <w:b/>
        </w:rPr>
        <w:lastRenderedPageBreak/>
        <w:t>ԲԱԺԻՆ III</w:t>
      </w:r>
      <w:r w:rsidRPr="00BA6EE5">
        <w:rPr>
          <w:rFonts w:ascii="MS Mincho" w:eastAsia="MS Mincho" w:hAnsi="MS Mincho" w:cs="MS Mincho"/>
          <w:b/>
        </w:rPr>
        <w:t>․</w:t>
      </w:r>
      <w:r w:rsidRPr="00BA6EE5">
        <w:rPr>
          <w:b/>
        </w:rPr>
        <w:t xml:space="preserve"> 2023-2026 ԹՎԱԿԱՆՆԵՐԻ ՀԱԿԱԿՈՌՈՒՊՑԻՈՆ ՌԱԶՄԱՎԱՐՈՒԹՅԱՆ ԵՎ ԳՈՐԾՈՂՈՒԹՅՈՒՆՆԵՐԻ ԾՐԱԳՐԵՐԻ ԻՐԱԿԱՆԱՑՄԱՆ ՀԱՄԱԿԱՐԳՈՒՄԸ, ՄՈՆԻԹՈՐԻՆԳԸ ԵՎ ԳՆԱՀԱՏՈՒՄԸ</w:t>
      </w:r>
      <w:bookmarkEnd w:id="36"/>
    </w:p>
    <w:p w14:paraId="6C74D062" w14:textId="77777777" w:rsidR="00C47F1F" w:rsidRPr="00E04728" w:rsidRDefault="00C47F1F" w:rsidP="00FB46C4">
      <w:pPr>
        <w:pStyle w:val="ListParagraph"/>
        <w:tabs>
          <w:tab w:val="left" w:pos="284"/>
          <w:tab w:val="left" w:pos="426"/>
          <w:tab w:val="left" w:pos="709"/>
          <w:tab w:val="left" w:pos="993"/>
        </w:tabs>
        <w:spacing w:line="276" w:lineRule="auto"/>
        <w:ind w:left="0"/>
        <w:jc w:val="center"/>
      </w:pPr>
    </w:p>
    <w:p w14:paraId="18E10F5B" w14:textId="65EFD385" w:rsidR="00C47F1F" w:rsidRPr="00E04728" w:rsidRDefault="00C47F1F" w:rsidP="00FB46C4">
      <w:pPr>
        <w:pStyle w:val="ListParagraph"/>
        <w:numPr>
          <w:ilvl w:val="6"/>
          <w:numId w:val="10"/>
        </w:numPr>
        <w:tabs>
          <w:tab w:val="left" w:pos="284"/>
          <w:tab w:val="left" w:pos="426"/>
          <w:tab w:val="left" w:pos="567"/>
          <w:tab w:val="left" w:pos="709"/>
          <w:tab w:val="left" w:pos="993"/>
        </w:tabs>
        <w:spacing w:line="276" w:lineRule="auto"/>
        <w:ind w:left="0" w:firstLine="567"/>
        <w:rPr>
          <w:b/>
          <w:color w:val="000000" w:themeColor="text1"/>
        </w:rPr>
      </w:pPr>
      <w:r w:rsidRPr="00E04728">
        <w:rPr>
          <w:b/>
          <w:color w:val="000000" w:themeColor="text1"/>
        </w:rPr>
        <w:t>Հակակոռուպցիոն ռազմավարության և դրա իրականացման գործողությունների ծրագրի մոնիթորինգի, գնահատ</w:t>
      </w:r>
      <w:r w:rsidR="009F35E5">
        <w:rPr>
          <w:b/>
          <w:color w:val="000000" w:themeColor="text1"/>
        </w:rPr>
        <w:t>ումը</w:t>
      </w:r>
      <w:r w:rsidRPr="00E04728">
        <w:rPr>
          <w:b/>
          <w:color w:val="000000" w:themeColor="text1"/>
        </w:rPr>
        <w:t xml:space="preserve"> և համակարգ</w:t>
      </w:r>
      <w:r w:rsidR="009F35E5">
        <w:rPr>
          <w:b/>
          <w:color w:val="000000" w:themeColor="text1"/>
        </w:rPr>
        <w:t>ումը</w:t>
      </w:r>
    </w:p>
    <w:p w14:paraId="0D16E5A3" w14:textId="77777777" w:rsidR="00C47F1F" w:rsidRPr="00E04728" w:rsidRDefault="00C47F1F" w:rsidP="00FB46C4">
      <w:pPr>
        <w:tabs>
          <w:tab w:val="left" w:pos="284"/>
          <w:tab w:val="left" w:pos="426"/>
          <w:tab w:val="left" w:pos="567"/>
          <w:tab w:val="left" w:pos="709"/>
          <w:tab w:val="left" w:pos="993"/>
        </w:tabs>
        <w:spacing w:line="276" w:lineRule="auto"/>
        <w:rPr>
          <w:color w:val="000000" w:themeColor="text1"/>
        </w:rPr>
      </w:pPr>
    </w:p>
    <w:p w14:paraId="42744DF2" w14:textId="3C928ACE" w:rsidR="00C47F1F" w:rsidRPr="00E04728" w:rsidRDefault="00C47F1F" w:rsidP="00FB46C4">
      <w:pPr>
        <w:pStyle w:val="NormalWeb"/>
        <w:shd w:val="clear" w:color="auto" w:fill="FFFFFF"/>
        <w:tabs>
          <w:tab w:val="left" w:pos="567"/>
          <w:tab w:val="left" w:pos="851"/>
        </w:tabs>
        <w:spacing w:before="0" w:beforeAutospacing="0" w:after="0" w:afterAutospacing="0" w:line="276" w:lineRule="auto"/>
        <w:ind w:right="-144" w:firstLine="567"/>
        <w:jc w:val="both"/>
        <w:rPr>
          <w:rFonts w:ascii="GHEA Grapalat" w:hAnsi="GHEA Grapalat"/>
          <w:lang w:val="hy-AM"/>
        </w:rPr>
      </w:pPr>
      <w:r w:rsidRPr="00E04728">
        <w:rPr>
          <w:rStyle w:val="Strong"/>
          <w:rFonts w:ascii="GHEA Grapalat" w:hAnsi="GHEA Grapalat"/>
          <w:b w:val="0"/>
          <w:shd w:val="clear" w:color="auto" w:fill="FFFFFF"/>
          <w:lang w:val="hy-AM"/>
        </w:rPr>
        <w:t>1) Հայաստանի Հանրապետության  հակակոռուպցիոն ռազմավարության և դրա իրականացման 2023-2026 թվականների միջոցառումների ծրագրի (այսուհետ նաև՝ Միջոցառումների ծրագրի)</w:t>
      </w:r>
      <w:r w:rsidRPr="00E04728">
        <w:rPr>
          <w:rFonts w:ascii="GHEA Grapalat" w:hAnsi="GHEA Grapalat"/>
          <w:lang w:val="hy-AM"/>
        </w:rPr>
        <w:t xml:space="preserve"> </w:t>
      </w:r>
      <w:r w:rsidRPr="00E04728">
        <w:rPr>
          <w:rFonts w:ascii="GHEA Grapalat" w:hAnsi="GHEA Grapalat"/>
          <w:color w:val="000000" w:themeColor="text1"/>
          <w:lang w:val="hy-AM"/>
        </w:rPr>
        <w:t>իրականացման արդյունավետության ապահովման նպատակով շարունակվելու է կիրառվել հակակոռուպցիոն ռազմավարության իրականացման հրապարակային, թափանցիկ, նորարար և հասարակության ակտիվ մասնակցության վրա հիմնված մոնիթորինգի ու գնահատման համակարգ, որը շարունակական հիմունքներով կատարելագործվելու է։</w:t>
      </w:r>
    </w:p>
    <w:p w14:paraId="02DF0B71" w14:textId="5CE3D37B" w:rsidR="00C47F1F" w:rsidRPr="00E04728" w:rsidRDefault="00C47F1F" w:rsidP="00FB46C4">
      <w:pPr>
        <w:pStyle w:val="NormalWeb"/>
        <w:numPr>
          <w:ilvl w:val="0"/>
          <w:numId w:val="10"/>
        </w:numPr>
        <w:shd w:val="clear" w:color="auto" w:fill="FFFFFF"/>
        <w:tabs>
          <w:tab w:val="left" w:pos="0"/>
          <w:tab w:val="left" w:pos="270"/>
          <w:tab w:val="left" w:pos="567"/>
          <w:tab w:val="left" w:pos="851"/>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 xml:space="preserve">  Մոնիթորինգի և գնահատման ինստիտուցիոնալ համակարգը ներառում է Հակակոռուպցիոն քաղաքականության խորհուրդը, Արդարադատության նախարարությունը, Միջոցառումների ծրագրի կատարող մարմինները՝ հանձինս այդ մարմինների Հակակոռուպցիոն ծրագրերի պատասխանատուների:</w:t>
      </w:r>
    </w:p>
    <w:p w14:paraId="41C6AF50" w14:textId="45709583" w:rsidR="00C47F1F" w:rsidRPr="00E04728" w:rsidRDefault="00C47F1F" w:rsidP="00FB46C4">
      <w:pPr>
        <w:pStyle w:val="NormalWeb"/>
        <w:numPr>
          <w:ilvl w:val="0"/>
          <w:numId w:val="10"/>
        </w:numPr>
        <w:shd w:val="clear" w:color="auto" w:fill="FFFFFF"/>
        <w:tabs>
          <w:tab w:val="left" w:pos="0"/>
          <w:tab w:val="left" w:pos="270"/>
          <w:tab w:val="left" w:pos="567"/>
          <w:tab w:val="left" w:pos="851"/>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Ռազմավարության և Միջոցառումների ծրագրի հանրապետական մակարդակում մոնիթորինգի և գնահատման գործառույթներն իրականացնում է Հայաստանի Հանրապետության արդարադատության նախարարության</w:t>
      </w:r>
      <w:r w:rsidR="009B7346">
        <w:rPr>
          <w:rFonts w:ascii="GHEA Grapalat" w:hAnsi="GHEA Grapalat"/>
          <w:color w:val="000000" w:themeColor="text1"/>
          <w:lang w:val="hy-AM"/>
        </w:rPr>
        <w:t xml:space="preserve"> </w:t>
      </w:r>
      <w:r w:rsidRPr="00E04728">
        <w:rPr>
          <w:rFonts w:ascii="GHEA Grapalat" w:hAnsi="GHEA Grapalat"/>
          <w:color w:val="000000" w:themeColor="text1"/>
          <w:lang w:val="hy-AM"/>
        </w:rPr>
        <w:t>հակակոռուպցիոն քաղաքականության մշակման, մոնիթորինգի և գնահատման համար պատասխանատու ստորաբաժանումը՝ որպես հակակոռուպցիոն քաղաքականության մշակման, մոնիթորինգի և գնահատման մասնագիտացված հակակոռուպցիոն ինստիտուցիոնալ համակարգի մարմին։ Ստորաբաժանումը մոնիթորինգի, գնահատման և համակարգման շրջանակներում ապահովում է հետևյալ հիմնական գործառույթների իրականացումը.</w:t>
      </w:r>
    </w:p>
    <w:p w14:paraId="7E4071EB" w14:textId="0B24AD84" w:rsidR="00C47F1F" w:rsidRPr="00E04728" w:rsidRDefault="00C47F1F" w:rsidP="004D3DCD">
      <w:pPr>
        <w:pStyle w:val="NormalWeb"/>
        <w:numPr>
          <w:ilvl w:val="0"/>
          <w:numId w:val="12"/>
        </w:numPr>
        <w:shd w:val="clear" w:color="auto" w:fill="FFFFFF"/>
        <w:tabs>
          <w:tab w:val="left" w:pos="0"/>
          <w:tab w:val="left" w:pos="567"/>
          <w:tab w:val="left" w:pos="851"/>
          <w:tab w:val="left" w:pos="993"/>
        </w:tabs>
        <w:spacing w:before="0" w:beforeAutospacing="0" w:after="0" w:afterAutospacing="0" w:line="276" w:lineRule="auto"/>
        <w:ind w:left="0" w:firstLine="567"/>
        <w:jc w:val="both"/>
        <w:rPr>
          <w:rFonts w:ascii="GHEA Grapalat" w:hAnsi="GHEA Grapalat"/>
          <w:lang w:val="hy-AM"/>
        </w:rPr>
      </w:pPr>
      <w:r w:rsidRPr="00E04728">
        <w:rPr>
          <w:rFonts w:ascii="GHEA Grapalat" w:hAnsi="GHEA Grapalat"/>
          <w:lang w:val="hy-AM"/>
        </w:rPr>
        <w:t>իրականացնում է հակակոռուպցիոն ոլորտի գործընթացների, հակակոռուպցիոն միջազգային պարտավորությունների մոնիթորինգ, հակակոռուպցիոն ռազմավարության և դրանից բխող միջոցառումների մոնիթորինգ,</w:t>
      </w:r>
      <w:r w:rsidRPr="00E04728">
        <w:rPr>
          <w:rFonts w:ascii="GHEA Grapalat" w:hAnsi="GHEA Grapalat"/>
          <w:color w:val="000000"/>
          <w:shd w:val="clear" w:color="auto" w:fill="FFFFFF"/>
          <w:lang w:val="hy-AM"/>
        </w:rPr>
        <w:t xml:space="preserve"> </w:t>
      </w:r>
      <w:r w:rsidRPr="00E04728">
        <w:rPr>
          <w:rFonts w:ascii="GHEA Grapalat" w:hAnsi="GHEA Grapalat"/>
          <w:lang w:val="hy-AM"/>
        </w:rPr>
        <w:t>ռազմավարության և դրա իրականացման միջոցառումների ծրագրի կատարման մոնիթորինգ և գնահատում, դրանց հիման վրա զեկույցների կազմում, համապատասխան մարմիններին ներկայացում միջոցառումների կատարմանն ուղղված առաջարկությունները</w:t>
      </w:r>
      <w:r w:rsidRPr="00E04728">
        <w:rPr>
          <w:rFonts w:ascii="MS Mincho" w:eastAsia="MS Mincho" w:hAnsi="MS Mincho" w:cs="MS Mincho" w:hint="eastAsia"/>
          <w:lang w:val="hy-AM"/>
        </w:rPr>
        <w:t>․</w:t>
      </w:r>
    </w:p>
    <w:p w14:paraId="095F3DC2" w14:textId="77777777" w:rsidR="00C47F1F" w:rsidRPr="00E04728" w:rsidRDefault="00C47F1F" w:rsidP="004D3DCD">
      <w:pPr>
        <w:pStyle w:val="NormalWeb"/>
        <w:numPr>
          <w:ilvl w:val="0"/>
          <w:numId w:val="12"/>
        </w:numPr>
        <w:shd w:val="clear" w:color="auto" w:fill="FFFFFF"/>
        <w:tabs>
          <w:tab w:val="left" w:pos="0"/>
          <w:tab w:val="left" w:pos="567"/>
          <w:tab w:val="left" w:pos="993"/>
        </w:tabs>
        <w:spacing w:before="0" w:beforeAutospacing="0" w:after="0" w:afterAutospacing="0" w:line="276" w:lineRule="auto"/>
        <w:ind w:left="0" w:firstLine="567"/>
        <w:jc w:val="both"/>
        <w:rPr>
          <w:rFonts w:ascii="GHEA Grapalat" w:hAnsi="GHEA Grapalat"/>
          <w:lang w:val="hy-AM"/>
        </w:rPr>
      </w:pPr>
      <w:r w:rsidRPr="00E04728">
        <w:rPr>
          <w:rFonts w:ascii="GHEA Grapalat" w:hAnsi="GHEA Grapalat"/>
          <w:color w:val="000000"/>
          <w:shd w:val="clear" w:color="auto" w:fill="FFFFFF"/>
          <w:lang w:val="hy-AM"/>
        </w:rPr>
        <w:t xml:space="preserve">տրամադրում է մեթոդական և մասնագիտական աջակցություն հանրապետական իշխանության մարմինների, պետական կառավարման համակարգի մարմինների և տեղական ինքնակառավարման մարմինների, Ազգային ժողովի, Հանրապետության նախագահի և Վարչապետի աշխատակազմերի՝ Հակակոռուպցիոն ծրագրերի պատասխանատուներին և վերջիններիս փոխարինող անձանց, համակարգում է նշյալ </w:t>
      </w:r>
      <w:r w:rsidRPr="00E04728">
        <w:rPr>
          <w:rFonts w:ascii="GHEA Grapalat" w:hAnsi="GHEA Grapalat"/>
          <w:color w:val="000000"/>
          <w:shd w:val="clear" w:color="auto" w:fill="FFFFFF"/>
          <w:lang w:val="hy-AM"/>
        </w:rPr>
        <w:lastRenderedPageBreak/>
        <w:t>անձանց կողմից հակակոռուպցիոն միջազգային պարտավորությունների շրջանակում իրականացվող աշխատանքները</w:t>
      </w:r>
      <w:r w:rsidRPr="00E04728">
        <w:rPr>
          <w:rFonts w:ascii="MS Mincho" w:eastAsia="MS Mincho" w:hAnsi="MS Mincho" w:cs="MS Mincho" w:hint="eastAsia"/>
          <w:color w:val="000000"/>
          <w:shd w:val="clear" w:color="auto" w:fill="FFFFFF"/>
          <w:lang w:val="hy-AM"/>
        </w:rPr>
        <w:t>․</w:t>
      </w:r>
    </w:p>
    <w:p w14:paraId="25D0F8D8" w14:textId="77777777" w:rsidR="00C47F1F" w:rsidRPr="00E04728" w:rsidRDefault="00C47F1F" w:rsidP="004D3DCD">
      <w:pPr>
        <w:pStyle w:val="NormalWeb"/>
        <w:numPr>
          <w:ilvl w:val="0"/>
          <w:numId w:val="12"/>
        </w:numPr>
        <w:shd w:val="clear" w:color="auto" w:fill="FFFFFF"/>
        <w:tabs>
          <w:tab w:val="left" w:pos="0"/>
          <w:tab w:val="left" w:pos="567"/>
          <w:tab w:val="left" w:pos="993"/>
        </w:tabs>
        <w:spacing w:before="0" w:beforeAutospacing="0" w:after="0" w:afterAutospacing="0" w:line="276" w:lineRule="auto"/>
        <w:ind w:left="0" w:firstLine="567"/>
        <w:jc w:val="both"/>
        <w:rPr>
          <w:rFonts w:ascii="GHEA Grapalat" w:hAnsi="GHEA Grapalat"/>
          <w:lang w:val="hy-AM"/>
        </w:rPr>
      </w:pPr>
      <w:r w:rsidRPr="00E04728">
        <w:rPr>
          <w:rFonts w:ascii="GHEA Grapalat" w:hAnsi="GHEA Grapalat"/>
          <w:color w:val="000000"/>
          <w:shd w:val="clear" w:color="auto" w:fill="FFFFFF"/>
          <w:lang w:val="hy-AM"/>
        </w:rPr>
        <w:t>համակարգում է հակակոռուպցիոն ռազմավարության իրականացման գործընթացը՝ կատարող մարմինների Հակակոռուպցիոն ծրագրերի պատասխանատուների հետ համագործակցության շրջանակում.</w:t>
      </w:r>
    </w:p>
    <w:p w14:paraId="5CE7473D" w14:textId="77777777" w:rsidR="00C47F1F" w:rsidRPr="00E04728" w:rsidRDefault="00C47F1F" w:rsidP="004D3DCD">
      <w:pPr>
        <w:pStyle w:val="NormalWeb"/>
        <w:numPr>
          <w:ilvl w:val="0"/>
          <w:numId w:val="12"/>
        </w:numPr>
        <w:shd w:val="clear" w:color="auto" w:fill="FFFFFF"/>
        <w:tabs>
          <w:tab w:val="left" w:pos="0"/>
          <w:tab w:val="left" w:pos="567"/>
          <w:tab w:val="left" w:pos="993"/>
        </w:tabs>
        <w:spacing w:before="0" w:beforeAutospacing="0" w:after="0" w:afterAutospacing="0" w:line="276" w:lineRule="auto"/>
        <w:ind w:left="0" w:firstLine="567"/>
        <w:jc w:val="both"/>
        <w:rPr>
          <w:rFonts w:ascii="GHEA Grapalat" w:hAnsi="GHEA Grapalat"/>
          <w:lang w:val="hy-AM"/>
        </w:rPr>
      </w:pPr>
      <w:r w:rsidRPr="00E04728">
        <w:rPr>
          <w:rFonts w:ascii="GHEA Grapalat" w:hAnsi="GHEA Grapalat"/>
          <w:color w:val="000000"/>
          <w:shd w:val="clear" w:color="auto" w:fill="FFFFFF"/>
          <w:lang w:val="hy-AM"/>
        </w:rPr>
        <w:t>համակարգում է Արդարադատության նախարարության իրավասության շրջանակներում իրականացվող հակակոռուպցիոն միջոցառումների և հակակոռուպցիոն ոլորտի միջազգային պարտավորությունների կատարմանն ուղղված աշխատանքները.</w:t>
      </w:r>
    </w:p>
    <w:p w14:paraId="2FA4E805" w14:textId="19215C26" w:rsidR="00C47F1F" w:rsidRPr="00E04728" w:rsidRDefault="00C47F1F" w:rsidP="004D3DCD">
      <w:pPr>
        <w:pStyle w:val="NormalWeb"/>
        <w:numPr>
          <w:ilvl w:val="0"/>
          <w:numId w:val="12"/>
        </w:numPr>
        <w:shd w:val="clear" w:color="auto" w:fill="FFFFFF"/>
        <w:tabs>
          <w:tab w:val="left" w:pos="0"/>
          <w:tab w:val="left" w:pos="567"/>
          <w:tab w:val="left" w:pos="993"/>
        </w:tabs>
        <w:spacing w:before="0" w:beforeAutospacing="0" w:after="0" w:afterAutospacing="0" w:line="276" w:lineRule="auto"/>
        <w:ind w:left="0" w:firstLine="567"/>
        <w:jc w:val="both"/>
        <w:rPr>
          <w:rFonts w:ascii="GHEA Grapalat" w:hAnsi="GHEA Grapalat"/>
          <w:lang w:val="hy-AM"/>
        </w:rPr>
      </w:pPr>
      <w:r w:rsidRPr="00E04728">
        <w:rPr>
          <w:rFonts w:ascii="GHEA Grapalat" w:hAnsi="GHEA Grapalat"/>
          <w:lang w:val="hy-AM"/>
        </w:rPr>
        <w:t>ապահովում է հակակոռուպցիոն միջազգային պարտավորությունների գնահատման շրջանակներում Ազգային համակարգումը, դրա շրջանակում հարցաշարերի մշակման, ինքնագնահատման զեկույցների կազմում և այլ անհրաժեշտ աշխատանքների իրականացում</w:t>
      </w:r>
      <w:r w:rsidRPr="00E04728">
        <w:rPr>
          <w:rFonts w:ascii="MS Mincho" w:eastAsia="MS Mincho" w:hAnsi="MS Mincho" w:cs="MS Mincho" w:hint="eastAsia"/>
          <w:lang w:val="hy-AM"/>
        </w:rPr>
        <w:t>․</w:t>
      </w:r>
    </w:p>
    <w:p w14:paraId="6465E121" w14:textId="77777777" w:rsidR="00C47F1F" w:rsidRPr="00E04728" w:rsidRDefault="00C47F1F" w:rsidP="00FB46C4">
      <w:pPr>
        <w:pStyle w:val="Style7"/>
        <w:widowControl/>
        <w:numPr>
          <w:ilvl w:val="0"/>
          <w:numId w:val="12"/>
        </w:numPr>
        <w:tabs>
          <w:tab w:val="left" w:pos="0"/>
          <w:tab w:val="left" w:pos="567"/>
          <w:tab w:val="left" w:pos="851"/>
        </w:tabs>
        <w:spacing w:line="276" w:lineRule="auto"/>
        <w:ind w:left="0" w:firstLine="567"/>
        <w:jc w:val="both"/>
        <w:rPr>
          <w:rFonts w:ascii="GHEA Grapalat" w:hAnsi="GHEA Grapalat"/>
          <w:color w:val="0D0D0D" w:themeColor="text1" w:themeTint="F2"/>
          <w:lang w:val="hy-AM"/>
        </w:rPr>
      </w:pPr>
      <w:r w:rsidRPr="00E04728">
        <w:rPr>
          <w:rFonts w:ascii="GHEA Grapalat" w:hAnsi="GHEA Grapalat"/>
          <w:color w:val="0D0D0D" w:themeColor="text1" w:themeTint="F2"/>
          <w:lang w:val="hy-AM"/>
        </w:rPr>
        <w:t>կազմակերպում է Հակակոռուպցիոն քաղաքականության խորհրդի աշխատանքները</w:t>
      </w:r>
      <w:r w:rsidRPr="00E04728">
        <w:rPr>
          <w:rFonts w:ascii="GHEA Grapalat" w:eastAsia="MS Gothic" w:hAnsi="GHEA Grapalat"/>
          <w:color w:val="0D0D0D" w:themeColor="text1" w:themeTint="F2"/>
          <w:lang w:val="hy-AM"/>
        </w:rPr>
        <w:t xml:space="preserve">, </w:t>
      </w:r>
      <w:r w:rsidRPr="00E04728">
        <w:rPr>
          <w:rFonts w:ascii="GHEA Grapalat" w:hAnsi="GHEA Grapalat"/>
          <w:color w:val="0D0D0D" w:themeColor="text1" w:themeTint="F2"/>
          <w:lang w:val="hy-AM"/>
        </w:rPr>
        <w:t xml:space="preserve">իրականացնում Հակակոռուպցիոն քաղաքականության խորհրդի </w:t>
      </w:r>
      <w:r w:rsidRPr="00E04728">
        <w:rPr>
          <w:rFonts w:ascii="GHEA Grapalat" w:hAnsi="GHEA Grapalat"/>
          <w:color w:val="000000"/>
          <w:shd w:val="clear" w:color="auto" w:fill="FFFFFF"/>
          <w:lang w:val="hy-AM"/>
        </w:rPr>
        <w:t>քարտուղարության աշխատանքները (բացառությամբ՝ նիստերի կազմակերպման հետ կապված տեխնիկական աշխատանքների).</w:t>
      </w:r>
    </w:p>
    <w:p w14:paraId="337A9C9C" w14:textId="77777777" w:rsidR="00C47F1F" w:rsidRPr="00E04728" w:rsidRDefault="00C47F1F" w:rsidP="00FB46C4">
      <w:pPr>
        <w:pStyle w:val="Style7"/>
        <w:widowControl/>
        <w:tabs>
          <w:tab w:val="left" w:pos="0"/>
          <w:tab w:val="left" w:pos="567"/>
          <w:tab w:val="left" w:pos="851"/>
        </w:tabs>
        <w:spacing w:line="276" w:lineRule="auto"/>
        <w:ind w:firstLine="567"/>
        <w:jc w:val="both"/>
        <w:rPr>
          <w:rFonts w:ascii="GHEA Grapalat" w:hAnsi="GHEA Grapalat"/>
          <w:color w:val="0D0D0D" w:themeColor="text1" w:themeTint="F2"/>
          <w:lang w:val="hy-AM"/>
        </w:rPr>
      </w:pPr>
      <w:r w:rsidRPr="00E04728">
        <w:rPr>
          <w:rFonts w:ascii="GHEA Grapalat" w:hAnsi="GHEA Grapalat"/>
          <w:lang w:val="hy-AM"/>
        </w:rPr>
        <w:t>Այսպիսով, Ստորաբաժանման գործառույթները ներառում են, ըստ էության, հակակոռուպցիոն մոնիթորինգի և գնահամանն առնչվող բոլոր գործառույթները, միջազգային պարտավորությունների շրջանակում աշխատանքների ապահովումը, համակարգումը և հաշվետվողականությունը, հակակոռուպցիոն ծրագրերի պատասխանատուներին մեթոդական աջակցության ապահովումը և վերջիններիս աշխատանքի համակարգումը, հակակոռուպցիոն ծրագրերի կատարման նկատմամբ հսկողությունը։</w:t>
      </w:r>
    </w:p>
    <w:p w14:paraId="2AD7B277" w14:textId="4F5398B7" w:rsidR="00C47F1F" w:rsidRPr="00E04728" w:rsidRDefault="00C47F1F" w:rsidP="00FB46C4">
      <w:pPr>
        <w:pStyle w:val="NormalWeb"/>
        <w:numPr>
          <w:ilvl w:val="0"/>
          <w:numId w:val="10"/>
        </w:numPr>
        <w:shd w:val="clear" w:color="auto" w:fill="FFFFFF"/>
        <w:tabs>
          <w:tab w:val="left" w:pos="0"/>
          <w:tab w:val="left" w:pos="270"/>
          <w:tab w:val="left" w:pos="567"/>
          <w:tab w:val="left" w:pos="851"/>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lang w:val="hy-AM"/>
        </w:rPr>
        <w:t xml:space="preserve">Հակակոռուպցիոն ծրագրերի պատասխանատուները Ռազմավարության և միջոցառումների ծրագրի իրականացման համար պատասխանատու՝ կատարող մարմնի՝ </w:t>
      </w:r>
      <w:r w:rsidRPr="00E04728">
        <w:rPr>
          <w:rFonts w:ascii="GHEA Grapalat" w:hAnsi="GHEA Grapalat"/>
          <w:color w:val="000000"/>
          <w:shd w:val="clear" w:color="auto" w:fill="FFFFFF"/>
          <w:lang w:val="hy-AM"/>
        </w:rPr>
        <w:t>«Հանրային ծառայության մասին» օրենքի 7.1-րդ գլխող նախատեսված անձինք/ստորաբաժանում են, որոնք ներգերատեսչական մակարդակում ապահովում են համապատասխան պետական կամ տեղական ինքնակառավարման մարմնի իրավասության շրջանակներում իրականացվող հակակոռուպցիոն միջոցառումների և այդ մարմինների կողմից հակակոռուպցիոն ոլորտի միջազգային պարտավորությունների կատարմանն ուղղված աշխատանքների համակարգումը, ներառյալ դրա շրջանակում հաշվետվությունների և իքնանգահատամն զեկույցների կազմումը:</w:t>
      </w:r>
    </w:p>
    <w:p w14:paraId="58EDDB44" w14:textId="43196BCD" w:rsidR="00C47F1F" w:rsidRPr="0056703A" w:rsidRDefault="00C47F1F" w:rsidP="00BA6EE5">
      <w:pPr>
        <w:pStyle w:val="NormalWeb"/>
        <w:numPr>
          <w:ilvl w:val="0"/>
          <w:numId w:val="10"/>
        </w:numPr>
        <w:shd w:val="clear" w:color="auto" w:fill="FFFFFF"/>
        <w:tabs>
          <w:tab w:val="left" w:pos="0"/>
          <w:tab w:val="left" w:pos="270"/>
          <w:tab w:val="left" w:pos="567"/>
          <w:tab w:val="left" w:pos="851"/>
        </w:tabs>
        <w:spacing w:before="0" w:beforeAutospacing="0" w:after="0" w:afterAutospacing="0" w:line="276" w:lineRule="auto"/>
        <w:ind w:left="0" w:right="-144" w:firstLine="567"/>
        <w:jc w:val="both"/>
        <w:rPr>
          <w:lang w:val="hy-AM"/>
        </w:rPr>
      </w:pPr>
      <w:r w:rsidRPr="00E04728">
        <w:rPr>
          <w:rFonts w:ascii="GHEA Grapalat" w:hAnsi="GHEA Grapalat"/>
          <w:lang w:val="hy-AM"/>
        </w:rPr>
        <w:t>Հակակոռուպցիոն մոնիթորին</w:t>
      </w:r>
      <w:r w:rsidR="009B7346">
        <w:rPr>
          <w:rFonts w:ascii="GHEA Grapalat" w:hAnsi="GHEA Grapalat"/>
          <w:lang w:val="hy-AM"/>
        </w:rPr>
        <w:t>գ</w:t>
      </w:r>
      <w:r w:rsidRPr="00E04728">
        <w:rPr>
          <w:rFonts w:ascii="GHEA Grapalat" w:hAnsi="GHEA Grapalat"/>
          <w:lang w:val="hy-AM"/>
        </w:rPr>
        <w:t>ի և գնահատման գործընթացում շարունակելու է դերակատարում ունենալ նաև դեռևս 2019 թվականին ստեղծված Հակակոռուպցիոն քաղաքականության խորհուրդը</w:t>
      </w:r>
      <w:r w:rsidR="009B7346">
        <w:rPr>
          <w:rFonts w:ascii="GHEA Grapalat" w:hAnsi="GHEA Grapalat"/>
          <w:lang w:val="hy-AM"/>
        </w:rPr>
        <w:t>:</w:t>
      </w:r>
    </w:p>
    <w:p w14:paraId="38019665" w14:textId="77777777" w:rsidR="00C47F1F" w:rsidRPr="00E04728" w:rsidRDefault="00C47F1F" w:rsidP="00FB46C4">
      <w:pPr>
        <w:shd w:val="clear" w:color="auto" w:fill="FFFFFF"/>
        <w:tabs>
          <w:tab w:val="left" w:pos="0"/>
          <w:tab w:val="left" w:pos="567"/>
        </w:tabs>
        <w:spacing w:line="276" w:lineRule="auto"/>
        <w:jc w:val="center"/>
      </w:pPr>
    </w:p>
    <w:p w14:paraId="2FF3809A" w14:textId="4E9BCA23" w:rsidR="00C47F1F" w:rsidRPr="00E04728" w:rsidRDefault="00C47F1F" w:rsidP="00FB46C4">
      <w:pPr>
        <w:pStyle w:val="ListParagraph"/>
        <w:numPr>
          <w:ilvl w:val="0"/>
          <w:numId w:val="13"/>
        </w:numPr>
        <w:tabs>
          <w:tab w:val="left" w:pos="0"/>
          <w:tab w:val="left" w:pos="284"/>
          <w:tab w:val="left" w:pos="426"/>
          <w:tab w:val="left" w:pos="567"/>
          <w:tab w:val="left" w:pos="709"/>
          <w:tab w:val="left" w:pos="993"/>
        </w:tabs>
        <w:spacing w:line="276" w:lineRule="auto"/>
        <w:ind w:left="0" w:firstLine="567"/>
        <w:rPr>
          <w:b/>
          <w:color w:val="000000" w:themeColor="text1"/>
        </w:rPr>
      </w:pPr>
      <w:r w:rsidRPr="00E04728">
        <w:rPr>
          <w:b/>
          <w:color w:val="000000" w:themeColor="text1"/>
        </w:rPr>
        <w:lastRenderedPageBreak/>
        <w:t>Հակակոռուպցիոն ռազմավարության և դրա իրականացման գործողությունների ծրագրի մոնիթորինգի և գնահատման ընթացակարգը, գնահատման մեթոդաբանությունը</w:t>
      </w:r>
    </w:p>
    <w:p w14:paraId="2B995A9B" w14:textId="77777777" w:rsidR="00C47F1F" w:rsidRPr="00E04728" w:rsidRDefault="00C47F1F" w:rsidP="00FB46C4">
      <w:pPr>
        <w:tabs>
          <w:tab w:val="left" w:pos="142"/>
          <w:tab w:val="left" w:pos="284"/>
          <w:tab w:val="left" w:pos="426"/>
          <w:tab w:val="left" w:pos="567"/>
          <w:tab w:val="left" w:pos="709"/>
          <w:tab w:val="left" w:pos="993"/>
        </w:tabs>
        <w:spacing w:line="276" w:lineRule="auto"/>
        <w:rPr>
          <w:color w:val="000000" w:themeColor="text1"/>
        </w:rPr>
      </w:pPr>
    </w:p>
    <w:p w14:paraId="3535AACD" w14:textId="77777777" w:rsidR="00C47F1F" w:rsidRPr="00E04728" w:rsidRDefault="00C47F1F" w:rsidP="00FB46C4">
      <w:pPr>
        <w:pStyle w:val="NormalWeb"/>
        <w:numPr>
          <w:ilvl w:val="0"/>
          <w:numId w:val="11"/>
        </w:numPr>
        <w:shd w:val="clear" w:color="auto" w:fill="FFFFFF"/>
        <w:tabs>
          <w:tab w:val="left" w:pos="142"/>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 xml:space="preserve">Ռազմավարության և Միջոցառումների ծրագրի մոնիթորինգի և գնահատման գործառույթներն իրականացնում է Ստորաբաժանումը՝ Ռազմավարության և Միջոցառումների ծրագրի կատարող մարմինների (այսուհետ նաև՝ կատարող մարմիններ), ինչպես նաև ադ մարմինների Հակակոռուպցիոն ծրագերի պատասխանատուների կողմից ներկայացված տեղեկատվության, ինքնագնահատման հաշվետվությունների, հակակոռուպցիոն ոլորտի միջազգային պարտավորությունների շրջանակներում Հայաստանի գնահատման զեկույցների, քաղաքացիական հասարակության կողմից կատարված մոնիթորինգի այլընտրանքային զեկույցների և Նախարարությանը հասանելի այլ տեղեկությունների հիման վրա: Մոնիթորինգի և գնահատման արդյունքներն ամփոփվում են հաշվետվություններում (զեկույցներում): </w:t>
      </w:r>
    </w:p>
    <w:p w14:paraId="66E640AE"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 xml:space="preserve">Մոնիթորինգն իրականացվում է կիսամյակային և տարեկան կտրվածքով: Կիսամյակային մոնիթորինգի շրջանակներում ուսումնասիրվում է Միջոցառումների կատարման ընթացքը և վեր են հանվում կատարմանը խոչընդոտող հանգամանքները: Տարեկան կտրվածքով իրականացվում է միջանկյալ ժամանակահատվածի արդյունքային մոնիթորինգ, ինչպես նաև՝ գործոնային մոնիթորինգ ու գնահատում: Արդյունքային մոնիթորինգն իրականացվում է ըստ Ռազմավարությամբ առաջադրված հիմնական խնդիրների լուծմանը միտված արդյունքային մոնիթորինգի ցուցիչների: Գործոնային մոնիթորինգի և գնահատման շրջանակներում ուսումնասիրվում և գնահատվում է Միջոցառումների ծրագրի կատարումը՝ հիմք ընդունելով յուրաքանչյուր միջոցառման համար սահմանված գործոնային ցուցիչները: </w:t>
      </w:r>
    </w:p>
    <w:p w14:paraId="2A4C349F"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 xml:space="preserve">Գործոնային մոնիթորինգը և գնահատումն արտահայտում է Ռազմավարության իրականացման արդյունքն արտացոլող հիմնական ցուցանիշը: Գործոնային մոնիթորինգը և գնահատումն իրականացվում է ոչ միայն Նախարարության, այլև՝ Կատարող մարմինների կողմից: </w:t>
      </w:r>
    </w:p>
    <w:p w14:paraId="488B7055"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 xml:space="preserve">Գործոնային մոնիթորինգի շրջանակում յուրաքանչյուր միջոցառման կատարման գնահատման արդյունքներն արտացոլվում են հետևյալ ցուցանիշներով՝ </w:t>
      </w:r>
    </w:p>
    <w:p w14:paraId="28614C0A" w14:textId="77777777" w:rsidR="00C47F1F" w:rsidRPr="00E04728" w:rsidRDefault="00C47F1F" w:rsidP="00FB46C4">
      <w:pPr>
        <w:pStyle w:val="NormalWeb"/>
        <w:shd w:val="clear" w:color="auto" w:fill="FFFFFF"/>
        <w:tabs>
          <w:tab w:val="left" w:pos="0"/>
          <w:tab w:val="left" w:pos="567"/>
          <w:tab w:val="left" w:pos="993"/>
        </w:tabs>
        <w:spacing w:before="0" w:beforeAutospacing="0" w:after="0" w:afterAutospacing="0" w:line="276" w:lineRule="auto"/>
        <w:ind w:right="-144" w:firstLine="567"/>
        <w:jc w:val="both"/>
        <w:rPr>
          <w:rFonts w:ascii="GHEA Grapalat" w:hAnsi="GHEA Grapalat"/>
          <w:color w:val="000000" w:themeColor="text1"/>
          <w:lang w:val="hy-AM"/>
        </w:rPr>
      </w:pPr>
      <w:r w:rsidRPr="00E04728">
        <w:rPr>
          <w:rFonts w:ascii="GHEA Grapalat" w:hAnsi="GHEA Grapalat"/>
          <w:color w:val="000000" w:themeColor="text1"/>
          <w:lang w:val="hy-AM"/>
        </w:rPr>
        <w:t xml:space="preserve">(1) ամբողջությամբ կատարված է (դիտարկվող ժամանակահատվածի համար միջոցառմամբ նախատեսված աշխատանքների 91-100%-ը կատարվել են), </w:t>
      </w:r>
    </w:p>
    <w:p w14:paraId="37AEE956" w14:textId="77777777" w:rsidR="00C47F1F" w:rsidRPr="00E04728" w:rsidRDefault="00C47F1F" w:rsidP="00FB46C4">
      <w:pPr>
        <w:pStyle w:val="NormalWeb"/>
        <w:shd w:val="clear" w:color="auto" w:fill="FFFFFF"/>
        <w:tabs>
          <w:tab w:val="left" w:pos="0"/>
          <w:tab w:val="left" w:pos="567"/>
          <w:tab w:val="left" w:pos="993"/>
        </w:tabs>
        <w:spacing w:before="0" w:beforeAutospacing="0" w:after="0" w:afterAutospacing="0" w:line="276" w:lineRule="auto"/>
        <w:ind w:right="-144" w:firstLine="567"/>
        <w:jc w:val="both"/>
        <w:rPr>
          <w:rFonts w:ascii="GHEA Grapalat" w:hAnsi="GHEA Grapalat"/>
          <w:color w:val="000000" w:themeColor="text1"/>
          <w:lang w:val="hy-AM"/>
        </w:rPr>
      </w:pPr>
      <w:r w:rsidRPr="00E04728">
        <w:rPr>
          <w:rFonts w:ascii="GHEA Grapalat" w:hAnsi="GHEA Grapalat"/>
          <w:color w:val="000000" w:themeColor="text1"/>
          <w:lang w:val="hy-AM"/>
        </w:rPr>
        <w:t>(2) կատարված է մեծամասամբ (դիտարկվող ժամանակահատվածի համար միջոցառմամբ նախատեսված աշխատանքների 61-90%-ը կատարվել են),</w:t>
      </w:r>
    </w:p>
    <w:p w14:paraId="4C3A4994" w14:textId="77777777" w:rsidR="00C47F1F" w:rsidRPr="00E04728" w:rsidRDefault="00C47F1F" w:rsidP="00FB46C4">
      <w:pPr>
        <w:pStyle w:val="NormalWeb"/>
        <w:shd w:val="clear" w:color="auto" w:fill="FFFFFF"/>
        <w:tabs>
          <w:tab w:val="left" w:pos="0"/>
          <w:tab w:val="left" w:pos="567"/>
          <w:tab w:val="left" w:pos="993"/>
        </w:tabs>
        <w:spacing w:before="0" w:beforeAutospacing="0" w:after="0" w:afterAutospacing="0" w:line="276" w:lineRule="auto"/>
        <w:ind w:right="-144" w:firstLine="567"/>
        <w:jc w:val="both"/>
        <w:rPr>
          <w:rFonts w:ascii="GHEA Grapalat" w:hAnsi="GHEA Grapalat"/>
          <w:color w:val="000000" w:themeColor="text1"/>
          <w:lang w:val="hy-AM"/>
        </w:rPr>
      </w:pPr>
      <w:r w:rsidRPr="00E04728">
        <w:rPr>
          <w:rFonts w:ascii="GHEA Grapalat" w:hAnsi="GHEA Grapalat"/>
          <w:color w:val="000000" w:themeColor="text1"/>
          <w:lang w:val="hy-AM"/>
        </w:rPr>
        <w:t xml:space="preserve"> (3) կատարված է մասնակի (դիտարկվող ժամանակահատվածի համար միջոցառմամբ նախատեսված աշխատանքների 31-60%-ը կատարվել է), </w:t>
      </w:r>
    </w:p>
    <w:p w14:paraId="73259B96" w14:textId="77777777" w:rsidR="00C47F1F" w:rsidRPr="00E04728" w:rsidRDefault="00C47F1F" w:rsidP="00FB46C4">
      <w:pPr>
        <w:pStyle w:val="NormalWeb"/>
        <w:shd w:val="clear" w:color="auto" w:fill="FFFFFF"/>
        <w:tabs>
          <w:tab w:val="left" w:pos="0"/>
          <w:tab w:val="left" w:pos="567"/>
          <w:tab w:val="left" w:pos="993"/>
        </w:tabs>
        <w:spacing w:before="0" w:beforeAutospacing="0" w:after="0" w:afterAutospacing="0" w:line="276" w:lineRule="auto"/>
        <w:ind w:right="-144" w:firstLine="567"/>
        <w:jc w:val="both"/>
        <w:rPr>
          <w:rFonts w:ascii="GHEA Grapalat" w:hAnsi="GHEA Grapalat"/>
          <w:lang w:val="hy-AM"/>
        </w:rPr>
      </w:pPr>
      <w:r w:rsidRPr="00E04728">
        <w:rPr>
          <w:rFonts w:ascii="GHEA Grapalat" w:hAnsi="GHEA Grapalat"/>
          <w:color w:val="000000" w:themeColor="text1"/>
          <w:lang w:val="hy-AM"/>
        </w:rPr>
        <w:t xml:space="preserve">(4) կատարված չէ (դիտարկվող ժամանակահատվածի համար միջոցառմամբ նախատեսված որևէ աշխատանք իրականացված չէ կամ կատարվել է նախատեսված աշխատանքների մինչև 30%-ը): </w:t>
      </w:r>
    </w:p>
    <w:p w14:paraId="04CECE1F"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lastRenderedPageBreak/>
        <w:t>Գործոնային մոնիթորինգի և գնահատման շրջանակներում կատարողականի ընդհանուր ցուցանիշը հաշվարկվում է վարիացիոն շարքի համակշռված միջինի հաշվարկման մեթոդով:</w:t>
      </w:r>
    </w:p>
    <w:p w14:paraId="0CC61BDC" w14:textId="39228085"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Կատարող մարմինները յուրաքանչյուր տարվա առաջին կիսամյակի ավարտից հետո՝ 5 աշխատանքային օրվա ընթացքում սահմանված ձևաչափին համապատասխան Նախարարություն են ներկայացնում հաշվետվություն Միջոցառումների ծրագրով իրենց կողմից կատարման ենթակա աշխատանքների ընթացքի վերաբերյալ՝ նշելով յուրաքանչյուր միջոցառման իրականացմանը խոչընդոտող (երկարաձգող) հանգամանքները (մարտահրավերները):  Սույն կետում նշված տեղեկատվությունը ստանալուց հետո Նախարարությունը համադրում և ամփոփում է ներկայացված հաշվետվությունները, կազմում է մոնիթորինգի կիսամյակային զեկույց և յուրաքանչյուր տարվա առաջին կիսամյակի ավարտից հետո 20-րդ աշխատանքային օրը ապահովում է մոնիթորինգի կիսամյակային զեկույցի հրապարակումը Նախարարության կայքէջում և Հակակոռուպցիոն մոնիթորինգի էլեկտրոնային հարթակում:</w:t>
      </w:r>
    </w:p>
    <w:p w14:paraId="27277AED"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 xml:space="preserve">Կատարող մարմինները յուրաքանչյուր տարվա ավարտից հետո 10 աշխատանքային օրվա ընթացքում Նախարարություն են ներկայացնում տարեկան հաշտվություն Միջոցառումների ծրագրով իրենց կողմից կատարման ենթակա աշխատանքների վերաբերյալ՝ միաժամանակ գնահատելով իրենց կողմից միջոցառումների կատարումը: </w:t>
      </w:r>
    </w:p>
    <w:p w14:paraId="30A38BD3" w14:textId="7BA946BA" w:rsidR="00C47F1F" w:rsidRPr="00E04728" w:rsidRDefault="00BB2901"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Pr>
          <w:rFonts w:ascii="GHEA Grapalat" w:hAnsi="GHEA Grapalat"/>
          <w:color w:val="000000" w:themeColor="text1"/>
          <w:lang w:val="hy-AM"/>
        </w:rPr>
        <w:t>Տ</w:t>
      </w:r>
      <w:r w:rsidR="00C47F1F" w:rsidRPr="00E04728">
        <w:rPr>
          <w:rFonts w:ascii="GHEA Grapalat" w:hAnsi="GHEA Grapalat"/>
          <w:color w:val="000000" w:themeColor="text1"/>
          <w:lang w:val="hy-AM"/>
        </w:rPr>
        <w:t>եղեկատվությունը ստանալու</w:t>
      </w:r>
      <w:r>
        <w:rPr>
          <w:rFonts w:ascii="GHEA Grapalat" w:hAnsi="GHEA Grapalat"/>
          <w:color w:val="000000" w:themeColor="text1"/>
          <w:lang w:val="hy-AM"/>
        </w:rPr>
        <w:t>ց</w:t>
      </w:r>
      <w:r w:rsidR="00C47F1F" w:rsidRPr="00E04728">
        <w:rPr>
          <w:rFonts w:ascii="GHEA Grapalat" w:hAnsi="GHEA Grapalat"/>
          <w:color w:val="000000" w:themeColor="text1"/>
          <w:lang w:val="hy-AM"/>
        </w:rPr>
        <w:t xml:space="preserve"> հետո Նախարարության Ստորաբաժանումը վերլուծում, համադրում, ամփոփում է ներկայացված հաշվետվությունները և Նախարարությանը հասանելի այլ տեղեկությունները, իրականացնում է գնահատում, մշակում է մոնիթորինգի և գնահատման տարեկան զեկույց: </w:t>
      </w:r>
    </w:p>
    <w:p w14:paraId="0D37DA33"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 xml:space="preserve">Նախարարությունը ապահովում է նախորդ տարվա մոնիթորինգի և գնահատման տարեկան զեկույցի հրապարակումը կայքէջում և Հակակոռուպցիոն մոնիթորինգի էլեկտրոնային հարթակում ոչ ուշ, քան մինչև տվյալ տարվա մարտ ամսվա երկրորդ տասնօրյակը: </w:t>
      </w:r>
    </w:p>
    <w:p w14:paraId="32BA8103"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Մոնիթորինգի և գնահատման տարեկան զեկույցը</w:t>
      </w:r>
      <w:r w:rsidRPr="00E04728">
        <w:rPr>
          <w:rFonts w:ascii="GHEA Grapalat" w:hAnsi="GHEA Grapalat"/>
          <w:color w:val="000000" w:themeColor="text1"/>
          <w:shd w:val="clear" w:color="auto" w:fill="FFFFFF"/>
          <w:lang w:val="hy-AM"/>
        </w:rPr>
        <w:t xml:space="preserve"> ներառում է նաև հայտնաբերված թերությունները և բացթողումները, ինչպես նաև դրանց լուծմանն ուղղված առաջարկությունները: Նախարարությունը </w:t>
      </w:r>
      <w:r w:rsidRPr="00E04728">
        <w:rPr>
          <w:rFonts w:ascii="GHEA Grapalat" w:hAnsi="GHEA Grapalat"/>
          <w:color w:val="000000" w:themeColor="text1"/>
          <w:lang w:val="hy-AM"/>
        </w:rPr>
        <w:t>մոնիթորինգի և գնահատման</w:t>
      </w:r>
      <w:r w:rsidRPr="00E04728">
        <w:rPr>
          <w:rFonts w:ascii="GHEA Grapalat" w:hAnsi="GHEA Grapalat"/>
          <w:color w:val="000000" w:themeColor="text1"/>
          <w:shd w:val="clear" w:color="auto" w:fill="FFFFFF"/>
          <w:lang w:val="hy-AM"/>
        </w:rPr>
        <w:t xml:space="preserve"> </w:t>
      </w:r>
      <w:r w:rsidRPr="00E04728">
        <w:rPr>
          <w:rFonts w:ascii="GHEA Grapalat" w:hAnsi="GHEA Grapalat"/>
          <w:color w:val="000000" w:themeColor="text1"/>
          <w:lang w:val="hy-AM"/>
        </w:rPr>
        <w:t xml:space="preserve">տարեկան </w:t>
      </w:r>
      <w:r w:rsidRPr="00E04728">
        <w:rPr>
          <w:rFonts w:ascii="GHEA Grapalat" w:hAnsi="GHEA Grapalat"/>
          <w:color w:val="000000" w:themeColor="text1"/>
          <w:shd w:val="clear" w:color="auto" w:fill="FFFFFF"/>
          <w:lang w:val="hy-AM"/>
        </w:rPr>
        <w:t>զեկույցի նախագիծը մինչև հրապարակումը ներկայացնում է ոլորտային հասարակական կազմակերպություններին՝ վերջիններիս դիրքորոշումը ստանալու և դրանք տարեկան զեկույցում ներառելու նպատակով:</w:t>
      </w:r>
    </w:p>
    <w:p w14:paraId="37F4298E" w14:textId="00F3A06C"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Առավել համապարփակ ու բազմակողմանի գնահատում ունենալու նպատակով քաղաքացիական հասարակության կազմակերպությունները յուրաքանչյուր տարի կարող են իրականացնել անկախ մոնիթորինգ և գնահատում, դրանց արդյունքները ներկայացնել Նախարարություն այնպիսի ժամկետում, որ հնարավոր լինի դրանք ներառել Նախարարության կողմից մշակվող մոնիթորինգի և գնահատման զեկույցում:</w:t>
      </w:r>
      <w:r w:rsidR="00C77196" w:rsidRPr="00E04728">
        <w:rPr>
          <w:rFonts w:ascii="GHEA Grapalat" w:hAnsi="GHEA Grapalat"/>
          <w:color w:val="000000" w:themeColor="text1"/>
          <w:lang w:val="hy-AM"/>
        </w:rPr>
        <w:t xml:space="preserve"> Միաժամանակ, համադրելի կդիտարկվեն այն այլընտրանքային գնահատումները, որոնք կիրականացվեն սույն բաժնով սահմանված կարգով և մեթոդաբանությանը համաձայն:</w:t>
      </w:r>
      <w:r w:rsidRPr="00E04728">
        <w:rPr>
          <w:rFonts w:ascii="GHEA Grapalat" w:hAnsi="GHEA Grapalat"/>
          <w:color w:val="000000" w:themeColor="text1"/>
          <w:lang w:val="hy-AM"/>
        </w:rPr>
        <w:t xml:space="preserve"> </w:t>
      </w:r>
    </w:p>
    <w:p w14:paraId="2CEB01C8"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lastRenderedPageBreak/>
        <w:t xml:space="preserve">Նախարարությունը յուրաքանչյուր տարի մինչև ապրիլ ամիսը նախորդ տարվա Միջոցառումների մոնիթորինգի և գնահատման արդյունքները ներկայացնում է Խորհրդի քննարկմանը: Խորհուրդը մոնիթորինգի և գնահատման տարեկան զեկույցը ստանալուց ու քննարկելուց հետո համապատասխան կատարող մարմինների ներգրավմամբ կարող է Ռազմավարությունում ու Միջոցառումների ծրագրում փոփոխություններ կատարելու առաջարկություններ ներկայացնել: Փոփոխությունների մշակման աշխատանքները համակարգվում են Նախարարության կողմից: </w:t>
      </w:r>
    </w:p>
    <w:p w14:paraId="4EB01D4A" w14:textId="77777777"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hAnsi="GHEA Grapalat"/>
          <w:lang w:val="hy-AM"/>
        </w:rPr>
      </w:pPr>
      <w:r w:rsidRPr="00E04728">
        <w:rPr>
          <w:rFonts w:ascii="GHEA Grapalat" w:hAnsi="GHEA Grapalat"/>
          <w:color w:val="000000" w:themeColor="text1"/>
          <w:lang w:val="hy-AM"/>
        </w:rPr>
        <w:t>Ռազմավարության ու Միջոցառումների</w:t>
      </w:r>
      <w:r w:rsidRPr="00E04728" w:rsidDel="0068162F">
        <w:rPr>
          <w:rFonts w:ascii="GHEA Grapalat" w:hAnsi="GHEA Grapalat"/>
          <w:color w:val="000000" w:themeColor="text1"/>
          <w:lang w:val="hy-AM"/>
        </w:rPr>
        <w:t xml:space="preserve"> </w:t>
      </w:r>
      <w:r w:rsidRPr="00E04728">
        <w:rPr>
          <w:rFonts w:ascii="GHEA Grapalat" w:hAnsi="GHEA Grapalat"/>
          <w:color w:val="000000" w:themeColor="text1"/>
          <w:lang w:val="hy-AM"/>
        </w:rPr>
        <w:t xml:space="preserve">ծրագրի ազդեցության գնահատման նպատակով Նախարարությունը միջնաժամկետ ու երկարաժամկետ փուլերում տարբեր թիրախային խմբերում կարող է նախաձեռնել հանրային կարծիքի հարցումներ, որոնց անցկացման հիման վրա չափվում է բարեփոխումների ազդեցությունը և ներազդումը հասարակության վրա: </w:t>
      </w:r>
    </w:p>
    <w:p w14:paraId="55606C3C" w14:textId="763CD0BB" w:rsidR="00C47F1F" w:rsidRPr="00E04728" w:rsidRDefault="00C47F1F" w:rsidP="00FB46C4">
      <w:pPr>
        <w:pStyle w:val="NormalWeb"/>
        <w:numPr>
          <w:ilvl w:val="0"/>
          <w:numId w:val="11"/>
        </w:numPr>
        <w:shd w:val="clear" w:color="auto" w:fill="FFFFFF"/>
        <w:tabs>
          <w:tab w:val="left" w:pos="0"/>
          <w:tab w:val="left" w:pos="567"/>
          <w:tab w:val="left" w:pos="993"/>
        </w:tabs>
        <w:spacing w:before="0" w:beforeAutospacing="0" w:after="0" w:afterAutospacing="0" w:line="276" w:lineRule="auto"/>
        <w:ind w:left="0" w:right="-144" w:firstLine="567"/>
        <w:jc w:val="both"/>
        <w:rPr>
          <w:rFonts w:ascii="GHEA Grapalat" w:eastAsia="Calibri" w:hAnsi="GHEA Grapalat"/>
          <w:color w:val="000000" w:themeColor="text1"/>
          <w:lang w:val="hy-AM"/>
        </w:rPr>
      </w:pPr>
      <w:r w:rsidRPr="00E04728">
        <w:rPr>
          <w:rFonts w:ascii="GHEA Grapalat" w:hAnsi="GHEA Grapalat"/>
          <w:color w:val="000000" w:themeColor="text1"/>
          <w:lang w:val="hy-AM"/>
        </w:rPr>
        <w:t xml:space="preserve">Միջոցառումների ծրագրի ավարտից հետո Ստորաբաժանումը մշակում է մոնիթորինգի և գնահատման եզրափակիչ զեկույց, որի նպատակն է գնահատել հաշվետու տարիների (2023-2026 թվականների) ընթացքում իրականացված միջոցառումների արդյունքում գրանցված առաջընթացը և կատարված աշխատանքների արդյունավետությունը Ռազմավարությամբ ամրագրված խնդիրների լուծման և նպատակների իրագործման տեսանկյունից, պարզել առկա խնդիրները, բացերը և մարտահրավերները: Եզրափակիչ մոնիթորինգի և գնահատման զեկույցը մշակվում է սույն գլխով սահմանված կարգով՝ միաժամանակ հաշվի առնելով հաշվետու տարիների ընթացքում մոնիթորինգի և գնահատման զեկույցներով արձանագրված միջանկյալ արդյունքները, միջազգային կազմակերպությունների կողմից գնահատման զեկույցերը և առաջարկությունները, իրականացված հարցումների արդյունքները, միջազգային հետազոտությունները և վարկանիշային ցուցիչները: </w:t>
      </w:r>
    </w:p>
    <w:p w14:paraId="68C9971A" w14:textId="77777777" w:rsidR="00E13877" w:rsidRPr="00E04728" w:rsidRDefault="00E13877" w:rsidP="00E13877">
      <w:pPr>
        <w:pStyle w:val="NormalWeb"/>
        <w:shd w:val="clear" w:color="auto" w:fill="FFFFFF"/>
        <w:tabs>
          <w:tab w:val="left" w:pos="0"/>
          <w:tab w:val="left" w:pos="567"/>
          <w:tab w:val="left" w:pos="993"/>
        </w:tabs>
        <w:spacing w:before="0" w:beforeAutospacing="0" w:after="0" w:afterAutospacing="0" w:line="276" w:lineRule="auto"/>
        <w:ind w:left="567" w:right="-144"/>
        <w:jc w:val="both"/>
        <w:rPr>
          <w:rFonts w:ascii="GHEA Grapalat" w:eastAsia="Calibri" w:hAnsi="GHEA Grapalat"/>
          <w:color w:val="000000" w:themeColor="text1"/>
          <w:lang w:val="hy-AM"/>
        </w:rPr>
        <w:sectPr w:rsidR="00E13877" w:rsidRPr="00E04728" w:rsidSect="00272737">
          <w:pgSz w:w="11906" w:h="16838"/>
          <w:pgMar w:top="851" w:right="567" w:bottom="567" w:left="1134" w:header="709" w:footer="709" w:gutter="0"/>
          <w:cols w:space="720"/>
          <w:titlePg/>
          <w:docGrid w:linePitch="360"/>
        </w:sectPr>
      </w:pPr>
    </w:p>
    <w:p w14:paraId="4079CF2A" w14:textId="228522D6" w:rsidR="008E49EB" w:rsidRPr="00E04728" w:rsidRDefault="008E49EB" w:rsidP="00974B8E">
      <w:pPr>
        <w:pStyle w:val="Heading1"/>
        <w:spacing w:before="0" w:line="276" w:lineRule="auto"/>
        <w:ind w:firstLine="0"/>
        <w:jc w:val="center"/>
        <w:rPr>
          <w:rFonts w:ascii="GHEA Grapalat" w:hAnsi="GHEA Grapalat"/>
          <w:b/>
          <w:color w:val="000000" w:themeColor="text1"/>
          <w:sz w:val="24"/>
        </w:rPr>
      </w:pPr>
      <w:bookmarkStart w:id="37" w:name="_Toc135078495"/>
      <w:bookmarkStart w:id="38" w:name="_Toc140181775"/>
      <w:r w:rsidRPr="00E04728">
        <w:rPr>
          <w:rFonts w:ascii="GHEA Grapalat" w:hAnsi="GHEA Grapalat"/>
          <w:b/>
          <w:color w:val="000000" w:themeColor="text1"/>
          <w:sz w:val="24"/>
        </w:rPr>
        <w:lastRenderedPageBreak/>
        <w:t>ԲԱԺԻՆ IV</w:t>
      </w:r>
      <w:r w:rsidRPr="00E04728">
        <w:rPr>
          <w:rFonts w:ascii="MS Mincho" w:eastAsia="MS Mincho" w:hAnsi="MS Mincho" w:cs="MS Mincho" w:hint="eastAsia"/>
          <w:b/>
          <w:color w:val="000000" w:themeColor="text1"/>
          <w:sz w:val="24"/>
        </w:rPr>
        <w:t>․</w:t>
      </w:r>
      <w:r w:rsidRPr="00E04728">
        <w:rPr>
          <w:rFonts w:ascii="GHEA Grapalat" w:hAnsi="GHEA Grapalat"/>
          <w:b/>
          <w:color w:val="000000" w:themeColor="text1"/>
          <w:sz w:val="24"/>
        </w:rPr>
        <w:t xml:space="preserve"> ՀԱԿԱԿՈՌՈՒՊՑԻՈՆ ՌԱԶՄԱՎԱՐՈՒԹՅԱՆ ԵՎ ԻՐԱԿԱՆԱՑՄԱՆ 2023-2026ԹԹ</w:t>
      </w:r>
      <w:r w:rsidRPr="00E04728">
        <w:rPr>
          <w:rFonts w:ascii="MS Mincho" w:eastAsia="MS Mincho" w:hAnsi="MS Mincho" w:cs="MS Mincho" w:hint="eastAsia"/>
          <w:b/>
          <w:color w:val="000000" w:themeColor="text1"/>
          <w:sz w:val="24"/>
        </w:rPr>
        <w:t>․</w:t>
      </w:r>
      <w:r w:rsidRPr="00E04728">
        <w:rPr>
          <w:rFonts w:ascii="GHEA Grapalat" w:hAnsi="GHEA Grapalat"/>
          <w:b/>
          <w:color w:val="000000" w:themeColor="text1"/>
          <w:sz w:val="24"/>
        </w:rPr>
        <w:t xml:space="preserve"> ՄԻՋՈՑԱՌՈՒՄՆԵՐԻ ԾՐԱԳՐԻ ԾԱԽՍԵՐԻ ՖԻՆԱՆՍԱԿԱՆ ԳՆԱՀԱՏԱԿԱՆԸ</w:t>
      </w:r>
      <w:bookmarkEnd w:id="37"/>
      <w:bookmarkEnd w:id="38"/>
      <w:r w:rsidRPr="00E04728">
        <w:rPr>
          <w:rFonts w:ascii="GHEA Grapalat" w:hAnsi="GHEA Grapalat"/>
          <w:b/>
          <w:color w:val="000000" w:themeColor="text1"/>
          <w:sz w:val="24"/>
        </w:rPr>
        <w:t xml:space="preserve"> </w:t>
      </w:r>
    </w:p>
    <w:p w14:paraId="7E599B97" w14:textId="0F5B61BD" w:rsidR="008E49EB" w:rsidRPr="00E04728" w:rsidRDefault="008E49EB" w:rsidP="00974B8E">
      <w:pPr>
        <w:spacing w:line="276" w:lineRule="auto"/>
        <w:ind w:firstLine="0"/>
      </w:pPr>
    </w:p>
    <w:p w14:paraId="3FC14DED" w14:textId="4F33C982" w:rsidR="00C1794C" w:rsidRPr="00E04728" w:rsidRDefault="00C1794C" w:rsidP="00974B8E">
      <w:pPr>
        <w:spacing w:line="276" w:lineRule="auto"/>
      </w:pPr>
      <w:r w:rsidRPr="00E04728">
        <w:t>Սույն բաժինը կլրացվի ծախ</w:t>
      </w:r>
      <w:r w:rsidR="004C7DF5" w:rsidRPr="00E04728">
        <w:t>սերի գնահատումն իրականացնելուց հետո:</w:t>
      </w:r>
    </w:p>
    <w:sectPr w:rsidR="00C1794C" w:rsidRPr="00E04728" w:rsidSect="00272737">
      <w:pgSz w:w="11906" w:h="16838"/>
      <w:pgMar w:top="851" w:right="567" w:bottom="567"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74D11" w14:textId="77777777" w:rsidR="00416B1D" w:rsidRDefault="00416B1D" w:rsidP="00796872">
      <w:pPr>
        <w:spacing w:line="240" w:lineRule="auto"/>
      </w:pPr>
      <w:r>
        <w:separator/>
      </w:r>
    </w:p>
  </w:endnote>
  <w:endnote w:type="continuationSeparator" w:id="0">
    <w:p w14:paraId="23794840" w14:textId="77777777" w:rsidR="00416B1D" w:rsidRDefault="00416B1D" w:rsidP="00796872">
      <w:pPr>
        <w:spacing w:line="240" w:lineRule="auto"/>
      </w:pPr>
      <w:r>
        <w:continuationSeparator/>
      </w:r>
    </w:p>
  </w:endnote>
  <w:endnote w:type="continuationNotice" w:id="1">
    <w:p w14:paraId="6192EDB8" w14:textId="77777777" w:rsidR="00416B1D" w:rsidRDefault="00416B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oto Sans Symbols">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Arian AMU">
    <w:altName w:val="Microsoft Sans Serif"/>
    <w:charset w:val="00"/>
    <w:family w:val="auto"/>
    <w:pitch w:val="variable"/>
    <w:sig w:usb0="A5002EEF" w:usb1="5000000B" w:usb2="00000000"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GHEA Mariam">
    <w:altName w:val="Times New Roman"/>
    <w:panose1 w:val="00000000000000000000"/>
    <w:charset w:val="00"/>
    <w:family w:val="auto"/>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6912700"/>
      <w:docPartObj>
        <w:docPartGallery w:val="Page Numbers (Bottom of Page)"/>
        <w:docPartUnique/>
      </w:docPartObj>
    </w:sdtPr>
    <w:sdtContent>
      <w:p w14:paraId="4C372B20" w14:textId="35FE5BF0" w:rsidR="001720A3" w:rsidRDefault="001720A3" w:rsidP="000B4D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36ED36" w14:textId="77777777" w:rsidR="001720A3" w:rsidRDefault="001720A3" w:rsidP="00CB4B2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3644609"/>
      <w:docPartObj>
        <w:docPartGallery w:val="Page Numbers (Bottom of Page)"/>
        <w:docPartUnique/>
      </w:docPartObj>
    </w:sdtPr>
    <w:sdtContent>
      <w:p w14:paraId="49C3E926" w14:textId="102DB933" w:rsidR="001720A3" w:rsidRDefault="001720A3" w:rsidP="000B4D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1CA">
          <w:rPr>
            <w:rStyle w:val="PageNumber"/>
          </w:rPr>
          <w:t>21</w:t>
        </w:r>
        <w:r>
          <w:rPr>
            <w:rStyle w:val="PageNumber"/>
          </w:rPr>
          <w:fldChar w:fldCharType="end"/>
        </w:r>
      </w:p>
    </w:sdtContent>
  </w:sdt>
  <w:p w14:paraId="6ED70411" w14:textId="77777777" w:rsidR="001720A3" w:rsidRDefault="001720A3" w:rsidP="00CB4B2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A3C6" w14:textId="77777777" w:rsidR="00416B1D" w:rsidRDefault="00416B1D" w:rsidP="00796872">
      <w:pPr>
        <w:spacing w:line="240" w:lineRule="auto"/>
      </w:pPr>
      <w:r>
        <w:separator/>
      </w:r>
    </w:p>
  </w:footnote>
  <w:footnote w:type="continuationSeparator" w:id="0">
    <w:p w14:paraId="37AFD1CC" w14:textId="77777777" w:rsidR="00416B1D" w:rsidRDefault="00416B1D" w:rsidP="00796872">
      <w:pPr>
        <w:spacing w:line="240" w:lineRule="auto"/>
      </w:pPr>
      <w:r>
        <w:continuationSeparator/>
      </w:r>
    </w:p>
  </w:footnote>
  <w:footnote w:type="continuationNotice" w:id="1">
    <w:p w14:paraId="5F3D0A73" w14:textId="77777777" w:rsidR="00416B1D" w:rsidRDefault="00416B1D">
      <w:pPr>
        <w:spacing w:line="240" w:lineRule="auto"/>
      </w:pPr>
    </w:p>
  </w:footnote>
  <w:footnote w:id="2">
    <w:p w14:paraId="3CE55A60" w14:textId="77777777" w:rsidR="001720A3" w:rsidRPr="004D3DCD" w:rsidRDefault="001720A3" w:rsidP="004D3DCD">
      <w:pPr>
        <w:pStyle w:val="FootnoteText"/>
        <w:tabs>
          <w:tab w:val="left" w:pos="426"/>
        </w:tabs>
        <w:ind w:left="142" w:hanging="142"/>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ՀՀ </w:t>
      </w:r>
      <w:proofErr w:type="spellStart"/>
      <w:r w:rsidRPr="004D3DCD">
        <w:rPr>
          <w:rFonts w:ascii="GHEA Grapalat" w:hAnsi="GHEA Grapalat"/>
        </w:rPr>
        <w:t>կառավարության</w:t>
      </w:r>
      <w:proofErr w:type="spellEnd"/>
      <w:r w:rsidRPr="004D3DCD">
        <w:rPr>
          <w:rFonts w:ascii="GHEA Grapalat" w:hAnsi="GHEA Grapalat"/>
        </w:rPr>
        <w:t xml:space="preserve"> 2021-2026թթ</w:t>
      </w:r>
      <w:r w:rsidRPr="004D3DCD">
        <w:rPr>
          <w:rFonts w:ascii="MS Mincho" w:eastAsia="MS Mincho" w:hAnsi="MS Mincho" w:cs="MS Mincho" w:hint="eastAsia"/>
        </w:rPr>
        <w:t>․</w:t>
      </w:r>
      <w:r w:rsidRPr="004D3DCD">
        <w:rPr>
          <w:rFonts w:ascii="GHEA Grapalat" w:hAnsi="GHEA Grapalat"/>
        </w:rPr>
        <w:t xml:space="preserve"> </w:t>
      </w:r>
      <w:proofErr w:type="spellStart"/>
      <w:r w:rsidRPr="004D3DCD">
        <w:rPr>
          <w:rFonts w:ascii="GHEA Grapalat" w:hAnsi="GHEA Grapalat"/>
        </w:rPr>
        <w:t>ծրագիր</w:t>
      </w:r>
      <w:proofErr w:type="spellEnd"/>
      <w:r w:rsidRPr="004D3DCD">
        <w:rPr>
          <w:rFonts w:ascii="GHEA Grapalat" w:hAnsi="GHEA Grapalat"/>
        </w:rPr>
        <w:t xml:space="preserve">, </w:t>
      </w:r>
      <w:hyperlink r:id="rId1" w:history="1">
        <w:r w:rsidRPr="004D3DCD">
          <w:rPr>
            <w:rStyle w:val="Hyperlink"/>
            <w:rFonts w:ascii="GHEA Grapalat" w:hAnsi="GHEA Grapalat"/>
          </w:rPr>
          <w:t>https://www.gov.am/files/docs/4586.pdf</w:t>
        </w:r>
      </w:hyperlink>
      <w:r w:rsidRPr="004D3DCD">
        <w:rPr>
          <w:rFonts w:ascii="GHEA Grapalat" w:hAnsi="GHEA Grapalat"/>
        </w:rPr>
        <w:t xml:space="preserve"> </w:t>
      </w:r>
    </w:p>
  </w:footnote>
  <w:footnote w:id="3">
    <w:p w14:paraId="45A7E701" w14:textId="77777777" w:rsidR="001720A3" w:rsidRPr="004D3DCD" w:rsidRDefault="001720A3" w:rsidP="004D3DCD">
      <w:pPr>
        <w:pStyle w:val="Normal1"/>
        <w:tabs>
          <w:tab w:val="left" w:pos="0"/>
          <w:tab w:val="left" w:pos="180"/>
          <w:tab w:val="left" w:pos="270"/>
          <w:tab w:val="left" w:pos="426"/>
          <w:tab w:val="left" w:pos="900"/>
        </w:tabs>
        <w:spacing w:after="0" w:line="240" w:lineRule="auto"/>
        <w:jc w:val="both"/>
        <w:rPr>
          <w:sz w:val="20"/>
          <w:szCs w:val="20"/>
        </w:rPr>
      </w:pPr>
      <w:r w:rsidRPr="004D3DCD">
        <w:rPr>
          <w:color w:val="2F5496" w:themeColor="accent1" w:themeShade="BF"/>
          <w:sz w:val="20"/>
          <w:szCs w:val="20"/>
          <w:vertAlign w:val="superscript"/>
        </w:rPr>
        <w:footnoteRef/>
      </w:r>
      <w:r w:rsidRPr="004D3DCD">
        <w:rPr>
          <w:color w:val="2F5496" w:themeColor="accent1" w:themeShade="BF"/>
          <w:sz w:val="20"/>
          <w:szCs w:val="20"/>
        </w:rPr>
        <w:t xml:space="preserve"> </w:t>
      </w:r>
      <w:r w:rsidRPr="004D3DCD">
        <w:rPr>
          <w:sz w:val="20"/>
          <w:szCs w:val="20"/>
          <w:highlight w:val="white"/>
        </w:rPr>
        <w:t xml:space="preserve">Եթե նախկինում իրավաբանական անձի օգտին որոշակի գործողություններ կատարելու դեպքում քրեական պատասխանատվության էր ենթարկվում միայն տվյալ անձը, ապա այս դեպքում պատասխանատվության է ենթարկվում ոչ միայն տվյալ անձը, այլ այդ իրավաբանական անձը: Այսպես օրինակ, </w:t>
      </w:r>
      <w:r w:rsidRPr="004D3DCD">
        <w:rPr>
          <w:sz w:val="20"/>
          <w:szCs w:val="20"/>
        </w:rPr>
        <w:t xml:space="preserve">ընկերության տնօրենի գիտությամբ իր աշխատակցի կողմից այդ իրավաբանական անձի հարկային պարտավորություններից խուսափելու դեպքում </w:t>
      </w:r>
      <w:r w:rsidRPr="004D3DCD">
        <w:rPr>
          <w:sz w:val="20"/>
          <w:szCs w:val="20"/>
          <w:highlight w:val="white"/>
        </w:rPr>
        <w:t xml:space="preserve">նոր կարգավորումների համաձայն </w:t>
      </w:r>
      <w:r w:rsidRPr="004D3DCD">
        <w:rPr>
          <w:sz w:val="20"/>
          <w:szCs w:val="20"/>
        </w:rPr>
        <w:t>պատասխանատվության են ենթարկվելու թե՛ աշխատակիցը, թե՛ տնօրենը և թե՛ իրավաբանական անձը:</w:t>
      </w:r>
    </w:p>
  </w:footnote>
  <w:footnote w:id="4">
    <w:p w14:paraId="5555F757" w14:textId="15B0728B" w:rsidR="001720A3" w:rsidRPr="004D3DCD" w:rsidRDefault="001720A3" w:rsidP="004D3DCD">
      <w:pPr>
        <w:pStyle w:val="FootnoteText"/>
        <w:tabs>
          <w:tab w:val="left" w:pos="426"/>
        </w:tabs>
        <w:contextualSpacing/>
        <w:jc w:val="both"/>
        <w:rPr>
          <w:rFonts w:ascii="GHEA Grapalat" w:hAnsi="GHEA Grapalat"/>
        </w:rPr>
      </w:pPr>
      <w:r w:rsidRPr="004D3DCD">
        <w:rPr>
          <w:rStyle w:val="FootnoteReference"/>
          <w:rFonts w:ascii="GHEA Grapalat" w:hAnsi="GHEA Grapalat"/>
          <w:color w:val="2F5496" w:themeColor="accent1" w:themeShade="BF"/>
        </w:rPr>
        <w:footnoteRef/>
      </w:r>
      <w:r w:rsidRPr="004D3DCD">
        <w:rPr>
          <w:rFonts w:ascii="GHEA Grapalat" w:hAnsi="GHEA Grapalat"/>
          <w:color w:val="2F5496" w:themeColor="accent1" w:themeShade="BF"/>
        </w:rPr>
        <w:t xml:space="preserve"> </w:t>
      </w:r>
      <w:r w:rsidRPr="004D3DCD">
        <w:rPr>
          <w:rFonts w:ascii="GHEA Grapalat" w:hAnsi="GHEA Grapalat"/>
          <w:lang w:val="hy-AM"/>
        </w:rPr>
        <w:t>«Հանրային ծառայության մասին» օրենքի 34-րդ հոդվածի 1-ին մաս:</w:t>
      </w:r>
    </w:p>
  </w:footnote>
  <w:footnote w:id="5">
    <w:p w14:paraId="56AEE96C" w14:textId="77777777" w:rsidR="001720A3" w:rsidRPr="004D3DCD" w:rsidRDefault="001720A3" w:rsidP="004D3DCD">
      <w:pPr>
        <w:pStyle w:val="FootnoteText"/>
        <w:tabs>
          <w:tab w:val="left" w:pos="426"/>
        </w:tabs>
        <w:ind w:left="142" w:hanging="142"/>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rPr>
        <w:t xml:space="preserve"> </w:t>
      </w:r>
      <w:hyperlink r:id="rId2" w:history="1">
        <w:r w:rsidRPr="004D3DCD">
          <w:rPr>
            <w:rStyle w:val="Hyperlink"/>
            <w:rFonts w:ascii="GHEA Grapalat" w:hAnsi="GHEA Grapalat"/>
          </w:rPr>
          <w:t>https://moj.am/storage/files/pages/pg_7967694028641_AC_M-A_Report_final_2023-compressed_1_.pdf</w:t>
        </w:r>
      </w:hyperlink>
      <w:r w:rsidRPr="004D3DCD">
        <w:rPr>
          <w:rFonts w:ascii="GHEA Grapalat" w:hAnsi="GHEA Grapalat"/>
          <w:lang w:val="hy-AM"/>
        </w:rPr>
        <w:t xml:space="preserve"> </w:t>
      </w:r>
    </w:p>
  </w:footnote>
  <w:footnote w:id="6">
    <w:p w14:paraId="0D4A9EFE" w14:textId="77777777" w:rsidR="001720A3" w:rsidRPr="004D3DCD" w:rsidRDefault="001720A3" w:rsidP="004D3DCD">
      <w:pPr>
        <w:pStyle w:val="FootnoteText"/>
        <w:tabs>
          <w:tab w:val="left" w:pos="426"/>
        </w:tabs>
        <w:ind w:left="142" w:hanging="142"/>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w:t>
      </w:r>
      <w:proofErr w:type="spellStart"/>
      <w:r w:rsidRPr="004D3DCD">
        <w:rPr>
          <w:rFonts w:ascii="GHEA Grapalat" w:hAnsi="GHEA Grapalat"/>
        </w:rPr>
        <w:t>Արևելյան</w:t>
      </w:r>
      <w:proofErr w:type="spellEnd"/>
      <w:r w:rsidRPr="004D3DCD">
        <w:rPr>
          <w:rFonts w:ascii="GHEA Grapalat" w:hAnsi="GHEA Grapalat"/>
        </w:rPr>
        <w:t xml:space="preserve"> </w:t>
      </w:r>
      <w:proofErr w:type="spellStart"/>
      <w:r w:rsidRPr="004D3DCD">
        <w:rPr>
          <w:rFonts w:ascii="GHEA Grapalat" w:hAnsi="GHEA Grapalat"/>
        </w:rPr>
        <w:t>գործընկերության</w:t>
      </w:r>
      <w:proofErr w:type="spellEnd"/>
      <w:r w:rsidRPr="004D3DCD">
        <w:rPr>
          <w:rFonts w:ascii="GHEA Grapalat" w:hAnsi="GHEA Grapalat"/>
        </w:rPr>
        <w:t xml:space="preserve"> </w:t>
      </w:r>
      <w:proofErr w:type="spellStart"/>
      <w:r w:rsidRPr="004D3DCD">
        <w:rPr>
          <w:rFonts w:ascii="GHEA Grapalat" w:hAnsi="GHEA Grapalat"/>
        </w:rPr>
        <w:t>Քաղաքացիական</w:t>
      </w:r>
      <w:proofErr w:type="spellEnd"/>
      <w:r w:rsidRPr="004D3DCD">
        <w:rPr>
          <w:rFonts w:ascii="GHEA Grapalat" w:hAnsi="GHEA Grapalat"/>
        </w:rPr>
        <w:t xml:space="preserve"> </w:t>
      </w:r>
      <w:proofErr w:type="spellStart"/>
      <w:r w:rsidRPr="004D3DCD">
        <w:rPr>
          <w:rFonts w:ascii="GHEA Grapalat" w:hAnsi="GHEA Grapalat"/>
        </w:rPr>
        <w:t>հասարակության</w:t>
      </w:r>
      <w:proofErr w:type="spellEnd"/>
      <w:r w:rsidRPr="004D3DCD">
        <w:rPr>
          <w:rFonts w:ascii="GHEA Grapalat" w:hAnsi="GHEA Grapalat"/>
        </w:rPr>
        <w:t xml:space="preserve"> </w:t>
      </w:r>
      <w:proofErr w:type="spellStart"/>
      <w:r w:rsidRPr="004D3DCD">
        <w:rPr>
          <w:rFonts w:ascii="GHEA Grapalat" w:hAnsi="GHEA Grapalat"/>
        </w:rPr>
        <w:t>ֆորումի</w:t>
      </w:r>
      <w:proofErr w:type="spellEnd"/>
      <w:r w:rsidRPr="004D3DCD">
        <w:rPr>
          <w:rFonts w:ascii="GHEA Grapalat" w:hAnsi="GHEA Grapalat"/>
        </w:rPr>
        <w:t xml:space="preserve"> </w:t>
      </w:r>
      <w:proofErr w:type="spellStart"/>
      <w:r w:rsidRPr="004D3DCD">
        <w:rPr>
          <w:rFonts w:ascii="GHEA Grapalat" w:hAnsi="GHEA Grapalat"/>
        </w:rPr>
        <w:t>Արևելյան</w:t>
      </w:r>
      <w:proofErr w:type="spellEnd"/>
      <w:r w:rsidRPr="004D3DCD">
        <w:rPr>
          <w:rFonts w:ascii="GHEA Grapalat" w:hAnsi="GHEA Grapalat"/>
        </w:rPr>
        <w:t xml:space="preserve"> </w:t>
      </w:r>
      <w:proofErr w:type="spellStart"/>
      <w:r w:rsidRPr="004D3DCD">
        <w:rPr>
          <w:rFonts w:ascii="GHEA Grapalat" w:hAnsi="GHEA Grapalat"/>
        </w:rPr>
        <w:t>գործընկերության</w:t>
      </w:r>
      <w:proofErr w:type="spellEnd"/>
      <w:r w:rsidRPr="004D3DCD">
        <w:rPr>
          <w:rFonts w:ascii="GHEA Grapalat" w:hAnsi="GHEA Grapalat"/>
        </w:rPr>
        <w:t xml:space="preserve"> </w:t>
      </w:r>
      <w:proofErr w:type="spellStart"/>
      <w:r w:rsidRPr="004D3DCD">
        <w:rPr>
          <w:rFonts w:ascii="GHEA Grapalat" w:hAnsi="GHEA Grapalat"/>
        </w:rPr>
        <w:t>համաթվի</w:t>
      </w:r>
      <w:proofErr w:type="spellEnd"/>
      <w:r w:rsidRPr="004D3DCD">
        <w:rPr>
          <w:rFonts w:ascii="GHEA Grapalat" w:hAnsi="GHEA Grapalat"/>
        </w:rPr>
        <w:t xml:space="preserve"> 2020-2021թթ</w:t>
      </w:r>
      <w:r w:rsidRPr="004D3DCD">
        <w:rPr>
          <w:rFonts w:ascii="MS Mincho" w:eastAsia="MS Mincho" w:hAnsi="MS Mincho" w:cs="MS Mincho" w:hint="eastAsia"/>
        </w:rPr>
        <w:t>․</w:t>
      </w:r>
      <w:r w:rsidRPr="004D3DCD">
        <w:rPr>
          <w:rFonts w:ascii="GHEA Grapalat" w:hAnsi="GHEA Grapalat"/>
        </w:rPr>
        <w:t xml:space="preserve"> </w:t>
      </w:r>
      <w:proofErr w:type="spellStart"/>
      <w:r w:rsidRPr="004D3DCD">
        <w:rPr>
          <w:rFonts w:ascii="GHEA Grapalat" w:hAnsi="GHEA Grapalat"/>
        </w:rPr>
        <w:t>զեկույց</w:t>
      </w:r>
      <w:proofErr w:type="spellEnd"/>
      <w:r w:rsidRPr="004D3DCD">
        <w:rPr>
          <w:rFonts w:ascii="GHEA Grapalat" w:hAnsi="GHEA Grapalat"/>
        </w:rPr>
        <w:t xml:space="preserve">։ </w:t>
      </w:r>
      <w:hyperlink r:id="rId3" w:history="1">
        <w:r w:rsidRPr="004D3DCD">
          <w:rPr>
            <w:rStyle w:val="Hyperlink"/>
            <w:rFonts w:ascii="GHEA Grapalat" w:hAnsi="GHEA Grapalat"/>
          </w:rPr>
          <w:t>https://eap-csf.eu/wp-content/uploads/EaP-Index-2020-2021.pdf</w:t>
        </w:r>
      </w:hyperlink>
      <w:r w:rsidRPr="004D3DCD">
        <w:rPr>
          <w:rFonts w:ascii="GHEA Grapalat" w:hAnsi="GHEA Grapalat"/>
        </w:rPr>
        <w:t xml:space="preserve"> ։</w:t>
      </w:r>
    </w:p>
  </w:footnote>
  <w:footnote w:id="7">
    <w:p w14:paraId="02C23478" w14:textId="77777777" w:rsidR="001720A3" w:rsidRPr="004D3DCD" w:rsidRDefault="001720A3" w:rsidP="004D3DCD">
      <w:pPr>
        <w:pStyle w:val="FootnoteText"/>
        <w:tabs>
          <w:tab w:val="left" w:pos="426"/>
        </w:tabs>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w:t>
      </w:r>
      <w:hyperlink r:id="rId4" w:history="1">
        <w:r w:rsidRPr="004D3DCD">
          <w:rPr>
            <w:rStyle w:val="Hyperlink"/>
            <w:rFonts w:ascii="GHEA Grapalat" w:hAnsi="GHEA Grapalat"/>
          </w:rPr>
          <w:t>https://www.oecd.org/countries/armenia/anti-corruption-reforms-in-armenia-e56cafa9-en.htm</w:t>
        </w:r>
      </w:hyperlink>
      <w:r w:rsidRPr="004D3DCD">
        <w:rPr>
          <w:rFonts w:ascii="GHEA Grapalat" w:hAnsi="GHEA Grapalat"/>
        </w:rPr>
        <w:t xml:space="preserve"> </w:t>
      </w:r>
    </w:p>
  </w:footnote>
  <w:footnote w:id="8">
    <w:p w14:paraId="6F6389ED" w14:textId="77777777" w:rsidR="001720A3" w:rsidRPr="004D3DCD" w:rsidRDefault="001720A3" w:rsidP="004D3DCD">
      <w:pPr>
        <w:pStyle w:val="FootnoteText"/>
        <w:tabs>
          <w:tab w:val="left" w:pos="426"/>
        </w:tabs>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w:t>
      </w:r>
      <w:hyperlink r:id="rId5" w:history="1">
        <w:r w:rsidRPr="004D3DCD">
          <w:rPr>
            <w:rStyle w:val="Hyperlink"/>
            <w:rFonts w:ascii="GHEA Grapalat" w:hAnsi="GHEA Grapalat"/>
          </w:rPr>
          <w:t>https://www.coe.int/en/web/greco/evaluations/armenia</w:t>
        </w:r>
      </w:hyperlink>
      <w:r w:rsidRPr="004D3DCD">
        <w:rPr>
          <w:rFonts w:ascii="GHEA Grapalat" w:hAnsi="GHEA Grapalat"/>
        </w:rPr>
        <w:t xml:space="preserve"> </w:t>
      </w:r>
    </w:p>
  </w:footnote>
  <w:footnote w:id="9">
    <w:p w14:paraId="58AF3AFD" w14:textId="77777777" w:rsidR="001720A3" w:rsidRPr="004D3DCD" w:rsidRDefault="001720A3" w:rsidP="004D3DCD">
      <w:pPr>
        <w:pStyle w:val="FootnoteText"/>
        <w:tabs>
          <w:tab w:val="left" w:pos="426"/>
        </w:tabs>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2019 </w:t>
      </w:r>
      <w:proofErr w:type="spellStart"/>
      <w:r w:rsidRPr="004D3DCD">
        <w:rPr>
          <w:rFonts w:ascii="GHEA Grapalat" w:hAnsi="GHEA Grapalat"/>
        </w:rPr>
        <w:t>թվականից</w:t>
      </w:r>
      <w:proofErr w:type="spellEnd"/>
      <w:r w:rsidRPr="004D3DCD">
        <w:rPr>
          <w:rFonts w:ascii="GHEA Grapalat" w:hAnsi="GHEA Grapalat"/>
        </w:rPr>
        <w:t xml:space="preserve"> ի </w:t>
      </w:r>
      <w:proofErr w:type="spellStart"/>
      <w:r w:rsidRPr="004D3DCD">
        <w:rPr>
          <w:rFonts w:ascii="GHEA Grapalat" w:hAnsi="GHEA Grapalat"/>
        </w:rPr>
        <w:t>վեր</w:t>
      </w:r>
      <w:proofErr w:type="spellEnd"/>
      <w:r w:rsidRPr="004D3DCD">
        <w:rPr>
          <w:rFonts w:ascii="GHEA Grapalat" w:hAnsi="GHEA Grapalat"/>
        </w:rPr>
        <w:t xml:space="preserve"> ԳՐԵԿՈ-ի </w:t>
      </w:r>
      <w:proofErr w:type="spellStart"/>
      <w:r w:rsidRPr="004D3DCD">
        <w:rPr>
          <w:rFonts w:ascii="GHEA Grapalat" w:hAnsi="GHEA Grapalat"/>
        </w:rPr>
        <w:t>կողմից</w:t>
      </w:r>
      <w:proofErr w:type="spellEnd"/>
      <w:r w:rsidRPr="004D3DCD">
        <w:rPr>
          <w:rFonts w:ascii="GHEA Grapalat" w:hAnsi="GHEA Grapalat"/>
        </w:rPr>
        <w:t xml:space="preserve"> </w:t>
      </w:r>
      <w:proofErr w:type="spellStart"/>
      <w:r w:rsidRPr="004D3DCD">
        <w:rPr>
          <w:rFonts w:ascii="GHEA Grapalat" w:hAnsi="GHEA Grapalat"/>
        </w:rPr>
        <w:t>ներկայացված</w:t>
      </w:r>
      <w:proofErr w:type="spellEnd"/>
      <w:r w:rsidRPr="004D3DCD">
        <w:rPr>
          <w:rFonts w:ascii="GHEA Grapalat" w:hAnsi="GHEA Grapalat"/>
        </w:rPr>
        <w:t xml:space="preserve"> 18 </w:t>
      </w:r>
      <w:proofErr w:type="spellStart"/>
      <w:r w:rsidRPr="004D3DCD">
        <w:rPr>
          <w:rFonts w:ascii="GHEA Grapalat" w:hAnsi="GHEA Grapalat"/>
        </w:rPr>
        <w:t>հանձնարարականներից</w:t>
      </w:r>
      <w:proofErr w:type="spellEnd"/>
      <w:r w:rsidRPr="004D3DCD">
        <w:rPr>
          <w:rFonts w:ascii="GHEA Grapalat" w:hAnsi="GHEA Grapalat"/>
        </w:rPr>
        <w:t xml:space="preserve"> 11-ը </w:t>
      </w:r>
      <w:proofErr w:type="spellStart"/>
      <w:r w:rsidRPr="004D3DCD">
        <w:rPr>
          <w:rFonts w:ascii="GHEA Grapalat" w:hAnsi="GHEA Grapalat"/>
        </w:rPr>
        <w:t>մնում</w:t>
      </w:r>
      <w:proofErr w:type="spellEnd"/>
      <w:r w:rsidRPr="004D3DCD">
        <w:rPr>
          <w:rFonts w:ascii="GHEA Grapalat" w:hAnsi="GHEA Grapalat"/>
        </w:rPr>
        <w:t xml:space="preserve"> </w:t>
      </w:r>
      <w:proofErr w:type="spellStart"/>
      <w:r w:rsidRPr="004D3DCD">
        <w:rPr>
          <w:rFonts w:ascii="GHEA Grapalat" w:hAnsi="GHEA Grapalat"/>
        </w:rPr>
        <w:t>էր</w:t>
      </w:r>
      <w:proofErr w:type="spellEnd"/>
      <w:r w:rsidRPr="004D3DCD">
        <w:rPr>
          <w:rFonts w:ascii="GHEA Grapalat" w:hAnsi="GHEA Grapalat"/>
        </w:rPr>
        <w:t xml:space="preserve"> </w:t>
      </w:r>
      <w:proofErr w:type="spellStart"/>
      <w:r w:rsidRPr="004D3DCD">
        <w:rPr>
          <w:rFonts w:ascii="GHEA Grapalat" w:hAnsi="GHEA Grapalat"/>
        </w:rPr>
        <w:t>չկատարված</w:t>
      </w:r>
      <w:proofErr w:type="spellEnd"/>
      <w:r w:rsidRPr="004D3DCD">
        <w:rPr>
          <w:rFonts w:ascii="GHEA Grapalat" w:hAnsi="GHEA Grapalat"/>
        </w:rPr>
        <w:t>)։ 2022թ</w:t>
      </w:r>
      <w:r w:rsidRPr="004D3DCD">
        <w:rPr>
          <w:rFonts w:ascii="MS Mincho" w:eastAsia="MS Mincho" w:hAnsi="MS Mincho" w:cs="MS Mincho" w:hint="eastAsia"/>
        </w:rPr>
        <w:t>․</w:t>
      </w:r>
      <w:r w:rsidRPr="004D3DCD">
        <w:rPr>
          <w:rFonts w:ascii="GHEA Grapalat" w:hAnsi="GHEA Grapalat"/>
        </w:rPr>
        <w:t xml:space="preserve"> </w:t>
      </w:r>
      <w:proofErr w:type="spellStart"/>
      <w:r w:rsidRPr="004D3DCD">
        <w:rPr>
          <w:rFonts w:ascii="GHEA Grapalat" w:hAnsi="GHEA Grapalat"/>
        </w:rPr>
        <w:t>իրականացված</w:t>
      </w:r>
      <w:proofErr w:type="spellEnd"/>
      <w:r w:rsidRPr="004D3DCD">
        <w:rPr>
          <w:rFonts w:ascii="GHEA Grapalat" w:hAnsi="GHEA Grapalat"/>
        </w:rPr>
        <w:t xml:space="preserve"> </w:t>
      </w:r>
      <w:proofErr w:type="spellStart"/>
      <w:r w:rsidRPr="004D3DCD">
        <w:rPr>
          <w:rFonts w:ascii="GHEA Grapalat" w:hAnsi="GHEA Grapalat"/>
        </w:rPr>
        <w:t>լայնածավալ</w:t>
      </w:r>
      <w:proofErr w:type="spellEnd"/>
      <w:r w:rsidRPr="004D3DCD">
        <w:rPr>
          <w:rFonts w:ascii="GHEA Grapalat" w:hAnsi="GHEA Grapalat"/>
        </w:rPr>
        <w:t xml:space="preserve"> </w:t>
      </w:r>
      <w:proofErr w:type="spellStart"/>
      <w:r w:rsidRPr="004D3DCD">
        <w:rPr>
          <w:rFonts w:ascii="GHEA Grapalat" w:hAnsi="GHEA Grapalat"/>
        </w:rPr>
        <w:t>հակակոռուպցիոն</w:t>
      </w:r>
      <w:proofErr w:type="spellEnd"/>
      <w:r w:rsidRPr="004D3DCD">
        <w:rPr>
          <w:rFonts w:ascii="GHEA Grapalat" w:hAnsi="GHEA Grapalat"/>
        </w:rPr>
        <w:t xml:space="preserve"> և </w:t>
      </w:r>
      <w:proofErr w:type="spellStart"/>
      <w:r w:rsidRPr="004D3DCD">
        <w:rPr>
          <w:rFonts w:ascii="GHEA Grapalat" w:hAnsi="GHEA Grapalat"/>
        </w:rPr>
        <w:t>դատաիրավական</w:t>
      </w:r>
      <w:proofErr w:type="spellEnd"/>
      <w:r w:rsidRPr="004D3DCD">
        <w:rPr>
          <w:rFonts w:ascii="GHEA Grapalat" w:hAnsi="GHEA Grapalat"/>
        </w:rPr>
        <w:t xml:space="preserve"> </w:t>
      </w:r>
      <w:proofErr w:type="spellStart"/>
      <w:r w:rsidRPr="004D3DCD">
        <w:rPr>
          <w:rFonts w:ascii="GHEA Grapalat" w:hAnsi="GHEA Grapalat"/>
        </w:rPr>
        <w:t>ոլորտի</w:t>
      </w:r>
      <w:proofErr w:type="spellEnd"/>
      <w:r w:rsidRPr="004D3DCD">
        <w:rPr>
          <w:rFonts w:ascii="GHEA Grapalat" w:hAnsi="GHEA Grapalat"/>
        </w:rPr>
        <w:t xml:space="preserve"> </w:t>
      </w:r>
      <w:proofErr w:type="spellStart"/>
      <w:r w:rsidRPr="004D3DCD">
        <w:rPr>
          <w:rFonts w:ascii="GHEA Grapalat" w:hAnsi="GHEA Grapalat"/>
        </w:rPr>
        <w:t>բարեփոխումների</w:t>
      </w:r>
      <w:proofErr w:type="spellEnd"/>
      <w:r w:rsidRPr="004D3DCD">
        <w:rPr>
          <w:rFonts w:ascii="GHEA Grapalat" w:hAnsi="GHEA Grapalat"/>
        </w:rPr>
        <w:t xml:space="preserve">, </w:t>
      </w:r>
      <w:proofErr w:type="spellStart"/>
      <w:r w:rsidRPr="004D3DCD">
        <w:rPr>
          <w:rFonts w:ascii="GHEA Grapalat" w:hAnsi="GHEA Grapalat"/>
        </w:rPr>
        <w:t>ինչպես</w:t>
      </w:r>
      <w:proofErr w:type="spellEnd"/>
      <w:r w:rsidRPr="004D3DCD">
        <w:rPr>
          <w:rFonts w:ascii="GHEA Grapalat" w:hAnsi="GHEA Grapalat"/>
        </w:rPr>
        <w:t xml:space="preserve"> </w:t>
      </w:r>
      <w:proofErr w:type="spellStart"/>
      <w:r w:rsidRPr="004D3DCD">
        <w:rPr>
          <w:rFonts w:ascii="GHEA Grapalat" w:hAnsi="GHEA Grapalat"/>
        </w:rPr>
        <w:t>նաև</w:t>
      </w:r>
      <w:proofErr w:type="spellEnd"/>
      <w:r w:rsidRPr="004D3DCD">
        <w:rPr>
          <w:rFonts w:ascii="GHEA Grapalat" w:hAnsi="GHEA Grapalat"/>
        </w:rPr>
        <w:t xml:space="preserve"> </w:t>
      </w:r>
      <w:proofErr w:type="spellStart"/>
      <w:r w:rsidRPr="004D3DCD">
        <w:rPr>
          <w:rFonts w:ascii="GHEA Grapalat" w:hAnsi="GHEA Grapalat"/>
        </w:rPr>
        <w:t>սույն</w:t>
      </w:r>
      <w:proofErr w:type="spellEnd"/>
      <w:r w:rsidRPr="004D3DCD">
        <w:rPr>
          <w:rFonts w:ascii="GHEA Grapalat" w:hAnsi="GHEA Grapalat"/>
        </w:rPr>
        <w:t xml:space="preserve"> </w:t>
      </w:r>
      <w:proofErr w:type="spellStart"/>
      <w:r w:rsidRPr="004D3DCD">
        <w:rPr>
          <w:rFonts w:ascii="GHEA Grapalat" w:hAnsi="GHEA Grapalat"/>
        </w:rPr>
        <w:t>թվականի</w:t>
      </w:r>
      <w:proofErr w:type="spellEnd"/>
      <w:r w:rsidRPr="004D3DCD">
        <w:rPr>
          <w:rFonts w:ascii="GHEA Grapalat" w:hAnsi="GHEA Grapalat"/>
        </w:rPr>
        <w:t xml:space="preserve"> </w:t>
      </w:r>
      <w:proofErr w:type="spellStart"/>
      <w:r w:rsidRPr="004D3DCD">
        <w:rPr>
          <w:rFonts w:ascii="GHEA Grapalat" w:hAnsi="GHEA Grapalat"/>
        </w:rPr>
        <w:t>մարտի</w:t>
      </w:r>
      <w:proofErr w:type="spellEnd"/>
      <w:r w:rsidRPr="004D3DCD">
        <w:rPr>
          <w:rFonts w:ascii="GHEA Grapalat" w:hAnsi="GHEA Grapalat"/>
        </w:rPr>
        <w:t xml:space="preserve"> 20-ից 24-ը </w:t>
      </w:r>
      <w:proofErr w:type="spellStart"/>
      <w:r w:rsidRPr="004D3DCD">
        <w:rPr>
          <w:rFonts w:ascii="GHEA Grapalat" w:hAnsi="GHEA Grapalat"/>
        </w:rPr>
        <w:t>Ստրասբուրգ</w:t>
      </w:r>
      <w:proofErr w:type="spellEnd"/>
      <w:r w:rsidRPr="004D3DCD">
        <w:rPr>
          <w:rFonts w:ascii="GHEA Grapalat" w:hAnsi="GHEA Grapalat"/>
        </w:rPr>
        <w:t xml:space="preserve"> </w:t>
      </w:r>
      <w:proofErr w:type="spellStart"/>
      <w:r w:rsidRPr="004D3DCD">
        <w:rPr>
          <w:rFonts w:ascii="GHEA Grapalat" w:hAnsi="GHEA Grapalat"/>
        </w:rPr>
        <w:t>քաղաքում</w:t>
      </w:r>
      <w:proofErr w:type="spellEnd"/>
      <w:r w:rsidRPr="004D3DCD">
        <w:rPr>
          <w:rFonts w:ascii="GHEA Grapalat" w:hAnsi="GHEA Grapalat"/>
        </w:rPr>
        <w:t xml:space="preserve"> </w:t>
      </w:r>
      <w:proofErr w:type="spellStart"/>
      <w:r w:rsidRPr="004D3DCD">
        <w:rPr>
          <w:rFonts w:ascii="GHEA Grapalat" w:hAnsi="GHEA Grapalat"/>
        </w:rPr>
        <w:t>կայացած</w:t>
      </w:r>
      <w:proofErr w:type="spellEnd"/>
      <w:r w:rsidRPr="004D3DCD">
        <w:rPr>
          <w:rFonts w:ascii="GHEA Grapalat" w:hAnsi="GHEA Grapalat"/>
        </w:rPr>
        <w:t xml:space="preserve"> ԳՐԵԿՈ-ի 93-րդ </w:t>
      </w:r>
      <w:proofErr w:type="spellStart"/>
      <w:r w:rsidRPr="004D3DCD">
        <w:rPr>
          <w:rFonts w:ascii="GHEA Grapalat" w:hAnsi="GHEA Grapalat"/>
        </w:rPr>
        <w:t>լիագումար</w:t>
      </w:r>
      <w:proofErr w:type="spellEnd"/>
      <w:r w:rsidRPr="004D3DCD">
        <w:rPr>
          <w:rFonts w:ascii="GHEA Grapalat" w:hAnsi="GHEA Grapalat"/>
        </w:rPr>
        <w:t xml:space="preserve"> </w:t>
      </w:r>
      <w:proofErr w:type="spellStart"/>
      <w:r w:rsidRPr="004D3DCD">
        <w:rPr>
          <w:rFonts w:ascii="GHEA Grapalat" w:hAnsi="GHEA Grapalat"/>
        </w:rPr>
        <w:t>նիստի</w:t>
      </w:r>
      <w:proofErr w:type="spellEnd"/>
      <w:r w:rsidRPr="004D3DCD">
        <w:rPr>
          <w:rFonts w:ascii="GHEA Grapalat" w:hAnsi="GHEA Grapalat"/>
        </w:rPr>
        <w:t xml:space="preserve"> </w:t>
      </w:r>
      <w:proofErr w:type="spellStart"/>
      <w:r w:rsidRPr="004D3DCD">
        <w:rPr>
          <w:rFonts w:ascii="GHEA Grapalat" w:hAnsi="GHEA Grapalat"/>
        </w:rPr>
        <w:t>ընթացքում</w:t>
      </w:r>
      <w:proofErr w:type="spellEnd"/>
      <w:r w:rsidRPr="004D3DCD">
        <w:rPr>
          <w:rFonts w:ascii="GHEA Grapalat" w:hAnsi="GHEA Grapalat"/>
        </w:rPr>
        <w:t xml:space="preserve"> Հայաստանի </w:t>
      </w:r>
      <w:proofErr w:type="spellStart"/>
      <w:r w:rsidRPr="004D3DCD">
        <w:rPr>
          <w:rFonts w:ascii="GHEA Grapalat" w:hAnsi="GHEA Grapalat"/>
        </w:rPr>
        <w:t>մշտական</w:t>
      </w:r>
      <w:proofErr w:type="spellEnd"/>
      <w:r w:rsidRPr="004D3DCD">
        <w:rPr>
          <w:rFonts w:ascii="GHEA Grapalat" w:hAnsi="GHEA Grapalat"/>
        </w:rPr>
        <w:t xml:space="preserve"> </w:t>
      </w:r>
      <w:proofErr w:type="spellStart"/>
      <w:r w:rsidRPr="004D3DCD">
        <w:rPr>
          <w:rFonts w:ascii="GHEA Grapalat" w:hAnsi="GHEA Grapalat"/>
        </w:rPr>
        <w:t>պատվիրակության</w:t>
      </w:r>
      <w:proofErr w:type="spellEnd"/>
      <w:r w:rsidRPr="004D3DCD">
        <w:rPr>
          <w:rFonts w:ascii="GHEA Grapalat" w:hAnsi="GHEA Grapalat"/>
        </w:rPr>
        <w:t xml:space="preserve"> </w:t>
      </w:r>
      <w:proofErr w:type="spellStart"/>
      <w:r w:rsidRPr="004D3DCD">
        <w:rPr>
          <w:rFonts w:ascii="GHEA Grapalat" w:hAnsi="GHEA Grapalat"/>
        </w:rPr>
        <w:t>լրացուցիչ</w:t>
      </w:r>
      <w:proofErr w:type="spellEnd"/>
      <w:r w:rsidRPr="004D3DCD">
        <w:rPr>
          <w:rFonts w:ascii="GHEA Grapalat" w:hAnsi="GHEA Grapalat"/>
        </w:rPr>
        <w:t xml:space="preserve"> </w:t>
      </w:r>
      <w:proofErr w:type="spellStart"/>
      <w:r w:rsidRPr="004D3DCD">
        <w:rPr>
          <w:rFonts w:ascii="GHEA Grapalat" w:hAnsi="GHEA Grapalat"/>
        </w:rPr>
        <w:t>քննարկումների</w:t>
      </w:r>
      <w:proofErr w:type="spellEnd"/>
      <w:r w:rsidRPr="004D3DCD">
        <w:rPr>
          <w:rFonts w:ascii="GHEA Grapalat" w:hAnsi="GHEA Grapalat"/>
        </w:rPr>
        <w:t xml:space="preserve"> </w:t>
      </w:r>
      <w:proofErr w:type="spellStart"/>
      <w:r w:rsidRPr="004D3DCD">
        <w:rPr>
          <w:rFonts w:ascii="GHEA Grapalat" w:hAnsi="GHEA Grapalat"/>
        </w:rPr>
        <w:t>արդյունքում</w:t>
      </w:r>
      <w:proofErr w:type="spellEnd"/>
      <w:r w:rsidRPr="004D3DCD">
        <w:rPr>
          <w:rFonts w:ascii="GHEA Grapalat" w:hAnsi="GHEA Grapalat"/>
        </w:rPr>
        <w:t xml:space="preserve">  </w:t>
      </w:r>
      <w:proofErr w:type="spellStart"/>
      <w:r w:rsidRPr="004D3DCD">
        <w:rPr>
          <w:rFonts w:ascii="GHEA Grapalat" w:hAnsi="GHEA Grapalat"/>
        </w:rPr>
        <w:t>ևս</w:t>
      </w:r>
      <w:proofErr w:type="spellEnd"/>
      <w:r w:rsidRPr="004D3DCD">
        <w:rPr>
          <w:rFonts w:ascii="GHEA Grapalat" w:hAnsi="GHEA Grapalat"/>
        </w:rPr>
        <w:t xml:space="preserve"> </w:t>
      </w:r>
      <w:proofErr w:type="spellStart"/>
      <w:r w:rsidRPr="004D3DCD">
        <w:rPr>
          <w:rFonts w:ascii="GHEA Grapalat" w:hAnsi="GHEA Grapalat"/>
        </w:rPr>
        <w:t>երկու</w:t>
      </w:r>
      <w:proofErr w:type="spellEnd"/>
      <w:r w:rsidRPr="004D3DCD">
        <w:rPr>
          <w:rFonts w:ascii="GHEA Grapalat" w:hAnsi="GHEA Grapalat"/>
        </w:rPr>
        <w:t xml:space="preserve"> </w:t>
      </w:r>
      <w:proofErr w:type="spellStart"/>
      <w:r w:rsidRPr="004D3DCD">
        <w:rPr>
          <w:rFonts w:ascii="GHEA Grapalat" w:hAnsi="GHEA Grapalat"/>
        </w:rPr>
        <w:t>հանձնարարական</w:t>
      </w:r>
      <w:proofErr w:type="spellEnd"/>
      <w:r w:rsidRPr="004D3DCD">
        <w:rPr>
          <w:rFonts w:ascii="GHEA Grapalat" w:hAnsi="GHEA Grapalat"/>
        </w:rPr>
        <w:t xml:space="preserve"> </w:t>
      </w:r>
      <w:proofErr w:type="spellStart"/>
      <w:r w:rsidRPr="004D3DCD">
        <w:rPr>
          <w:rFonts w:ascii="GHEA Grapalat" w:hAnsi="GHEA Grapalat"/>
        </w:rPr>
        <w:t>գնահատվել</w:t>
      </w:r>
      <w:proofErr w:type="spellEnd"/>
      <w:r w:rsidRPr="004D3DCD">
        <w:rPr>
          <w:rFonts w:ascii="GHEA Grapalat" w:hAnsi="GHEA Grapalat"/>
        </w:rPr>
        <w:t xml:space="preserve"> է </w:t>
      </w:r>
      <w:proofErr w:type="spellStart"/>
      <w:r w:rsidRPr="004D3DCD">
        <w:rPr>
          <w:rFonts w:ascii="GHEA Grapalat" w:hAnsi="GHEA Grapalat"/>
        </w:rPr>
        <w:t>կատարված</w:t>
      </w:r>
      <w:proofErr w:type="spellEnd"/>
      <w:r w:rsidRPr="004D3DCD">
        <w:rPr>
          <w:rFonts w:ascii="GHEA Grapalat" w:hAnsi="GHEA Grapalat"/>
        </w:rPr>
        <w:t>:</w:t>
      </w:r>
    </w:p>
  </w:footnote>
  <w:footnote w:id="10">
    <w:p w14:paraId="5576F06C" w14:textId="77777777" w:rsidR="001720A3" w:rsidRPr="004D3DCD" w:rsidRDefault="001720A3" w:rsidP="004D3DCD">
      <w:pPr>
        <w:pStyle w:val="FootnoteText"/>
        <w:tabs>
          <w:tab w:val="left" w:pos="426"/>
        </w:tabs>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w:t>
      </w:r>
      <w:hyperlink r:id="rId6" w:history="1">
        <w:r w:rsidRPr="004D3DCD">
          <w:rPr>
            <w:rStyle w:val="Hyperlink"/>
            <w:rFonts w:ascii="GHEA Grapalat" w:hAnsi="GHEA Grapalat"/>
          </w:rPr>
          <w:t>https://www.unodc.org/documents/treaties/UNCAC/WorkingGroups/ImplementationReviewGroup/14-18June2021/CAC-COSP-IRG-II-3-1-ADD.3/V2102056_E.pdf</w:t>
        </w:r>
      </w:hyperlink>
      <w:r w:rsidRPr="004D3DCD">
        <w:rPr>
          <w:rFonts w:ascii="GHEA Grapalat" w:hAnsi="GHEA Grapalat"/>
        </w:rPr>
        <w:t xml:space="preserve"> </w:t>
      </w:r>
    </w:p>
  </w:footnote>
  <w:footnote w:id="11">
    <w:p w14:paraId="4EF24A62" w14:textId="77777777" w:rsidR="001720A3" w:rsidRPr="004D3DCD" w:rsidRDefault="001720A3" w:rsidP="004D3DCD">
      <w:pPr>
        <w:pStyle w:val="NormalWeb"/>
        <w:shd w:val="clear" w:color="auto" w:fill="FFFFFF"/>
        <w:tabs>
          <w:tab w:val="left" w:pos="426"/>
        </w:tabs>
        <w:spacing w:before="0" w:beforeAutospacing="0" w:after="0" w:afterAutospacing="0"/>
        <w:jc w:val="both"/>
        <w:rPr>
          <w:rFonts w:ascii="GHEA Grapalat" w:hAnsi="GHEA Grapalat"/>
          <w:sz w:val="20"/>
          <w:szCs w:val="20"/>
          <w:lang w:val="hy-AM"/>
        </w:rPr>
      </w:pPr>
      <w:r w:rsidRPr="004D3DCD">
        <w:rPr>
          <w:rStyle w:val="FootnoteReference"/>
          <w:rFonts w:ascii="GHEA Grapalat" w:hAnsi="GHEA Grapalat"/>
          <w:sz w:val="20"/>
          <w:szCs w:val="20"/>
        </w:rPr>
        <w:footnoteRef/>
      </w:r>
      <w:r w:rsidRPr="004D3DCD">
        <w:rPr>
          <w:rFonts w:ascii="GHEA Grapalat" w:hAnsi="GHEA Grapalat"/>
          <w:sz w:val="20"/>
          <w:szCs w:val="20"/>
          <w:lang w:val="hy-AM"/>
        </w:rPr>
        <w:t xml:space="preserve"> Յուրաքանչյուր Մասնակից պետություն պետք է ձեռնարկի այնպիսի միջոցներ, որոնք, իր ներքին օրենսդրությանը և հաշվապահական հաշվառման վարման, ֆինանսական հաշվետվության ներկայացման, ինչպես նաև հաշվապահական հաշվառման և աուդիտի ստանդարտները կարգավորող կանոններին համապատասխան, կարող են անհրաժեշտ լինել հետևյալ արարքներն արգելելու համար, որոնք իրականացվում են իրավախախտումներից որևէ մեկը կատարելու համար` համաձայն սույն Կոնվենցիայի.</w:t>
      </w:r>
    </w:p>
    <w:p w14:paraId="401C61B3" w14:textId="77777777" w:rsidR="001720A3" w:rsidRPr="004D3DCD" w:rsidRDefault="001720A3" w:rsidP="004D3DCD">
      <w:pPr>
        <w:pStyle w:val="NormalWeb"/>
        <w:shd w:val="clear" w:color="auto" w:fill="FFFFFF"/>
        <w:tabs>
          <w:tab w:val="left" w:pos="426"/>
        </w:tabs>
        <w:spacing w:before="0" w:beforeAutospacing="0" w:after="0" w:afterAutospacing="0"/>
        <w:ind w:firstLine="375"/>
        <w:jc w:val="both"/>
        <w:rPr>
          <w:rFonts w:ascii="GHEA Grapalat" w:hAnsi="GHEA Grapalat"/>
          <w:sz w:val="20"/>
          <w:szCs w:val="20"/>
          <w:lang w:val="hy-AM"/>
        </w:rPr>
      </w:pPr>
      <w:r w:rsidRPr="004D3DCD">
        <w:rPr>
          <w:rFonts w:ascii="GHEA Grapalat" w:hAnsi="GHEA Grapalat"/>
          <w:sz w:val="20"/>
          <w:szCs w:val="20"/>
          <w:lang w:val="hy-AM"/>
        </w:rPr>
        <w:t>ա) չգրանցված հաշվետվության ստեղծում.</w:t>
      </w:r>
    </w:p>
    <w:p w14:paraId="1BDCF08A" w14:textId="77777777" w:rsidR="001720A3" w:rsidRPr="004D3DCD" w:rsidRDefault="001720A3" w:rsidP="004D3DCD">
      <w:pPr>
        <w:pStyle w:val="NormalWeb"/>
        <w:shd w:val="clear" w:color="auto" w:fill="FFFFFF"/>
        <w:tabs>
          <w:tab w:val="left" w:pos="426"/>
        </w:tabs>
        <w:spacing w:before="0" w:beforeAutospacing="0" w:after="0" w:afterAutospacing="0"/>
        <w:ind w:firstLine="375"/>
        <w:jc w:val="both"/>
        <w:rPr>
          <w:rFonts w:ascii="GHEA Grapalat" w:hAnsi="GHEA Grapalat"/>
          <w:sz w:val="20"/>
          <w:szCs w:val="20"/>
          <w:lang w:val="hy-AM"/>
        </w:rPr>
      </w:pPr>
      <w:r w:rsidRPr="004D3DCD">
        <w:rPr>
          <w:rFonts w:ascii="GHEA Grapalat" w:hAnsi="GHEA Grapalat"/>
          <w:sz w:val="20"/>
          <w:szCs w:val="20"/>
          <w:lang w:val="hy-AM"/>
        </w:rPr>
        <w:t>բ) չհաշվառված կամ ոչ ճիշտ գրանցված գործարքների կատարում.</w:t>
      </w:r>
    </w:p>
    <w:p w14:paraId="06048FD0" w14:textId="77777777" w:rsidR="001720A3" w:rsidRPr="004D3DCD" w:rsidRDefault="001720A3" w:rsidP="004D3DCD">
      <w:pPr>
        <w:pStyle w:val="NormalWeb"/>
        <w:shd w:val="clear" w:color="auto" w:fill="FFFFFF"/>
        <w:tabs>
          <w:tab w:val="left" w:pos="426"/>
        </w:tabs>
        <w:spacing w:before="0" w:beforeAutospacing="0" w:after="0" w:afterAutospacing="0"/>
        <w:ind w:firstLine="375"/>
        <w:jc w:val="both"/>
        <w:rPr>
          <w:rFonts w:ascii="GHEA Grapalat" w:hAnsi="GHEA Grapalat"/>
          <w:sz w:val="20"/>
          <w:szCs w:val="20"/>
          <w:lang w:val="hy-AM"/>
        </w:rPr>
      </w:pPr>
      <w:r w:rsidRPr="004D3DCD">
        <w:rPr>
          <w:rFonts w:ascii="GHEA Grapalat" w:hAnsi="GHEA Grapalat"/>
          <w:sz w:val="20"/>
          <w:szCs w:val="20"/>
          <w:lang w:val="hy-AM"/>
        </w:rPr>
        <w:t>գ) գոյություն չունեցող ծախսերի հաշվառում.</w:t>
      </w:r>
    </w:p>
    <w:p w14:paraId="780DE272" w14:textId="77777777" w:rsidR="001720A3" w:rsidRPr="004D3DCD" w:rsidRDefault="001720A3" w:rsidP="004D3DCD">
      <w:pPr>
        <w:pStyle w:val="NormalWeb"/>
        <w:shd w:val="clear" w:color="auto" w:fill="FFFFFF"/>
        <w:tabs>
          <w:tab w:val="left" w:pos="426"/>
        </w:tabs>
        <w:spacing w:before="0" w:beforeAutospacing="0" w:after="0" w:afterAutospacing="0"/>
        <w:ind w:firstLine="375"/>
        <w:jc w:val="both"/>
        <w:rPr>
          <w:rFonts w:ascii="GHEA Grapalat" w:hAnsi="GHEA Grapalat"/>
          <w:sz w:val="20"/>
          <w:szCs w:val="20"/>
          <w:lang w:val="hy-AM"/>
        </w:rPr>
      </w:pPr>
      <w:r w:rsidRPr="004D3DCD">
        <w:rPr>
          <w:rFonts w:ascii="GHEA Grapalat" w:hAnsi="GHEA Grapalat"/>
          <w:sz w:val="20"/>
          <w:szCs w:val="20"/>
          <w:lang w:val="hy-AM"/>
        </w:rPr>
        <w:t>դ) պարտավորությունների ներառում` առանց դրանց նպատակի ճշգրիտ սահմանման.</w:t>
      </w:r>
    </w:p>
    <w:p w14:paraId="47B51EFB" w14:textId="77777777" w:rsidR="001720A3" w:rsidRPr="004D3DCD" w:rsidRDefault="001720A3" w:rsidP="004D3DCD">
      <w:pPr>
        <w:pStyle w:val="NormalWeb"/>
        <w:shd w:val="clear" w:color="auto" w:fill="FFFFFF"/>
        <w:tabs>
          <w:tab w:val="left" w:pos="426"/>
        </w:tabs>
        <w:spacing w:before="0" w:beforeAutospacing="0" w:after="0" w:afterAutospacing="0"/>
        <w:ind w:firstLine="375"/>
        <w:jc w:val="both"/>
        <w:rPr>
          <w:rFonts w:ascii="GHEA Grapalat" w:hAnsi="GHEA Grapalat"/>
          <w:sz w:val="20"/>
          <w:szCs w:val="20"/>
          <w:lang w:val="hy-AM"/>
        </w:rPr>
      </w:pPr>
      <w:r w:rsidRPr="004D3DCD">
        <w:rPr>
          <w:rFonts w:ascii="GHEA Grapalat" w:hAnsi="GHEA Grapalat"/>
          <w:sz w:val="20"/>
          <w:szCs w:val="20"/>
          <w:lang w:val="hy-AM"/>
        </w:rPr>
        <w:t xml:space="preserve">ե) կեղծ փաստաթղթերի օգտագործում, և զ) օրենսդրությամբ նախատեսված ժամկետներից շուտ հաշվապահական փաստաթղթերի </w:t>
      </w:r>
      <w:r w:rsidRPr="004D3DCD">
        <w:rPr>
          <w:rFonts w:ascii="GHEA Grapalat" w:hAnsi="GHEA Grapalat"/>
          <w:sz w:val="20"/>
          <w:szCs w:val="20"/>
          <w:lang w:val="hy-AM"/>
        </w:rPr>
        <w:t>միտումնավոր ոչնչացում (</w:t>
      </w:r>
      <w:r w:rsidRPr="004D3DCD">
        <w:fldChar w:fldCharType="begin"/>
      </w:r>
      <w:r w:rsidRPr="004D3DCD">
        <w:rPr>
          <w:sz w:val="20"/>
          <w:szCs w:val="20"/>
          <w:lang w:val="hy-AM"/>
        </w:rPr>
        <w:instrText xml:space="preserve"> HYPERLINK "https://www.arlis.am/documentview.aspx?docID=48021" </w:instrText>
      </w:r>
      <w:r w:rsidRPr="004D3DCD">
        <w:fldChar w:fldCharType="separate"/>
      </w:r>
      <w:r w:rsidRPr="004D3DCD">
        <w:rPr>
          <w:rStyle w:val="Hyperlink"/>
          <w:rFonts w:ascii="GHEA Grapalat" w:hAnsi="GHEA Grapalat"/>
          <w:sz w:val="20"/>
          <w:szCs w:val="20"/>
          <w:lang w:val="hy-AM"/>
        </w:rPr>
        <w:t>https://www.arlis.am/documentview.aspx?docID=48021</w:t>
      </w:r>
      <w:r w:rsidRPr="004D3DCD">
        <w:rPr>
          <w:rStyle w:val="Hyperlink"/>
          <w:rFonts w:ascii="GHEA Grapalat" w:hAnsi="GHEA Grapalat"/>
          <w:sz w:val="20"/>
          <w:szCs w:val="20"/>
          <w:lang w:val="hy-AM"/>
        </w:rPr>
        <w:fldChar w:fldCharType="end"/>
      </w:r>
      <w:r w:rsidRPr="004D3DCD">
        <w:rPr>
          <w:rFonts w:ascii="GHEA Grapalat" w:hAnsi="GHEA Grapalat"/>
          <w:sz w:val="20"/>
          <w:szCs w:val="20"/>
          <w:lang w:val="hy-AM"/>
        </w:rPr>
        <w:t xml:space="preserve">) </w:t>
      </w:r>
    </w:p>
  </w:footnote>
  <w:footnote w:id="12">
    <w:p w14:paraId="0A726EDC" w14:textId="598DE8C8" w:rsidR="001720A3" w:rsidRPr="004D3DCD" w:rsidRDefault="001720A3" w:rsidP="004D3DCD">
      <w:pPr>
        <w:pStyle w:val="FootnoteText"/>
        <w:tabs>
          <w:tab w:val="left" w:pos="426"/>
        </w:tabs>
        <w:ind w:left="142" w:hanging="142"/>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w:t>
      </w:r>
      <w:proofErr w:type="spellStart"/>
      <w:r w:rsidRPr="004D3DCD">
        <w:rPr>
          <w:rFonts w:ascii="GHEA Grapalat" w:hAnsi="GHEA Grapalat"/>
        </w:rPr>
        <w:t>Բաց</w:t>
      </w:r>
      <w:proofErr w:type="spellEnd"/>
      <w:r w:rsidRPr="004D3DCD">
        <w:rPr>
          <w:rFonts w:ascii="GHEA Grapalat" w:hAnsi="GHEA Grapalat"/>
        </w:rPr>
        <w:t xml:space="preserve"> </w:t>
      </w:r>
      <w:proofErr w:type="spellStart"/>
      <w:r w:rsidRPr="004D3DCD">
        <w:rPr>
          <w:rFonts w:ascii="GHEA Grapalat" w:hAnsi="GHEA Grapalat"/>
        </w:rPr>
        <w:t>կառավարման</w:t>
      </w:r>
      <w:proofErr w:type="spellEnd"/>
      <w:r w:rsidRPr="004D3DCD">
        <w:rPr>
          <w:rFonts w:ascii="GHEA Grapalat" w:hAnsi="GHEA Grapalat"/>
        </w:rPr>
        <w:t xml:space="preserve"> </w:t>
      </w:r>
      <w:proofErr w:type="spellStart"/>
      <w:r w:rsidRPr="004D3DCD">
        <w:rPr>
          <w:rFonts w:ascii="GHEA Grapalat" w:hAnsi="GHEA Grapalat"/>
        </w:rPr>
        <w:t>գործընկերություն</w:t>
      </w:r>
      <w:proofErr w:type="spellEnd"/>
      <w:r w:rsidRPr="004D3DCD">
        <w:rPr>
          <w:rFonts w:ascii="GHEA Grapalat" w:hAnsi="GHEA Grapalat"/>
        </w:rPr>
        <w:t xml:space="preserve">» </w:t>
      </w:r>
      <w:proofErr w:type="spellStart"/>
      <w:r w:rsidRPr="004D3DCD">
        <w:rPr>
          <w:rFonts w:ascii="GHEA Grapalat" w:hAnsi="GHEA Grapalat"/>
        </w:rPr>
        <w:t>նախաձեռնություն-Հայաստան</w:t>
      </w:r>
      <w:proofErr w:type="spellEnd"/>
      <w:r w:rsidRPr="004D3DCD">
        <w:rPr>
          <w:rFonts w:ascii="GHEA Grapalat" w:hAnsi="GHEA Grapalat"/>
        </w:rPr>
        <w:t xml:space="preserve"> 2018-2020թթ. </w:t>
      </w:r>
      <w:proofErr w:type="spellStart"/>
      <w:r w:rsidRPr="004D3DCD">
        <w:rPr>
          <w:rFonts w:ascii="GHEA Grapalat" w:hAnsi="GHEA Grapalat"/>
        </w:rPr>
        <w:t>գործողությունների</w:t>
      </w:r>
      <w:proofErr w:type="spellEnd"/>
      <w:r w:rsidRPr="004D3DCD">
        <w:rPr>
          <w:rFonts w:ascii="GHEA Grapalat" w:hAnsi="GHEA Grapalat"/>
          <w:lang w:val="hy-AM"/>
        </w:rPr>
        <w:t xml:space="preserve"> </w:t>
      </w:r>
      <w:proofErr w:type="spellStart"/>
      <w:r w:rsidRPr="004D3DCD">
        <w:rPr>
          <w:rFonts w:ascii="GHEA Grapalat" w:hAnsi="GHEA Grapalat"/>
        </w:rPr>
        <w:t>ծրագիր</w:t>
      </w:r>
      <w:proofErr w:type="spellEnd"/>
      <w:r w:rsidRPr="004D3DCD">
        <w:rPr>
          <w:rFonts w:ascii="GHEA Grapalat" w:hAnsi="GHEA Grapalat"/>
        </w:rPr>
        <w:t xml:space="preserve"> </w:t>
      </w:r>
      <w:hyperlink r:id="rId7" w:history="1">
        <w:r w:rsidRPr="004D3DCD">
          <w:rPr>
            <w:rStyle w:val="Hyperlink"/>
            <w:rFonts w:ascii="GHEA Grapalat" w:hAnsi="GHEA Grapalat"/>
          </w:rPr>
          <w:t>https://ogp.gov.am/hy/%D5%B6%D5%A1%D5%AD%D5%B8%D6%80%D5%A4/%D5%A2%D5%AF%D5%A3-%D5%B0%D5%A1%D5%B5%D5%A1%D5%BD%D5%BF%D5%A1%D5%B6%D5%B5%D5%A1%D5%B6-%D5%A3%D5%B8%D6%80%D5%AE%D5%B8%D5%B2%D5%B8%D6%82%D5%A9%D5%B5%D5%B8%D6%82%D5%B6%D5%B6%D5%A5%D6%80%D5%AB-4-%D6%80%D5%A4-%D5%AE%D6%80%D5%A1%D5%A3%D5%AB%D6%80</w:t>
        </w:r>
      </w:hyperlink>
      <w:r w:rsidRPr="004D3DCD">
        <w:rPr>
          <w:rFonts w:ascii="GHEA Grapalat" w:hAnsi="GHEA Grapalat"/>
        </w:rPr>
        <w:t>)։</w:t>
      </w:r>
    </w:p>
  </w:footnote>
  <w:footnote w:id="13">
    <w:p w14:paraId="6313A212" w14:textId="77777777" w:rsidR="001720A3" w:rsidRPr="004D3DCD" w:rsidRDefault="001720A3" w:rsidP="004D3DCD">
      <w:pPr>
        <w:pStyle w:val="FootnoteText"/>
        <w:tabs>
          <w:tab w:val="left" w:pos="426"/>
        </w:tabs>
        <w:ind w:left="142" w:hanging="142"/>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w:t>
      </w:r>
      <w:hyperlink r:id="rId8" w:history="1">
        <w:r w:rsidRPr="004D3DCD">
          <w:rPr>
            <w:rStyle w:val="Hyperlink"/>
            <w:rFonts w:ascii="GHEA Grapalat" w:hAnsi="GHEA Grapalat"/>
          </w:rPr>
          <w:t>https://ogp.gov.am/files/action_plans/1/16286851316556.pdf</w:t>
        </w:r>
      </w:hyperlink>
      <w:r w:rsidRPr="004D3DCD">
        <w:rPr>
          <w:rFonts w:ascii="GHEA Grapalat" w:hAnsi="GHEA Grapalat"/>
        </w:rPr>
        <w:t xml:space="preserve"> </w:t>
      </w:r>
    </w:p>
  </w:footnote>
  <w:footnote w:id="14">
    <w:p w14:paraId="033D7691" w14:textId="77777777" w:rsidR="001720A3" w:rsidRPr="004D3DCD" w:rsidRDefault="001720A3" w:rsidP="004D3DCD">
      <w:pPr>
        <w:pStyle w:val="FootnoteText"/>
        <w:tabs>
          <w:tab w:val="left" w:pos="426"/>
        </w:tabs>
        <w:ind w:left="142" w:hanging="142"/>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w:t>
      </w:r>
      <w:hyperlink r:id="rId9" w:history="1">
        <w:r w:rsidRPr="004D3DCD">
          <w:rPr>
            <w:rStyle w:val="Hyperlink"/>
            <w:rFonts w:ascii="GHEA Grapalat" w:hAnsi="GHEA Grapalat"/>
          </w:rPr>
          <w:t>https://www.e-draft.am/projects/4581/about</w:t>
        </w:r>
      </w:hyperlink>
      <w:r w:rsidRPr="004D3DCD">
        <w:rPr>
          <w:rFonts w:ascii="GHEA Grapalat" w:hAnsi="GHEA Grapalat"/>
        </w:rPr>
        <w:t xml:space="preserve"> </w:t>
      </w:r>
    </w:p>
  </w:footnote>
  <w:footnote w:id="15">
    <w:p w14:paraId="17B3F713" w14:textId="0AB518FB"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rPr>
        <w:t xml:space="preserve"> </w:t>
      </w:r>
      <w:r w:rsidRPr="004D3DCD">
        <w:rPr>
          <w:rFonts w:ascii="GHEA Grapalat" w:hAnsi="GHEA Grapalat"/>
          <w:lang w:val="hy-AM"/>
        </w:rPr>
        <w:t>Գ</w:t>
      </w:r>
      <w:proofErr w:type="spellStart"/>
      <w:r w:rsidRPr="004D3DCD">
        <w:rPr>
          <w:rFonts w:ascii="GHEA Grapalat" w:hAnsi="GHEA Grapalat"/>
        </w:rPr>
        <w:t>նահատվում</w:t>
      </w:r>
      <w:proofErr w:type="spellEnd"/>
      <w:r w:rsidRPr="004D3DCD">
        <w:rPr>
          <w:rFonts w:ascii="GHEA Grapalat" w:hAnsi="GHEA Grapalat"/>
        </w:rPr>
        <w:t xml:space="preserve"> է </w:t>
      </w:r>
      <w:proofErr w:type="spellStart"/>
      <w:r w:rsidRPr="004D3DCD">
        <w:rPr>
          <w:rFonts w:ascii="GHEA Grapalat" w:hAnsi="GHEA Grapalat"/>
        </w:rPr>
        <w:t>ժողովրդավարության</w:t>
      </w:r>
      <w:proofErr w:type="spellEnd"/>
      <w:r w:rsidRPr="004D3DCD">
        <w:rPr>
          <w:rFonts w:ascii="GHEA Grapalat" w:hAnsi="GHEA Grapalat"/>
        </w:rPr>
        <w:t xml:space="preserve"> </w:t>
      </w:r>
      <w:proofErr w:type="spellStart"/>
      <w:r w:rsidRPr="004D3DCD">
        <w:rPr>
          <w:rFonts w:ascii="GHEA Grapalat" w:hAnsi="GHEA Grapalat"/>
        </w:rPr>
        <w:t>վիճակը</w:t>
      </w:r>
      <w:proofErr w:type="spellEnd"/>
      <w:r w:rsidRPr="004D3DCD">
        <w:rPr>
          <w:rFonts w:ascii="GHEA Grapalat" w:hAnsi="GHEA Grapalat"/>
        </w:rPr>
        <w:t xml:space="preserve">, </w:t>
      </w:r>
      <w:proofErr w:type="spellStart"/>
      <w:r w:rsidRPr="004D3DCD">
        <w:rPr>
          <w:rFonts w:ascii="GHEA Grapalat" w:hAnsi="GHEA Grapalat"/>
        </w:rPr>
        <w:t>որի</w:t>
      </w:r>
      <w:proofErr w:type="spellEnd"/>
      <w:r w:rsidRPr="004D3DCD">
        <w:rPr>
          <w:rFonts w:ascii="GHEA Grapalat" w:hAnsi="GHEA Grapalat"/>
        </w:rPr>
        <w:t xml:space="preserve"> </w:t>
      </w:r>
      <w:proofErr w:type="spellStart"/>
      <w:r w:rsidRPr="004D3DCD">
        <w:rPr>
          <w:rFonts w:ascii="GHEA Grapalat" w:hAnsi="GHEA Grapalat"/>
        </w:rPr>
        <w:t>շրջանակում</w:t>
      </w:r>
      <w:proofErr w:type="spellEnd"/>
      <w:r w:rsidRPr="004D3DCD">
        <w:rPr>
          <w:rFonts w:ascii="GHEA Grapalat" w:hAnsi="GHEA Grapalat"/>
        </w:rPr>
        <w:t xml:space="preserve"> </w:t>
      </w:r>
      <w:proofErr w:type="spellStart"/>
      <w:r w:rsidRPr="004D3DCD">
        <w:rPr>
          <w:rFonts w:ascii="GHEA Grapalat" w:hAnsi="GHEA Grapalat"/>
        </w:rPr>
        <w:t>հիմնականում</w:t>
      </w:r>
      <w:proofErr w:type="spellEnd"/>
      <w:r w:rsidRPr="004D3DCD">
        <w:rPr>
          <w:rFonts w:ascii="GHEA Grapalat" w:hAnsi="GHEA Grapalat"/>
        </w:rPr>
        <w:t xml:space="preserve"> </w:t>
      </w:r>
      <w:proofErr w:type="spellStart"/>
      <w:r w:rsidRPr="004D3DCD">
        <w:rPr>
          <w:rFonts w:ascii="GHEA Grapalat" w:hAnsi="GHEA Grapalat"/>
        </w:rPr>
        <w:t>դիտարկվում</w:t>
      </w:r>
      <w:proofErr w:type="spellEnd"/>
      <w:r w:rsidRPr="004D3DCD">
        <w:rPr>
          <w:rFonts w:ascii="GHEA Grapalat" w:hAnsi="GHEA Grapalat"/>
        </w:rPr>
        <w:t xml:space="preserve"> է </w:t>
      </w:r>
      <w:proofErr w:type="spellStart"/>
      <w:r w:rsidRPr="004D3DCD">
        <w:rPr>
          <w:rFonts w:ascii="GHEA Grapalat" w:hAnsi="GHEA Grapalat"/>
        </w:rPr>
        <w:t>հակակոռուպցիոն</w:t>
      </w:r>
      <w:proofErr w:type="spellEnd"/>
      <w:r w:rsidRPr="004D3DCD">
        <w:rPr>
          <w:rFonts w:ascii="GHEA Grapalat" w:hAnsi="GHEA Grapalat"/>
        </w:rPr>
        <w:t xml:space="preserve"> </w:t>
      </w:r>
      <w:proofErr w:type="spellStart"/>
      <w:r w:rsidRPr="004D3DCD">
        <w:rPr>
          <w:rFonts w:ascii="GHEA Grapalat" w:hAnsi="GHEA Grapalat"/>
        </w:rPr>
        <w:t>քաղաքականության</w:t>
      </w:r>
      <w:proofErr w:type="spellEnd"/>
      <w:r w:rsidRPr="004D3DCD">
        <w:rPr>
          <w:rFonts w:ascii="GHEA Grapalat" w:hAnsi="GHEA Grapalat"/>
        </w:rPr>
        <w:t xml:space="preserve"> </w:t>
      </w:r>
      <w:proofErr w:type="spellStart"/>
      <w:r w:rsidRPr="004D3DCD">
        <w:rPr>
          <w:rFonts w:ascii="GHEA Grapalat" w:hAnsi="GHEA Grapalat"/>
        </w:rPr>
        <w:t>իրականացումը</w:t>
      </w:r>
      <w:proofErr w:type="spellEnd"/>
      <w:r w:rsidRPr="004D3DCD">
        <w:rPr>
          <w:rFonts w:ascii="GHEA Grapalat" w:hAnsi="GHEA Grapalat"/>
        </w:rPr>
        <w:t xml:space="preserve">, </w:t>
      </w:r>
      <w:proofErr w:type="spellStart"/>
      <w:r w:rsidRPr="004D3DCD">
        <w:rPr>
          <w:rFonts w:ascii="GHEA Grapalat" w:hAnsi="GHEA Grapalat"/>
        </w:rPr>
        <w:t>պետության</w:t>
      </w:r>
      <w:proofErr w:type="spellEnd"/>
      <w:r w:rsidRPr="004D3DCD">
        <w:rPr>
          <w:rFonts w:ascii="GHEA Grapalat" w:hAnsi="GHEA Grapalat"/>
        </w:rPr>
        <w:t xml:space="preserve"> </w:t>
      </w:r>
      <w:proofErr w:type="spellStart"/>
      <w:r w:rsidRPr="004D3DCD">
        <w:rPr>
          <w:rFonts w:ascii="GHEA Grapalat" w:hAnsi="GHEA Grapalat"/>
        </w:rPr>
        <w:t>չափազանց</w:t>
      </w:r>
      <w:proofErr w:type="spellEnd"/>
      <w:r w:rsidRPr="004D3DCD">
        <w:rPr>
          <w:rFonts w:ascii="GHEA Grapalat" w:hAnsi="GHEA Grapalat"/>
        </w:rPr>
        <w:t xml:space="preserve"> </w:t>
      </w:r>
      <w:proofErr w:type="spellStart"/>
      <w:r w:rsidRPr="004D3DCD">
        <w:rPr>
          <w:rFonts w:ascii="GHEA Grapalat" w:hAnsi="GHEA Grapalat"/>
        </w:rPr>
        <w:t>մեծ</w:t>
      </w:r>
      <w:proofErr w:type="spellEnd"/>
      <w:r w:rsidRPr="004D3DCD">
        <w:rPr>
          <w:rFonts w:ascii="GHEA Grapalat" w:hAnsi="GHEA Grapalat"/>
        </w:rPr>
        <w:t xml:space="preserve"> </w:t>
      </w:r>
      <w:proofErr w:type="spellStart"/>
      <w:r w:rsidRPr="004D3DCD">
        <w:rPr>
          <w:rFonts w:ascii="GHEA Grapalat" w:hAnsi="GHEA Grapalat"/>
        </w:rPr>
        <w:t>ներգրավվածությունը</w:t>
      </w:r>
      <w:proofErr w:type="spellEnd"/>
      <w:r w:rsidRPr="004D3DCD">
        <w:rPr>
          <w:rFonts w:ascii="GHEA Grapalat" w:hAnsi="GHEA Grapalat"/>
        </w:rPr>
        <w:t xml:space="preserve"> </w:t>
      </w:r>
      <w:proofErr w:type="spellStart"/>
      <w:r w:rsidRPr="004D3DCD">
        <w:rPr>
          <w:rFonts w:ascii="GHEA Grapalat" w:hAnsi="GHEA Grapalat"/>
        </w:rPr>
        <w:t>երկրի</w:t>
      </w:r>
      <w:proofErr w:type="spellEnd"/>
      <w:r w:rsidRPr="004D3DCD">
        <w:rPr>
          <w:rFonts w:ascii="GHEA Grapalat" w:hAnsi="GHEA Grapalat"/>
        </w:rPr>
        <w:t xml:space="preserve"> </w:t>
      </w:r>
      <w:proofErr w:type="spellStart"/>
      <w:r w:rsidRPr="004D3DCD">
        <w:rPr>
          <w:rFonts w:ascii="GHEA Grapalat" w:hAnsi="GHEA Grapalat"/>
        </w:rPr>
        <w:t>տնտեսական</w:t>
      </w:r>
      <w:proofErr w:type="spellEnd"/>
      <w:r w:rsidRPr="004D3DCD">
        <w:rPr>
          <w:rFonts w:ascii="GHEA Grapalat" w:hAnsi="GHEA Grapalat"/>
        </w:rPr>
        <w:t xml:space="preserve"> </w:t>
      </w:r>
      <w:proofErr w:type="spellStart"/>
      <w:r w:rsidRPr="004D3DCD">
        <w:rPr>
          <w:rFonts w:ascii="GHEA Grapalat" w:hAnsi="GHEA Grapalat"/>
        </w:rPr>
        <w:t>կյանքում</w:t>
      </w:r>
      <w:proofErr w:type="spellEnd"/>
      <w:r w:rsidRPr="004D3DCD">
        <w:rPr>
          <w:rFonts w:ascii="GHEA Grapalat" w:hAnsi="GHEA Grapalat"/>
        </w:rPr>
        <w:t xml:space="preserve">, </w:t>
      </w:r>
      <w:proofErr w:type="spellStart"/>
      <w:r w:rsidRPr="004D3DCD">
        <w:rPr>
          <w:rFonts w:ascii="GHEA Grapalat" w:hAnsi="GHEA Grapalat"/>
        </w:rPr>
        <w:t>կոռուպցիան</w:t>
      </w:r>
      <w:proofErr w:type="spellEnd"/>
      <w:r w:rsidRPr="004D3DCD">
        <w:rPr>
          <w:rFonts w:ascii="GHEA Grapalat" w:hAnsi="GHEA Grapalat"/>
        </w:rPr>
        <w:t xml:space="preserve"> և </w:t>
      </w:r>
      <w:proofErr w:type="spellStart"/>
      <w:r w:rsidRPr="004D3DCD">
        <w:rPr>
          <w:rFonts w:ascii="GHEA Grapalat" w:hAnsi="GHEA Grapalat"/>
        </w:rPr>
        <w:t>բյուրոկրատական</w:t>
      </w:r>
      <w:proofErr w:type="spellEnd"/>
      <w:r w:rsidRPr="004D3DCD">
        <w:rPr>
          <w:rFonts w:ascii="GHEA Grapalat" w:hAnsi="GHEA Grapalat"/>
        </w:rPr>
        <w:t xml:space="preserve"> </w:t>
      </w:r>
      <w:proofErr w:type="spellStart"/>
      <w:r w:rsidRPr="004D3DCD">
        <w:rPr>
          <w:rFonts w:ascii="GHEA Grapalat" w:hAnsi="GHEA Grapalat"/>
        </w:rPr>
        <w:t>քաշքշուկները</w:t>
      </w:r>
      <w:proofErr w:type="spellEnd"/>
      <w:r w:rsidRPr="004D3DCD">
        <w:rPr>
          <w:rFonts w:ascii="GHEA Grapalat" w:hAnsi="GHEA Grapalat"/>
        </w:rPr>
        <w:t xml:space="preserve"> </w:t>
      </w:r>
      <w:proofErr w:type="spellStart"/>
      <w:r w:rsidRPr="004D3DCD">
        <w:rPr>
          <w:rFonts w:ascii="GHEA Grapalat" w:hAnsi="GHEA Grapalat"/>
        </w:rPr>
        <w:t>տնտեսական</w:t>
      </w:r>
      <w:proofErr w:type="spellEnd"/>
      <w:r w:rsidRPr="004D3DCD">
        <w:rPr>
          <w:rFonts w:ascii="GHEA Grapalat" w:hAnsi="GHEA Grapalat"/>
        </w:rPr>
        <w:t xml:space="preserve"> </w:t>
      </w:r>
      <w:proofErr w:type="spellStart"/>
      <w:r w:rsidRPr="004D3DCD">
        <w:rPr>
          <w:rFonts w:ascii="GHEA Grapalat" w:hAnsi="GHEA Grapalat"/>
        </w:rPr>
        <w:t>ոլորտում</w:t>
      </w:r>
      <w:proofErr w:type="spellEnd"/>
      <w:r w:rsidRPr="004D3DCD">
        <w:rPr>
          <w:rFonts w:ascii="GHEA Grapalat" w:hAnsi="GHEA Grapalat"/>
        </w:rPr>
        <w:t xml:space="preserve"> և </w:t>
      </w:r>
      <w:proofErr w:type="spellStart"/>
      <w:r w:rsidRPr="004D3DCD">
        <w:rPr>
          <w:rFonts w:ascii="GHEA Grapalat" w:hAnsi="GHEA Grapalat"/>
        </w:rPr>
        <w:t>այլն</w:t>
      </w:r>
      <w:proofErr w:type="spellEnd"/>
      <w:r w:rsidRPr="004D3DCD">
        <w:rPr>
          <w:rFonts w:ascii="GHEA Grapalat" w:hAnsi="GHEA Grapalat"/>
        </w:rPr>
        <w:t>:</w:t>
      </w:r>
    </w:p>
  </w:footnote>
  <w:footnote w:id="16">
    <w:p w14:paraId="6E1A638D" w14:textId="48ECFC42" w:rsidR="001720A3" w:rsidRPr="004D3DCD" w:rsidRDefault="001720A3" w:rsidP="004D3DCD">
      <w:pPr>
        <w:tabs>
          <w:tab w:val="left" w:pos="426"/>
        </w:tabs>
        <w:spacing w:line="240" w:lineRule="auto"/>
        <w:ind w:firstLine="0"/>
        <w:rPr>
          <w:sz w:val="20"/>
          <w:szCs w:val="20"/>
        </w:rPr>
      </w:pPr>
      <w:r w:rsidRPr="004D3DCD">
        <w:rPr>
          <w:rStyle w:val="FootnoteReference"/>
          <w:sz w:val="20"/>
          <w:szCs w:val="20"/>
        </w:rPr>
        <w:footnoteRef/>
      </w:r>
      <w:r w:rsidRPr="004D3DCD">
        <w:rPr>
          <w:sz w:val="20"/>
          <w:szCs w:val="20"/>
        </w:rPr>
        <w:t xml:space="preserve"> Ինդեքսը ներկայացնում է քաղաքական, տնտեսական, ֆինանսական և համակցված ռիսկերի վարկանիշներն ու կանխատեսումները, որի շրջանակում կոռուպցիան գնահատվում է քաղաքական համակարգի ներսում :</w:t>
      </w:r>
    </w:p>
  </w:footnote>
  <w:footnote w:id="17">
    <w:p w14:paraId="056A00CA"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rPr>
        <w:t xml:space="preserve"> </w:t>
      </w:r>
      <w:r w:rsidRPr="004D3DCD">
        <w:rPr>
          <w:rFonts w:ascii="GHEA Grapalat" w:hAnsi="GHEA Grapalat"/>
          <w:lang w:val="hy-AM"/>
        </w:rPr>
        <w:t>Չ</w:t>
      </w:r>
      <w:proofErr w:type="spellStart"/>
      <w:r w:rsidRPr="004D3DCD">
        <w:rPr>
          <w:rFonts w:ascii="GHEA Grapalat" w:hAnsi="GHEA Grapalat"/>
        </w:rPr>
        <w:t>ափում</w:t>
      </w:r>
      <w:proofErr w:type="spellEnd"/>
      <w:r w:rsidRPr="004D3DCD">
        <w:rPr>
          <w:rFonts w:ascii="GHEA Grapalat" w:hAnsi="GHEA Grapalat"/>
        </w:rPr>
        <w:t xml:space="preserve"> է </w:t>
      </w:r>
      <w:proofErr w:type="spellStart"/>
      <w:r w:rsidRPr="004D3DCD">
        <w:rPr>
          <w:rFonts w:ascii="GHEA Grapalat" w:hAnsi="GHEA Grapalat"/>
        </w:rPr>
        <w:t>ժողովրդավարության</w:t>
      </w:r>
      <w:proofErr w:type="spellEnd"/>
      <w:r w:rsidRPr="004D3DCD">
        <w:rPr>
          <w:rFonts w:ascii="GHEA Grapalat" w:hAnsi="GHEA Grapalat"/>
        </w:rPr>
        <w:t xml:space="preserve">, </w:t>
      </w:r>
      <w:proofErr w:type="spellStart"/>
      <w:r w:rsidRPr="004D3DCD">
        <w:rPr>
          <w:rFonts w:ascii="GHEA Grapalat" w:hAnsi="GHEA Grapalat"/>
        </w:rPr>
        <w:t>շուկայական</w:t>
      </w:r>
      <w:proofErr w:type="spellEnd"/>
      <w:r w:rsidRPr="004D3DCD">
        <w:rPr>
          <w:rFonts w:ascii="GHEA Grapalat" w:hAnsi="GHEA Grapalat"/>
        </w:rPr>
        <w:t xml:space="preserve"> </w:t>
      </w:r>
      <w:proofErr w:type="spellStart"/>
      <w:r w:rsidRPr="004D3DCD">
        <w:rPr>
          <w:rFonts w:ascii="GHEA Grapalat" w:hAnsi="GHEA Grapalat"/>
        </w:rPr>
        <w:t>տնտեսության</w:t>
      </w:r>
      <w:proofErr w:type="spellEnd"/>
      <w:r w:rsidRPr="004D3DCD">
        <w:rPr>
          <w:rFonts w:ascii="GHEA Grapalat" w:hAnsi="GHEA Grapalat"/>
        </w:rPr>
        <w:t xml:space="preserve"> և </w:t>
      </w:r>
      <w:proofErr w:type="spellStart"/>
      <w:r w:rsidRPr="004D3DCD">
        <w:rPr>
          <w:rFonts w:ascii="GHEA Grapalat" w:hAnsi="GHEA Grapalat"/>
        </w:rPr>
        <w:t>կառավարման</w:t>
      </w:r>
      <w:proofErr w:type="spellEnd"/>
      <w:r w:rsidRPr="004D3DCD">
        <w:rPr>
          <w:rFonts w:ascii="GHEA Grapalat" w:hAnsi="GHEA Grapalat"/>
        </w:rPr>
        <w:t xml:space="preserve"> </w:t>
      </w:r>
      <w:proofErr w:type="spellStart"/>
      <w:r w:rsidRPr="004D3DCD">
        <w:rPr>
          <w:rFonts w:ascii="GHEA Grapalat" w:hAnsi="GHEA Grapalat"/>
        </w:rPr>
        <w:t>որակը</w:t>
      </w:r>
      <w:proofErr w:type="spellEnd"/>
      <w:r w:rsidRPr="004D3DCD">
        <w:rPr>
          <w:rFonts w:ascii="GHEA Grapalat" w:hAnsi="GHEA Grapalat"/>
        </w:rPr>
        <w:t xml:space="preserve">, </w:t>
      </w:r>
      <w:proofErr w:type="spellStart"/>
      <w:r w:rsidRPr="004D3DCD">
        <w:rPr>
          <w:rFonts w:ascii="GHEA Grapalat" w:hAnsi="GHEA Grapalat"/>
        </w:rPr>
        <w:t>կոռուպցիայի</w:t>
      </w:r>
      <w:proofErr w:type="spellEnd"/>
      <w:r w:rsidRPr="004D3DCD">
        <w:rPr>
          <w:rFonts w:ascii="GHEA Grapalat" w:hAnsi="GHEA Grapalat"/>
        </w:rPr>
        <w:t xml:space="preserve"> </w:t>
      </w:r>
      <w:proofErr w:type="spellStart"/>
      <w:r w:rsidRPr="004D3DCD">
        <w:rPr>
          <w:rFonts w:ascii="GHEA Grapalat" w:hAnsi="GHEA Grapalat"/>
        </w:rPr>
        <w:t>առնչությամբ</w:t>
      </w:r>
      <w:proofErr w:type="spellEnd"/>
      <w:r w:rsidRPr="004D3DCD">
        <w:rPr>
          <w:rFonts w:ascii="GHEA Grapalat" w:hAnsi="GHEA Grapalat"/>
        </w:rPr>
        <w:t xml:space="preserve"> </w:t>
      </w:r>
      <w:proofErr w:type="spellStart"/>
      <w:r w:rsidRPr="004D3DCD">
        <w:rPr>
          <w:rFonts w:ascii="GHEA Grapalat" w:hAnsi="GHEA Grapalat"/>
        </w:rPr>
        <w:t>պարզվում</w:t>
      </w:r>
      <w:proofErr w:type="spellEnd"/>
      <w:r w:rsidRPr="004D3DCD">
        <w:rPr>
          <w:rFonts w:ascii="GHEA Grapalat" w:hAnsi="GHEA Grapalat"/>
        </w:rPr>
        <w:t xml:space="preserve"> է, </w:t>
      </w:r>
      <w:proofErr w:type="spellStart"/>
      <w:r w:rsidRPr="004D3DCD">
        <w:rPr>
          <w:rFonts w:ascii="GHEA Grapalat" w:hAnsi="GHEA Grapalat"/>
        </w:rPr>
        <w:t>թե</w:t>
      </w:r>
      <w:proofErr w:type="spellEnd"/>
      <w:r w:rsidRPr="004D3DCD">
        <w:rPr>
          <w:rFonts w:ascii="GHEA Grapalat" w:hAnsi="GHEA Grapalat"/>
        </w:rPr>
        <w:t xml:space="preserve"> </w:t>
      </w:r>
      <w:proofErr w:type="spellStart"/>
      <w:r w:rsidRPr="004D3DCD">
        <w:rPr>
          <w:rFonts w:ascii="GHEA Grapalat" w:hAnsi="GHEA Grapalat"/>
        </w:rPr>
        <w:t>որքանով</w:t>
      </w:r>
      <w:proofErr w:type="spellEnd"/>
      <w:r w:rsidRPr="004D3DCD">
        <w:rPr>
          <w:rFonts w:ascii="GHEA Grapalat" w:hAnsi="GHEA Grapalat"/>
        </w:rPr>
        <w:t xml:space="preserve"> </w:t>
      </w:r>
      <w:proofErr w:type="spellStart"/>
      <w:r w:rsidRPr="004D3DCD">
        <w:rPr>
          <w:rFonts w:ascii="GHEA Grapalat" w:hAnsi="GHEA Grapalat"/>
        </w:rPr>
        <w:t>են</w:t>
      </w:r>
      <w:proofErr w:type="spellEnd"/>
      <w:r w:rsidRPr="004D3DCD">
        <w:rPr>
          <w:rFonts w:ascii="GHEA Grapalat" w:hAnsi="GHEA Grapalat"/>
        </w:rPr>
        <w:t xml:space="preserve"> </w:t>
      </w:r>
      <w:proofErr w:type="spellStart"/>
      <w:r w:rsidRPr="004D3DCD">
        <w:rPr>
          <w:rFonts w:ascii="GHEA Grapalat" w:hAnsi="GHEA Grapalat"/>
        </w:rPr>
        <w:t>հետապնդվում</w:t>
      </w:r>
      <w:proofErr w:type="spellEnd"/>
      <w:r w:rsidRPr="004D3DCD">
        <w:rPr>
          <w:rFonts w:ascii="GHEA Grapalat" w:hAnsi="GHEA Grapalat"/>
        </w:rPr>
        <w:t xml:space="preserve"> </w:t>
      </w:r>
      <w:proofErr w:type="spellStart"/>
      <w:r w:rsidRPr="004D3DCD">
        <w:rPr>
          <w:rFonts w:ascii="GHEA Grapalat" w:hAnsi="GHEA Grapalat"/>
        </w:rPr>
        <w:t>կամ</w:t>
      </w:r>
      <w:proofErr w:type="spellEnd"/>
      <w:r w:rsidRPr="004D3DCD">
        <w:rPr>
          <w:rFonts w:ascii="GHEA Grapalat" w:hAnsi="GHEA Grapalat"/>
        </w:rPr>
        <w:t xml:space="preserve"> </w:t>
      </w:r>
      <w:proofErr w:type="spellStart"/>
      <w:r w:rsidRPr="004D3DCD">
        <w:rPr>
          <w:rFonts w:ascii="GHEA Grapalat" w:hAnsi="GHEA Grapalat"/>
        </w:rPr>
        <w:t>պատժվում</w:t>
      </w:r>
      <w:proofErr w:type="spellEnd"/>
      <w:r w:rsidRPr="004D3DCD">
        <w:rPr>
          <w:rFonts w:ascii="GHEA Grapalat" w:hAnsi="GHEA Grapalat"/>
        </w:rPr>
        <w:t xml:space="preserve"> </w:t>
      </w:r>
      <w:proofErr w:type="spellStart"/>
      <w:r w:rsidRPr="004D3DCD">
        <w:rPr>
          <w:rFonts w:ascii="GHEA Grapalat" w:hAnsi="GHEA Grapalat"/>
        </w:rPr>
        <w:t>իրենց</w:t>
      </w:r>
      <w:proofErr w:type="spellEnd"/>
      <w:r w:rsidRPr="004D3DCD">
        <w:rPr>
          <w:rFonts w:ascii="GHEA Grapalat" w:hAnsi="GHEA Grapalat"/>
        </w:rPr>
        <w:t xml:space="preserve"> </w:t>
      </w:r>
      <w:proofErr w:type="spellStart"/>
      <w:r w:rsidRPr="004D3DCD">
        <w:rPr>
          <w:rFonts w:ascii="GHEA Grapalat" w:hAnsi="GHEA Grapalat"/>
        </w:rPr>
        <w:t>պաշտոնը</w:t>
      </w:r>
      <w:proofErr w:type="spellEnd"/>
      <w:r w:rsidRPr="004D3DCD">
        <w:rPr>
          <w:rFonts w:ascii="GHEA Grapalat" w:hAnsi="GHEA Grapalat"/>
        </w:rPr>
        <w:t xml:space="preserve"> </w:t>
      </w:r>
      <w:proofErr w:type="spellStart"/>
      <w:r w:rsidRPr="004D3DCD">
        <w:rPr>
          <w:rFonts w:ascii="GHEA Grapalat" w:hAnsi="GHEA Grapalat"/>
        </w:rPr>
        <w:t>չարաշահող</w:t>
      </w:r>
      <w:proofErr w:type="spellEnd"/>
      <w:r w:rsidRPr="004D3DCD">
        <w:rPr>
          <w:rFonts w:ascii="GHEA Grapalat" w:hAnsi="GHEA Grapalat"/>
        </w:rPr>
        <w:t xml:space="preserve"> </w:t>
      </w:r>
      <w:proofErr w:type="spellStart"/>
      <w:r w:rsidRPr="004D3DCD">
        <w:rPr>
          <w:rFonts w:ascii="GHEA Grapalat" w:hAnsi="GHEA Grapalat"/>
        </w:rPr>
        <w:t>պետական</w:t>
      </w:r>
      <w:proofErr w:type="spellEnd"/>
      <w:r w:rsidRPr="004D3DCD">
        <w:rPr>
          <w:rFonts w:ascii="GHEA Grapalat" w:hAnsi="GHEA Grapalat"/>
        </w:rPr>
        <w:t xml:space="preserve"> </w:t>
      </w:r>
      <w:proofErr w:type="spellStart"/>
      <w:r w:rsidRPr="004D3DCD">
        <w:rPr>
          <w:rFonts w:ascii="GHEA Grapalat" w:hAnsi="GHEA Grapalat"/>
        </w:rPr>
        <w:t>պաշտոնատար</w:t>
      </w:r>
      <w:proofErr w:type="spellEnd"/>
      <w:r w:rsidRPr="004D3DCD">
        <w:rPr>
          <w:rFonts w:ascii="GHEA Grapalat" w:hAnsi="GHEA Grapalat"/>
        </w:rPr>
        <w:t xml:space="preserve"> </w:t>
      </w:r>
      <w:proofErr w:type="spellStart"/>
      <w:r w:rsidRPr="004D3DCD">
        <w:rPr>
          <w:rFonts w:ascii="GHEA Grapalat" w:hAnsi="GHEA Grapalat"/>
        </w:rPr>
        <w:t>անձինք</w:t>
      </w:r>
      <w:proofErr w:type="spellEnd"/>
      <w:r w:rsidRPr="004D3DCD">
        <w:rPr>
          <w:rFonts w:ascii="GHEA Grapalat" w:hAnsi="GHEA Grapalat"/>
        </w:rPr>
        <w:t xml:space="preserve"> և </w:t>
      </w:r>
      <w:proofErr w:type="spellStart"/>
      <w:r w:rsidRPr="004D3DCD">
        <w:rPr>
          <w:rFonts w:ascii="GHEA Grapalat" w:hAnsi="GHEA Grapalat"/>
        </w:rPr>
        <w:t>որքանով</w:t>
      </w:r>
      <w:proofErr w:type="spellEnd"/>
      <w:r w:rsidRPr="004D3DCD">
        <w:rPr>
          <w:rFonts w:ascii="GHEA Grapalat" w:hAnsi="GHEA Grapalat"/>
        </w:rPr>
        <w:t xml:space="preserve"> է </w:t>
      </w:r>
      <w:proofErr w:type="spellStart"/>
      <w:r w:rsidRPr="004D3DCD">
        <w:rPr>
          <w:rFonts w:ascii="GHEA Grapalat" w:hAnsi="GHEA Grapalat"/>
        </w:rPr>
        <w:t>կառավարությունը</w:t>
      </w:r>
      <w:proofErr w:type="spellEnd"/>
      <w:r w:rsidRPr="004D3DCD">
        <w:rPr>
          <w:rFonts w:ascii="GHEA Grapalat" w:hAnsi="GHEA Grapalat"/>
        </w:rPr>
        <w:t xml:space="preserve"> </w:t>
      </w:r>
      <w:proofErr w:type="spellStart"/>
      <w:r w:rsidRPr="004D3DCD">
        <w:rPr>
          <w:rFonts w:ascii="GHEA Grapalat" w:hAnsi="GHEA Grapalat"/>
        </w:rPr>
        <w:t>հաջողությամբ</w:t>
      </w:r>
      <w:proofErr w:type="spellEnd"/>
      <w:r w:rsidRPr="004D3DCD">
        <w:rPr>
          <w:rFonts w:ascii="GHEA Grapalat" w:hAnsi="GHEA Grapalat"/>
        </w:rPr>
        <w:t xml:space="preserve"> </w:t>
      </w:r>
      <w:proofErr w:type="spellStart"/>
      <w:r w:rsidRPr="004D3DCD">
        <w:rPr>
          <w:rFonts w:ascii="GHEA Grapalat" w:hAnsi="GHEA Grapalat"/>
        </w:rPr>
        <w:t>զսպում</w:t>
      </w:r>
      <w:proofErr w:type="spellEnd"/>
      <w:r w:rsidRPr="004D3DCD">
        <w:rPr>
          <w:rFonts w:ascii="GHEA Grapalat" w:hAnsi="GHEA Grapalat"/>
        </w:rPr>
        <w:t xml:space="preserve"> </w:t>
      </w:r>
      <w:proofErr w:type="spellStart"/>
      <w:r w:rsidRPr="004D3DCD">
        <w:rPr>
          <w:rFonts w:ascii="GHEA Grapalat" w:hAnsi="GHEA Grapalat"/>
        </w:rPr>
        <w:t>կոռուպցիան</w:t>
      </w:r>
      <w:proofErr w:type="spellEnd"/>
      <w:r w:rsidRPr="004D3DCD">
        <w:rPr>
          <w:rFonts w:ascii="GHEA Grapalat" w:hAnsi="GHEA Grapalat"/>
        </w:rPr>
        <w:t>:</w:t>
      </w:r>
    </w:p>
  </w:footnote>
  <w:footnote w:id="18">
    <w:p w14:paraId="4EACF81C" w14:textId="73A45314" w:rsidR="001720A3" w:rsidRPr="004D3DCD" w:rsidRDefault="001720A3" w:rsidP="004D3DCD">
      <w:pPr>
        <w:tabs>
          <w:tab w:val="left" w:pos="426"/>
        </w:tabs>
        <w:spacing w:line="240" w:lineRule="auto"/>
        <w:ind w:firstLine="0"/>
        <w:rPr>
          <w:sz w:val="20"/>
          <w:szCs w:val="20"/>
        </w:rPr>
      </w:pPr>
      <w:r w:rsidRPr="004D3DCD">
        <w:rPr>
          <w:rStyle w:val="FootnoteReference"/>
          <w:sz w:val="20"/>
          <w:szCs w:val="20"/>
        </w:rPr>
        <w:footnoteRef/>
      </w:r>
      <w:r w:rsidRPr="004D3DCD">
        <w:rPr>
          <w:sz w:val="20"/>
          <w:szCs w:val="20"/>
        </w:rPr>
        <w:t xml:space="preserve"> Ներառում է քաղաքական, տնտեսական, իրավական, հարկային գործառնական և անվտանգության ռիսկերի վերլուծությունը: Գնահատում են կոռուպցիայի լայն շրջանակ՝ մանր կաշառք տալուց մինչև ավելի բարձր մակարդակի քաղաքական կոռուպցիան: </w:t>
      </w:r>
    </w:p>
    <w:p w14:paraId="5CB722E3" w14:textId="77777777" w:rsidR="001720A3" w:rsidRPr="004D3DCD" w:rsidRDefault="001720A3" w:rsidP="004D3DCD">
      <w:pPr>
        <w:pStyle w:val="FootnoteText"/>
        <w:tabs>
          <w:tab w:val="left" w:pos="426"/>
        </w:tabs>
        <w:jc w:val="both"/>
        <w:rPr>
          <w:rFonts w:ascii="GHEA Grapalat" w:hAnsi="GHEA Grapalat"/>
          <w:lang w:val="hy-AM"/>
        </w:rPr>
      </w:pPr>
    </w:p>
  </w:footnote>
  <w:footnote w:id="19">
    <w:p w14:paraId="296E1AE4" w14:textId="77777777" w:rsidR="001720A3" w:rsidRPr="004D3DCD" w:rsidRDefault="001720A3" w:rsidP="004D3DCD">
      <w:pPr>
        <w:pStyle w:val="FootnoteText"/>
        <w:tabs>
          <w:tab w:val="left" w:pos="426"/>
        </w:tabs>
        <w:jc w:val="both"/>
        <w:rPr>
          <w:rFonts w:ascii="GHEA Grapalat" w:hAnsi="GHEA Grapalat"/>
        </w:rPr>
      </w:pPr>
      <w:r w:rsidRPr="004D3DCD">
        <w:rPr>
          <w:rStyle w:val="FootnoteReference"/>
          <w:rFonts w:ascii="GHEA Grapalat" w:hAnsi="GHEA Grapalat"/>
          <w:color w:val="323E4F" w:themeColor="text2" w:themeShade="BF"/>
        </w:rPr>
        <w:footnoteRef/>
      </w:r>
      <w:r w:rsidRPr="004D3DCD">
        <w:rPr>
          <w:rFonts w:ascii="GHEA Grapalat" w:hAnsi="GHEA Grapalat"/>
          <w:color w:val="323E4F" w:themeColor="text2" w:themeShade="BF"/>
        </w:rPr>
        <w:t xml:space="preserve"> </w:t>
      </w:r>
      <w:hyperlink r:id="rId10" w:history="1">
        <w:r w:rsidRPr="004D3DCD">
          <w:rPr>
            <w:rStyle w:val="Hyperlink"/>
            <w:rFonts w:ascii="GHEA Grapalat" w:hAnsi="GHEA Grapalat"/>
          </w:rPr>
          <w:t>https://www.unodc.org/documents/treaties/UNCAC/WorkingGroups/ImplementationReviewGroup/14-18June2021/CAC-COSP-IRG-II-3-1-ADD.3/V2102056_E.pdf</w:t>
        </w:r>
      </w:hyperlink>
      <w:r w:rsidRPr="004D3DCD">
        <w:rPr>
          <w:rFonts w:ascii="GHEA Grapalat" w:hAnsi="GHEA Grapalat"/>
          <w:color w:val="323E4F" w:themeColor="text2" w:themeShade="BF"/>
        </w:rPr>
        <w:t xml:space="preserve"> </w:t>
      </w:r>
    </w:p>
  </w:footnote>
  <w:footnote w:id="20">
    <w:p w14:paraId="000A6909" w14:textId="469FA64E"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cs="Arian AMU"/>
        </w:rPr>
        <w:t xml:space="preserve"> </w:t>
      </w:r>
      <w:hyperlink r:id="rId11" w:history="1">
        <w:r w:rsidRPr="004D3DCD">
          <w:rPr>
            <w:rStyle w:val="Hyperlink"/>
            <w:rFonts w:ascii="GHEA Grapalat" w:hAnsi="GHEA Grapalat"/>
          </w:rPr>
          <w:t>Armenia_Final-Presentation_08.05.2023_Arm.pdf</w:t>
        </w:r>
      </w:hyperlink>
      <w:r w:rsidRPr="004D3DCD">
        <w:rPr>
          <w:rFonts w:ascii="GHEA Grapalat" w:hAnsi="GHEA Grapalat"/>
          <w:lang w:val="hy-AM"/>
        </w:rPr>
        <w:t xml:space="preserve"> </w:t>
      </w:r>
    </w:p>
  </w:footnote>
  <w:footnote w:id="21">
    <w:p w14:paraId="122DB00A"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rPr>
        <w:t xml:space="preserve"> </w:t>
      </w:r>
      <w:hyperlink r:id="rId12" w:history="1">
        <w:r w:rsidRPr="004D3DCD">
          <w:rPr>
            <w:rStyle w:val="Hyperlink"/>
            <w:rFonts w:ascii="GHEA Grapalat" w:hAnsi="GHEA Grapalat"/>
          </w:rPr>
          <w:t>https://www.crrc.am/wp-content/uploads/2022/11/Corruption-in-Armenia_Research-report_Arm.pdf</w:t>
        </w:r>
      </w:hyperlink>
      <w:r w:rsidRPr="004D3DCD">
        <w:rPr>
          <w:rFonts w:ascii="GHEA Grapalat" w:hAnsi="GHEA Grapalat"/>
          <w:lang w:val="hy-AM"/>
        </w:rPr>
        <w:t xml:space="preserve"> </w:t>
      </w:r>
    </w:p>
  </w:footnote>
  <w:footnote w:id="22">
    <w:p w14:paraId="5AE75AF3" w14:textId="77777777" w:rsidR="001720A3" w:rsidRPr="004D3DCD" w:rsidRDefault="001720A3" w:rsidP="004D3DCD">
      <w:pPr>
        <w:pStyle w:val="FootnoteText"/>
        <w:tabs>
          <w:tab w:val="left" w:pos="426"/>
        </w:tabs>
        <w:jc w:val="both"/>
        <w:rPr>
          <w:rFonts w:ascii="GHEA Grapalat" w:hAnsi="GHEA Grapalat"/>
          <w:color w:val="000000" w:themeColor="text1"/>
          <w:lang w:val="hy-AM"/>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hyperlink r:id="rId13" w:history="1">
        <w:r w:rsidRPr="004D3DCD">
          <w:rPr>
            <w:rStyle w:val="Hyperlink"/>
            <w:rFonts w:ascii="GHEA Grapalat" w:hAnsi="GHEA Grapalat"/>
            <w:color w:val="000000" w:themeColor="text1"/>
          </w:rPr>
          <w:t>https://www.arlis.am/DocumentView.aspx?docid=171592#</w:t>
        </w:r>
      </w:hyperlink>
      <w:r w:rsidRPr="004D3DCD">
        <w:rPr>
          <w:rFonts w:ascii="GHEA Grapalat" w:hAnsi="GHEA Grapalat"/>
          <w:color w:val="000000" w:themeColor="text1"/>
        </w:rPr>
        <w:t xml:space="preserve">: </w:t>
      </w:r>
    </w:p>
  </w:footnote>
  <w:footnote w:id="23">
    <w:p w14:paraId="7898F643" w14:textId="77777777" w:rsidR="001720A3" w:rsidRPr="004D3DCD" w:rsidRDefault="001720A3" w:rsidP="004D3DCD">
      <w:pPr>
        <w:pStyle w:val="FootnoteText"/>
        <w:tabs>
          <w:tab w:val="left" w:pos="426"/>
        </w:tabs>
        <w:jc w:val="both"/>
        <w:rPr>
          <w:rFonts w:ascii="GHEA Grapalat" w:hAnsi="GHEA Grapalat"/>
          <w:color w:val="000000" w:themeColor="text1"/>
          <w:lang w:val="hy-AM"/>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Կոռուպցիայի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կանխարգելման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հանձնաժողովի</w:t>
      </w:r>
      <w:proofErr w:type="spellEnd"/>
      <w:r w:rsidRPr="004D3DCD">
        <w:rPr>
          <w:rFonts w:ascii="GHEA Grapalat" w:hAnsi="GHEA Grapalat"/>
          <w:color w:val="000000" w:themeColor="text1"/>
        </w:rPr>
        <w:t xml:space="preserve"> </w:t>
      </w:r>
      <w:r w:rsidRPr="004D3DCD">
        <w:rPr>
          <w:rFonts w:ascii="GHEA Grapalat" w:hAnsi="GHEA Grapalat"/>
          <w:color w:val="000000" w:themeColor="text1"/>
          <w:lang w:val="hy-AM"/>
        </w:rPr>
        <w:t>2022 թվականի գործունեության մասին հաղորդում, http://cpcarmenia.am/files/legislation/995.pdf:</w:t>
      </w:r>
    </w:p>
  </w:footnote>
  <w:footnote w:id="24">
    <w:p w14:paraId="1F2C6E50"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Բարեվարքության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ինստիտուցիոնալ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համակարգը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հայաստանի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հանրային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կառավարման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ոլորտում</w:t>
      </w:r>
      <w:proofErr w:type="spellEnd"/>
      <w:r w:rsidRPr="004D3DCD">
        <w:rPr>
          <w:rFonts w:ascii="GHEA Grapalat" w:hAnsi="GHEA Grapalat"/>
          <w:color w:val="000000" w:themeColor="text1"/>
        </w:rPr>
        <w:t xml:space="preserve">», ԹԻՀԿ, </w:t>
      </w:r>
      <w:proofErr w:type="spellStart"/>
      <w:r w:rsidRPr="004D3DCD">
        <w:rPr>
          <w:rFonts w:ascii="GHEA Grapalat" w:hAnsi="GHEA Grapalat"/>
          <w:color w:val="000000" w:themeColor="text1"/>
        </w:rPr>
        <w:t>Երևան</w:t>
      </w:r>
      <w:proofErr w:type="spellEnd"/>
      <w:r w:rsidRPr="004D3DCD">
        <w:rPr>
          <w:rFonts w:ascii="GHEA Grapalat" w:hAnsi="GHEA Grapalat"/>
          <w:color w:val="000000" w:themeColor="text1"/>
        </w:rPr>
        <w:t xml:space="preserve"> 2021, </w:t>
      </w:r>
      <w:hyperlink r:id="rId14" w:history="1">
        <w:r w:rsidRPr="004D3DCD">
          <w:rPr>
            <w:rStyle w:val="Hyperlink"/>
            <w:rFonts w:ascii="GHEA Grapalat" w:hAnsi="GHEA Grapalat"/>
            <w:color w:val="000000" w:themeColor="text1"/>
          </w:rPr>
          <w:t>https://transparency.am/hy/publication/pdf/244/1351</w:t>
        </w:r>
      </w:hyperlink>
      <w:r w:rsidRPr="004D3DCD">
        <w:rPr>
          <w:rStyle w:val="Hyperlink"/>
          <w:rFonts w:ascii="GHEA Grapalat" w:hAnsi="GHEA Grapalat"/>
          <w:color w:val="000000" w:themeColor="text1"/>
        </w:rPr>
        <w:t>:</w:t>
      </w:r>
      <w:r w:rsidRPr="004D3DCD">
        <w:rPr>
          <w:rFonts w:ascii="GHEA Grapalat" w:hAnsi="GHEA Grapalat"/>
          <w:color w:val="000000" w:themeColor="text1"/>
        </w:rPr>
        <w:t xml:space="preserve"> </w:t>
      </w:r>
    </w:p>
    <w:p w14:paraId="0690C437" w14:textId="77777777" w:rsidR="001720A3" w:rsidRPr="004D3DCD" w:rsidRDefault="001720A3" w:rsidP="004D3DCD">
      <w:pPr>
        <w:pStyle w:val="FootnoteText"/>
        <w:tabs>
          <w:tab w:val="left" w:pos="426"/>
        </w:tabs>
        <w:ind w:left="142" w:hanging="142"/>
        <w:jc w:val="both"/>
        <w:rPr>
          <w:rFonts w:ascii="GHEA Grapalat" w:hAnsi="GHEA Grapalat"/>
          <w:color w:val="000000" w:themeColor="text1"/>
        </w:rPr>
      </w:pPr>
    </w:p>
  </w:footnote>
  <w:footnote w:id="25">
    <w:p w14:paraId="7AC41A97"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rPr>
        <w:t xml:space="preserve"> </w:t>
      </w:r>
      <w:r w:rsidRPr="004D3DCD">
        <w:rPr>
          <w:rFonts w:ascii="GHEA Grapalat" w:hAnsi="GHEA Grapalat"/>
          <w:lang w:val="hy-AM"/>
        </w:rPr>
        <w:t xml:space="preserve">Մանրամասները տես՝ Բաժին </w:t>
      </w:r>
      <w:r w:rsidRPr="004D3DCD">
        <w:rPr>
          <w:rFonts w:ascii="GHEA Grapalat" w:hAnsi="GHEA Grapalat"/>
          <w:lang w:val="en-US"/>
        </w:rPr>
        <w:t>I</w:t>
      </w:r>
      <w:r w:rsidRPr="004D3DCD">
        <w:rPr>
          <w:rFonts w:ascii="GHEA Grapalat" w:hAnsi="GHEA Grapalat"/>
          <w:lang w:val="hy-AM"/>
        </w:rPr>
        <w:t>-ում։</w:t>
      </w:r>
    </w:p>
  </w:footnote>
  <w:footnote w:id="26">
    <w:p w14:paraId="457867D8"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hyperlink r:id="rId15" w:history="1">
        <w:r w:rsidRPr="004D3DCD">
          <w:rPr>
            <w:rStyle w:val="Hyperlink"/>
            <w:rFonts w:ascii="GHEA Grapalat" w:hAnsi="GHEA Grapalat"/>
            <w:color w:val="000000" w:themeColor="text1"/>
          </w:rPr>
          <w:t>http://parliament.am/draft_history.php?id=13534</w:t>
        </w:r>
      </w:hyperlink>
      <w:r w:rsidRPr="004D3DCD">
        <w:rPr>
          <w:rFonts w:ascii="GHEA Grapalat" w:hAnsi="GHEA Grapalat"/>
          <w:color w:val="000000" w:themeColor="text1"/>
        </w:rPr>
        <w:t xml:space="preserve"> </w:t>
      </w:r>
    </w:p>
  </w:footnote>
  <w:footnote w:id="27">
    <w:p w14:paraId="0CA9125E" w14:textId="2946F4C9"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rPr>
        <w:t xml:space="preserve"> </w:t>
      </w:r>
      <w:r w:rsidRPr="004D3DCD">
        <w:rPr>
          <w:rFonts w:ascii="GHEA Grapalat" w:hAnsi="GHEA Grapalat"/>
          <w:lang w:val="hy-AM"/>
        </w:rPr>
        <w:t xml:space="preserve">Մանրամասները՝ Բաժին </w:t>
      </w:r>
      <w:r w:rsidRPr="004D3DCD">
        <w:rPr>
          <w:rFonts w:ascii="GHEA Grapalat" w:hAnsi="GHEA Grapalat"/>
          <w:lang w:val="en-US"/>
        </w:rPr>
        <w:t>1-</w:t>
      </w:r>
      <w:r w:rsidRPr="004D3DCD">
        <w:rPr>
          <w:rFonts w:ascii="GHEA Grapalat" w:hAnsi="GHEA Grapalat"/>
          <w:lang w:val="hy-AM"/>
        </w:rPr>
        <w:t>ում։</w:t>
      </w:r>
    </w:p>
  </w:footnote>
  <w:footnote w:id="28">
    <w:p w14:paraId="62CF6B70" w14:textId="77777777" w:rsidR="001720A3" w:rsidRPr="004D3DCD" w:rsidRDefault="001720A3" w:rsidP="004D3DCD">
      <w:pPr>
        <w:pStyle w:val="FootnoteText"/>
        <w:tabs>
          <w:tab w:val="left" w:pos="426"/>
        </w:tabs>
        <w:jc w:val="both"/>
        <w:rPr>
          <w:rFonts w:ascii="GHEA Grapalat" w:hAnsi="GHEA Grapalat"/>
          <w:noProof/>
          <w:color w:val="000000" w:themeColor="text1"/>
          <w:lang w:val="hy-AM"/>
        </w:rPr>
      </w:pPr>
      <w:r w:rsidRPr="004D3DCD">
        <w:rPr>
          <w:rStyle w:val="FootnoteReference"/>
          <w:rFonts w:ascii="GHEA Grapalat" w:hAnsi="GHEA Grapalat"/>
          <w:noProof/>
          <w:color w:val="000000" w:themeColor="text1"/>
          <w:lang w:val="hy-AM"/>
        </w:rPr>
        <w:footnoteRef/>
      </w:r>
      <w:r w:rsidRPr="004D3DCD">
        <w:rPr>
          <w:rFonts w:ascii="GHEA Grapalat" w:hAnsi="GHEA Grapalat"/>
          <w:noProof/>
          <w:color w:val="000000" w:themeColor="text1"/>
          <w:lang w:val="hy-AM"/>
        </w:rPr>
        <w:t xml:space="preserve"> Տե´ս </w:t>
      </w:r>
      <w:r w:rsidRPr="004D3DCD">
        <w:rPr>
          <w:rFonts w:ascii="GHEA Grapalat" w:hAnsi="GHEA Grapalat" w:cs="Arian AMU"/>
          <w:noProof/>
          <w:color w:val="000000" w:themeColor="text1"/>
          <w:lang w:val="hy-AM"/>
        </w:rPr>
        <w:t>ՀՀ հակակոռուպցիան ռազմավարության իրականացման 2019-2022 թվականների միջոցառումների ծրագրի, 2021 թվականին իրականացման ենթակա գործողությունների մշտադիտարկման արդյունքների։ Երևան, 2022, Հայաստանի ՔՀԿ-ների Հակակոռուպցիոն Կոալիցիա։</w:t>
      </w:r>
    </w:p>
  </w:footnote>
  <w:footnote w:id="29">
    <w:p w14:paraId="7BA025E4" w14:textId="77777777" w:rsidR="001720A3" w:rsidRPr="004D3DCD" w:rsidRDefault="001720A3" w:rsidP="004D3DCD">
      <w:pPr>
        <w:pBdr>
          <w:top w:val="nil"/>
          <w:left w:val="nil"/>
          <w:bottom w:val="nil"/>
          <w:right w:val="nil"/>
          <w:between w:val="nil"/>
        </w:pBdr>
        <w:tabs>
          <w:tab w:val="left" w:pos="426"/>
        </w:tabs>
        <w:spacing w:line="240" w:lineRule="auto"/>
        <w:rPr>
          <w:color w:val="000000" w:themeColor="text1"/>
          <w:sz w:val="20"/>
          <w:szCs w:val="20"/>
        </w:rPr>
      </w:pPr>
      <w:r w:rsidRPr="004D3DCD">
        <w:rPr>
          <w:rStyle w:val="FootnoteReference"/>
          <w:color w:val="000000" w:themeColor="text1"/>
          <w:sz w:val="20"/>
          <w:szCs w:val="20"/>
        </w:rPr>
        <w:footnoteRef/>
      </w:r>
      <w:r w:rsidRPr="004D3DCD">
        <w:rPr>
          <w:color w:val="000000" w:themeColor="text1"/>
          <w:sz w:val="20"/>
          <w:szCs w:val="20"/>
        </w:rPr>
        <w:t xml:space="preserve"> </w:t>
      </w:r>
      <w:hyperlink r:id="rId16">
        <w:r w:rsidRPr="004D3DCD">
          <w:rPr>
            <w:color w:val="000000" w:themeColor="text1"/>
            <w:sz w:val="20"/>
            <w:szCs w:val="20"/>
            <w:u w:val="single"/>
          </w:rPr>
          <w:t>https://www.oecd-ilibrary.org/governance/anti-corruption-reforms-in-armenia_e56cafa9-en</w:t>
        </w:r>
      </w:hyperlink>
      <w:r w:rsidRPr="004D3DCD">
        <w:rPr>
          <w:color w:val="000000" w:themeColor="text1"/>
          <w:sz w:val="20"/>
          <w:szCs w:val="20"/>
          <w:u w:val="single"/>
        </w:rPr>
        <w:t>:</w:t>
      </w:r>
      <w:r w:rsidRPr="004D3DCD">
        <w:rPr>
          <w:color w:val="000000" w:themeColor="text1"/>
          <w:sz w:val="20"/>
          <w:szCs w:val="20"/>
        </w:rPr>
        <w:t xml:space="preserve"> </w:t>
      </w:r>
    </w:p>
  </w:footnote>
  <w:footnote w:id="30">
    <w:p w14:paraId="555E5AE6"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rPr>
        <w:t xml:space="preserve"> </w:t>
      </w:r>
      <w:hyperlink r:id="rId17" w:history="1">
        <w:r w:rsidRPr="004D3DCD">
          <w:rPr>
            <w:rStyle w:val="Hyperlink"/>
            <w:rFonts w:ascii="GHEA Grapalat" w:hAnsi="GHEA Grapalat"/>
          </w:rPr>
          <w:t>https://www.crrc.am/research/armenia-integrity-project-public-perception-of-corruption/</w:t>
        </w:r>
      </w:hyperlink>
    </w:p>
  </w:footnote>
  <w:footnote w:id="31">
    <w:p w14:paraId="1FD21FB8" w14:textId="77777777" w:rsidR="001720A3" w:rsidRPr="004D3DCD" w:rsidRDefault="001720A3" w:rsidP="004D3DCD">
      <w:pPr>
        <w:pStyle w:val="FootnoteText"/>
        <w:tabs>
          <w:tab w:val="left" w:pos="426"/>
        </w:tabs>
        <w:jc w:val="both"/>
        <w:rPr>
          <w:rFonts w:ascii="GHEA Grapalat" w:hAnsi="GHEA Grapalat"/>
        </w:rPr>
      </w:pPr>
      <w:r w:rsidRPr="004D3DCD">
        <w:rPr>
          <w:rStyle w:val="FootnoteReference"/>
          <w:rFonts w:ascii="GHEA Grapalat" w:hAnsi="GHEA Grapalat"/>
        </w:rPr>
        <w:footnoteRef/>
      </w:r>
      <w:r w:rsidRPr="004D3DCD">
        <w:rPr>
          <w:rFonts w:ascii="GHEA Grapalat" w:hAnsi="GHEA Grapalat"/>
        </w:rPr>
        <w:t xml:space="preserve"> </w:t>
      </w:r>
      <w:hyperlink r:id="rId18" w:history="1">
        <w:r w:rsidRPr="004D3DCD">
          <w:rPr>
            <w:rStyle w:val="Hyperlink"/>
            <w:rFonts w:ascii="GHEA Grapalat" w:hAnsi="GHEA Grapalat"/>
          </w:rPr>
          <w:t>https://www.cambridge.org/core/books/abs/quest-for-good-governance/understanding-control-of-   corruption/8800D938FE8451FF1252AC0DA735D2F4</w:t>
        </w:r>
      </w:hyperlink>
    </w:p>
  </w:footnote>
  <w:footnote w:id="32">
    <w:p w14:paraId="5B179A7A" w14:textId="77777777" w:rsidR="001720A3" w:rsidRPr="004D3DCD" w:rsidRDefault="001720A3" w:rsidP="004D3DCD">
      <w:pPr>
        <w:pStyle w:val="FootnoteText"/>
        <w:tabs>
          <w:tab w:val="left" w:pos="426"/>
        </w:tabs>
        <w:ind w:left="142" w:hanging="142"/>
        <w:jc w:val="both"/>
        <w:rPr>
          <w:rStyle w:val="Hyperlink"/>
          <w:rFonts w:ascii="GHEA Grapalat" w:eastAsiaTheme="majorEastAsia" w:hAnsi="GHEA Grapalat"/>
          <w:noProof/>
          <w:color w:val="000000" w:themeColor="text1"/>
          <w:lang w:val="hy-AM"/>
        </w:rPr>
      </w:pPr>
      <w:r w:rsidRPr="004D3DCD">
        <w:rPr>
          <w:rStyle w:val="FootnoteReference"/>
          <w:rFonts w:ascii="GHEA Grapalat" w:hAnsi="GHEA Grapalat" w:cs="Arian AMU"/>
          <w:noProof/>
          <w:color w:val="000000" w:themeColor="text1"/>
          <w:lang w:val="hy-AM"/>
        </w:rPr>
        <w:footnoteRef/>
      </w:r>
      <w:r w:rsidRPr="004D3DCD">
        <w:rPr>
          <w:rFonts w:ascii="GHEA Grapalat" w:hAnsi="GHEA Grapalat" w:cs="Arian AMU"/>
          <w:noProof/>
          <w:color w:val="000000" w:themeColor="text1"/>
          <w:lang w:val="hy-AM"/>
        </w:rPr>
        <w:t xml:space="preserve"> Տե´ս 2021թ</w:t>
      </w:r>
      <w:r w:rsidRPr="004D3DCD">
        <w:rPr>
          <w:rFonts w:ascii="MS Mincho" w:eastAsia="MS Mincho" w:hAnsi="MS Mincho" w:cs="MS Mincho" w:hint="eastAsia"/>
          <w:noProof/>
          <w:color w:val="000000" w:themeColor="text1"/>
          <w:lang w:val="hy-AM"/>
        </w:rPr>
        <w:t>․</w:t>
      </w:r>
      <w:r w:rsidRPr="004D3DCD">
        <w:rPr>
          <w:rFonts w:ascii="GHEA Grapalat" w:hAnsi="GHEA Grapalat" w:cs="Arian AMU"/>
          <w:noProof/>
          <w:color w:val="000000" w:themeColor="text1"/>
          <w:lang w:val="hy-AM"/>
        </w:rPr>
        <w:t xml:space="preserve"> Կոռուպցիայի կանխարգելման հանձնաժողովի՝ Ազգային ժողով ներկայացված տարեկան հաղորդում, </w:t>
      </w:r>
      <w:hyperlink r:id="rId19" w:history="1">
        <w:r w:rsidRPr="004D3DCD">
          <w:rPr>
            <w:rStyle w:val="Hyperlink"/>
            <w:rFonts w:ascii="GHEA Grapalat" w:eastAsiaTheme="majorEastAsia" w:hAnsi="GHEA Grapalat" w:cs="Arian AMU"/>
            <w:noProof/>
            <w:color w:val="000000" w:themeColor="text1"/>
            <w:lang w:val="hy-AM"/>
          </w:rPr>
          <w:t>http://cpcarmenia.am/files/legislation/657.pdf</w:t>
        </w:r>
      </w:hyperlink>
      <w:r w:rsidRPr="004D3DCD">
        <w:rPr>
          <w:rStyle w:val="Hyperlink"/>
          <w:rFonts w:ascii="GHEA Grapalat" w:eastAsiaTheme="majorEastAsia" w:hAnsi="GHEA Grapalat"/>
          <w:noProof/>
          <w:color w:val="000000" w:themeColor="text1"/>
          <w:lang w:val="hy-AM"/>
        </w:rPr>
        <w:t xml:space="preserve"> </w:t>
      </w:r>
    </w:p>
  </w:footnote>
  <w:footnote w:id="33">
    <w:p w14:paraId="338E22D9" w14:textId="77777777" w:rsidR="001720A3" w:rsidRPr="004D3DCD" w:rsidRDefault="001720A3" w:rsidP="004D3DCD">
      <w:pPr>
        <w:pStyle w:val="FootnoteText"/>
        <w:tabs>
          <w:tab w:val="left" w:pos="426"/>
        </w:tabs>
        <w:jc w:val="both"/>
        <w:rPr>
          <w:rFonts w:ascii="GHEA Grapalat" w:hAnsi="GHEA Grapalat"/>
          <w:noProof/>
          <w:color w:val="000000" w:themeColor="text1"/>
          <w:lang w:val="hy-AM"/>
        </w:rPr>
      </w:pPr>
      <w:r w:rsidRPr="004D3DCD">
        <w:rPr>
          <w:rStyle w:val="FootnoteReference"/>
          <w:rFonts w:ascii="GHEA Grapalat" w:hAnsi="GHEA Grapalat"/>
          <w:noProof/>
          <w:color w:val="000000" w:themeColor="text1"/>
          <w:lang w:val="hy-AM"/>
        </w:rPr>
        <w:footnoteRef/>
      </w:r>
      <w:r w:rsidRPr="004D3DCD">
        <w:rPr>
          <w:rFonts w:ascii="GHEA Grapalat" w:hAnsi="GHEA Grapalat"/>
          <w:noProof/>
          <w:color w:val="000000" w:themeColor="text1"/>
          <w:lang w:val="hy-AM"/>
        </w:rPr>
        <w:t xml:space="preserve"> </w:t>
      </w:r>
      <w:r w:rsidRPr="004D3DCD">
        <w:rPr>
          <w:rFonts w:ascii="GHEA Grapalat" w:hAnsi="GHEA Grapalat" w:cs="Arian AMU"/>
          <w:noProof/>
          <w:color w:val="000000" w:themeColor="text1"/>
          <w:lang w:val="hy-AM"/>
        </w:rPr>
        <w:t>Տե´ս ՀՀ հակակոռուպցիան ռազմավարության իրականացման 2019-2022 թվականների միջոցառումների ծրագրի, 2021 թվականին իրականացման ենթակա գործողությունների մշտադիտարկման արդյունքների։ Երևան, 2022, Հայաստանի ՔՀԿ-ների Հակակոռուպցիոն Կոալիցիա։</w:t>
      </w:r>
    </w:p>
  </w:footnote>
  <w:footnote w:id="34">
    <w:p w14:paraId="6EDBA137" w14:textId="77777777" w:rsidR="001720A3" w:rsidRPr="004D3DCD" w:rsidRDefault="001720A3" w:rsidP="004D3DCD">
      <w:pPr>
        <w:pStyle w:val="FootnoteText"/>
        <w:tabs>
          <w:tab w:val="left" w:pos="426"/>
        </w:tabs>
        <w:ind w:left="142" w:hanging="142"/>
        <w:jc w:val="both"/>
        <w:rPr>
          <w:rFonts w:ascii="GHEA Grapalat" w:hAnsi="GHEA Grapalat" w:cs="Arian AMU"/>
          <w:noProof/>
          <w:color w:val="000000" w:themeColor="text1"/>
          <w:lang w:val="hy-AM"/>
        </w:rPr>
      </w:pPr>
      <w:r w:rsidRPr="004D3DCD">
        <w:rPr>
          <w:rStyle w:val="FootnoteReference"/>
          <w:rFonts w:ascii="GHEA Grapalat" w:hAnsi="GHEA Grapalat" w:cs="Arian AMU"/>
          <w:noProof/>
          <w:color w:val="000000" w:themeColor="text1"/>
          <w:lang w:val="hy-AM"/>
        </w:rPr>
        <w:footnoteRef/>
      </w:r>
      <w:r w:rsidRPr="004D3DCD">
        <w:rPr>
          <w:rFonts w:ascii="GHEA Grapalat" w:hAnsi="GHEA Grapalat" w:cs="Arian AMU"/>
          <w:noProof/>
          <w:color w:val="000000" w:themeColor="text1"/>
          <w:lang w:val="hy-AM"/>
        </w:rPr>
        <w:t xml:space="preserve"> Տե´ս ՀՀ կառավարության 2021 թվականի օգոստոսի 18-ի թիվ 1363-Ա որոշմամբ հաստատված՝ Հայաստանի Հանրապետության կառավարության ծրագիրը, հասանելի է՝ </w:t>
      </w:r>
      <w:hyperlink r:id="rId20" w:history="1">
        <w:r w:rsidRPr="004D3DCD">
          <w:rPr>
            <w:rStyle w:val="Hyperlink"/>
            <w:rFonts w:ascii="GHEA Grapalat" w:eastAsiaTheme="majorEastAsia" w:hAnsi="GHEA Grapalat" w:cs="Arian AMU"/>
            <w:noProof/>
            <w:color w:val="000000" w:themeColor="text1"/>
            <w:lang w:val="hy-AM"/>
          </w:rPr>
          <w:t>https://www.gov.am/files/docs/4586.pdf</w:t>
        </w:r>
      </w:hyperlink>
      <w:r w:rsidRPr="004D3DCD">
        <w:rPr>
          <w:rFonts w:ascii="GHEA Grapalat" w:hAnsi="GHEA Grapalat" w:cs="Arian AMU"/>
          <w:noProof/>
          <w:color w:val="000000" w:themeColor="text1"/>
          <w:lang w:val="hy-AM"/>
        </w:rPr>
        <w:t xml:space="preserve"> </w:t>
      </w:r>
    </w:p>
  </w:footnote>
  <w:footnote w:id="35">
    <w:p w14:paraId="67EC1037" w14:textId="77777777" w:rsidR="001720A3" w:rsidRPr="004D3DCD" w:rsidRDefault="001720A3" w:rsidP="004D3DCD">
      <w:pPr>
        <w:pStyle w:val="FootnoteText"/>
        <w:tabs>
          <w:tab w:val="left" w:pos="426"/>
        </w:tabs>
        <w:jc w:val="both"/>
        <w:rPr>
          <w:rFonts w:ascii="GHEA Grapalat" w:hAnsi="GHEA Grapalat"/>
          <w:noProof/>
          <w:color w:val="000000" w:themeColor="text1"/>
          <w:lang w:val="hy-AM"/>
        </w:rPr>
      </w:pPr>
      <w:r w:rsidRPr="004D3DCD">
        <w:rPr>
          <w:rStyle w:val="FootnoteReference"/>
          <w:rFonts w:ascii="GHEA Grapalat" w:hAnsi="GHEA Grapalat"/>
          <w:noProof/>
          <w:color w:val="000000" w:themeColor="text1"/>
          <w:lang w:val="hy-AM"/>
        </w:rPr>
        <w:footnoteRef/>
      </w:r>
      <w:r w:rsidRPr="004D3DCD">
        <w:rPr>
          <w:rFonts w:ascii="GHEA Grapalat" w:hAnsi="GHEA Grapalat"/>
          <w:noProof/>
          <w:color w:val="000000" w:themeColor="text1"/>
          <w:lang w:val="hy-AM"/>
        </w:rPr>
        <w:t xml:space="preserve"> </w:t>
      </w:r>
      <w:r w:rsidRPr="004D3DCD">
        <w:rPr>
          <w:rFonts w:ascii="GHEA Grapalat" w:hAnsi="GHEA Grapalat" w:cs="Arian AMU"/>
          <w:noProof/>
          <w:color w:val="000000" w:themeColor="text1"/>
          <w:lang w:val="hy-AM"/>
        </w:rPr>
        <w:t>Տե´ս 2021 թվականի Կոռուպցիայի կանխարգելման հանձնաժողովի ԱԺ ներկայացված տարեկան հաղորդումը, բաժին 3։</w:t>
      </w:r>
    </w:p>
  </w:footnote>
  <w:footnote w:id="36">
    <w:p w14:paraId="66370770" w14:textId="77777777" w:rsidR="001720A3" w:rsidRPr="004D3DCD" w:rsidRDefault="001720A3" w:rsidP="004D3DCD">
      <w:pPr>
        <w:pStyle w:val="FootnoteText"/>
        <w:tabs>
          <w:tab w:val="left" w:pos="426"/>
        </w:tabs>
        <w:ind w:left="142" w:hanging="142"/>
        <w:jc w:val="both"/>
        <w:rPr>
          <w:rFonts w:ascii="GHEA Grapalat" w:hAnsi="GHEA Grapalat" w:cs="Arian AMU"/>
          <w:noProof/>
          <w:color w:val="000000" w:themeColor="text1"/>
          <w:lang w:val="hy-AM"/>
        </w:rPr>
      </w:pPr>
      <w:r w:rsidRPr="004D3DCD">
        <w:rPr>
          <w:rStyle w:val="FootnoteReference"/>
          <w:rFonts w:ascii="GHEA Grapalat" w:hAnsi="GHEA Grapalat" w:cs="Arian AMU"/>
          <w:noProof/>
          <w:color w:val="000000" w:themeColor="text1"/>
          <w:lang w:val="hy-AM"/>
        </w:rPr>
        <w:footnoteRef/>
      </w:r>
      <w:r w:rsidRPr="004D3DCD">
        <w:rPr>
          <w:rFonts w:ascii="GHEA Grapalat" w:hAnsi="GHEA Grapalat" w:cs="Arian AMU"/>
          <w:noProof/>
          <w:color w:val="000000" w:themeColor="text1"/>
          <w:lang w:val="hy-AM"/>
        </w:rPr>
        <w:t xml:space="preserve"> Տե´ս Իրավաբանների հայկական ասոցիացիա «Զեկույց, Հայաստանի Հանրապետության հակակոռուպցիոն ռազմավարության իրականացման 2019-2022 թվականների միջոցառումների ծրագրի», Երևան 2022, </w:t>
      </w:r>
      <w:hyperlink r:id="rId21" w:history="1">
        <w:r w:rsidRPr="004D3DCD">
          <w:rPr>
            <w:rStyle w:val="Hyperlink"/>
            <w:rFonts w:ascii="GHEA Grapalat" w:eastAsiaTheme="majorEastAsia" w:hAnsi="GHEA Grapalat" w:cs="Arian AMU"/>
            <w:noProof/>
            <w:color w:val="000000" w:themeColor="text1"/>
            <w:lang w:val="hy-AM"/>
          </w:rPr>
          <w:t>https://armla.am/wp-content/uploads/2022/06/%D5%80%D4%BF%D4%BF-%D5%B4%D5%B8%D5%B6%D5%AB%D5%A9%D5%B8%D6%80%D5%AB%D5%B6%D5%A3_%D5%A6%D5%A5%D5%AF%D5%B8%D6%82%D5%B5%D6%81_Final.pdf</w:t>
        </w:r>
      </w:hyperlink>
    </w:p>
  </w:footnote>
  <w:footnote w:id="37">
    <w:p w14:paraId="68253E62" w14:textId="77777777" w:rsidR="001720A3" w:rsidRPr="004D3DCD" w:rsidRDefault="001720A3" w:rsidP="004D3DCD">
      <w:pPr>
        <w:pStyle w:val="FootnoteText"/>
        <w:tabs>
          <w:tab w:val="left" w:pos="426"/>
        </w:tabs>
        <w:ind w:left="142" w:hanging="142"/>
        <w:jc w:val="both"/>
        <w:rPr>
          <w:rFonts w:ascii="GHEA Grapalat" w:hAnsi="GHEA Grapalat" w:cs="Arian AMU"/>
          <w:noProof/>
          <w:color w:val="000000" w:themeColor="text1"/>
          <w:lang w:val="hy-AM"/>
        </w:rPr>
      </w:pPr>
      <w:r w:rsidRPr="004D3DCD">
        <w:rPr>
          <w:rStyle w:val="FootnoteReference"/>
          <w:rFonts w:ascii="GHEA Grapalat" w:hAnsi="GHEA Grapalat" w:cs="Arian AMU"/>
          <w:noProof/>
          <w:color w:val="000000" w:themeColor="text1"/>
          <w:lang w:val="hy-AM"/>
        </w:rPr>
        <w:footnoteRef/>
      </w:r>
      <w:r w:rsidRPr="004D3DCD">
        <w:rPr>
          <w:rFonts w:ascii="GHEA Grapalat" w:hAnsi="GHEA Grapalat" w:cs="Arian AMU"/>
          <w:noProof/>
          <w:color w:val="000000" w:themeColor="text1"/>
          <w:lang w:val="hy-AM"/>
        </w:rPr>
        <w:t xml:space="preserve"> Տե´ս ՏՀԶԿ Հակակոռուպցիոն Ստամբուլյան գործողույունների ծրագրի 5-րդ փուլի մոնիթորինգի զեկույց։ Հայստան։,</w:t>
      </w:r>
      <w:hyperlink r:id="rId22" w:history="1">
        <w:r w:rsidRPr="004D3DCD">
          <w:rPr>
            <w:rStyle w:val="Hyperlink"/>
            <w:rFonts w:ascii="GHEA Grapalat" w:eastAsiaTheme="majorEastAsia" w:hAnsi="GHEA Grapalat" w:cs="Arian AMU"/>
            <w:noProof/>
            <w:color w:val="000000" w:themeColor="text1"/>
            <w:lang w:val="hy-AM"/>
          </w:rPr>
          <w:t>Anti-Corruption Reforms in Armenia (oecd-ilibrary.org)</w:t>
        </w:r>
      </w:hyperlink>
      <w:r w:rsidRPr="004D3DCD">
        <w:rPr>
          <w:rStyle w:val="Hyperlink"/>
          <w:rFonts w:ascii="GHEA Grapalat" w:eastAsiaTheme="majorEastAsia" w:hAnsi="GHEA Grapalat" w:cs="Arian AMU"/>
          <w:noProof/>
          <w:color w:val="000000" w:themeColor="text1"/>
          <w:lang w:val="hy-AM"/>
        </w:rPr>
        <w:t xml:space="preserve"> </w:t>
      </w:r>
    </w:p>
  </w:footnote>
  <w:footnote w:id="38">
    <w:p w14:paraId="77D7289D" w14:textId="77777777" w:rsidR="001720A3" w:rsidRPr="004D3DCD" w:rsidRDefault="001720A3" w:rsidP="004D3DCD">
      <w:pPr>
        <w:pStyle w:val="FootnoteText"/>
        <w:tabs>
          <w:tab w:val="left" w:pos="426"/>
        </w:tabs>
        <w:ind w:left="142" w:hanging="142"/>
        <w:jc w:val="both"/>
        <w:rPr>
          <w:rFonts w:ascii="GHEA Grapalat" w:hAnsi="GHEA Grapalat" w:cs="Arian AMU"/>
          <w:noProof/>
          <w:color w:val="000000" w:themeColor="text1"/>
          <w:lang w:val="hy-AM"/>
        </w:rPr>
      </w:pPr>
      <w:r w:rsidRPr="004D3DCD">
        <w:rPr>
          <w:rStyle w:val="FootnoteReference"/>
          <w:rFonts w:ascii="GHEA Grapalat" w:hAnsi="GHEA Grapalat" w:cs="Arian AMU"/>
          <w:noProof/>
          <w:color w:val="000000" w:themeColor="text1"/>
          <w:lang w:val="hy-AM"/>
        </w:rPr>
        <w:footnoteRef/>
      </w:r>
      <w:r w:rsidRPr="004D3DCD">
        <w:rPr>
          <w:rFonts w:ascii="GHEA Grapalat" w:hAnsi="GHEA Grapalat" w:cs="Arian AMU"/>
          <w:noProof/>
          <w:color w:val="000000" w:themeColor="text1"/>
          <w:lang w:val="hy-AM"/>
        </w:rPr>
        <w:t xml:space="preserve"> Տե´ս </w:t>
      </w:r>
      <w:hyperlink r:id="rId23" w:history="1">
        <w:r w:rsidRPr="004D3DCD">
          <w:rPr>
            <w:rStyle w:val="Hyperlink"/>
            <w:rFonts w:ascii="GHEA Grapalat" w:eastAsiaTheme="majorEastAsia" w:hAnsi="GHEA Grapalat" w:cs="Arian AMU"/>
            <w:noProof/>
            <w:color w:val="000000" w:themeColor="text1"/>
            <w:lang w:val="hy-AM"/>
          </w:rPr>
          <w:t>https://www.e-gov.am/u_files/file/decrees/varch/2022/820_1.pdf</w:t>
        </w:r>
      </w:hyperlink>
      <w:r w:rsidRPr="004D3DCD">
        <w:rPr>
          <w:rFonts w:ascii="GHEA Grapalat" w:hAnsi="GHEA Grapalat" w:cs="Arian AMU"/>
          <w:noProof/>
          <w:color w:val="000000" w:themeColor="text1"/>
          <w:lang w:val="hy-AM"/>
        </w:rPr>
        <w:t xml:space="preserve"> </w:t>
      </w:r>
    </w:p>
  </w:footnote>
  <w:footnote w:id="39">
    <w:p w14:paraId="143E0846" w14:textId="77777777" w:rsidR="001720A3" w:rsidRPr="004D3DCD" w:rsidRDefault="001720A3" w:rsidP="004D3DCD">
      <w:pPr>
        <w:tabs>
          <w:tab w:val="left" w:pos="0"/>
          <w:tab w:val="left" w:pos="270"/>
          <w:tab w:val="left" w:pos="426"/>
        </w:tabs>
        <w:spacing w:line="240" w:lineRule="auto"/>
        <w:ind w:right="-86" w:firstLine="0"/>
        <w:rPr>
          <w:sz w:val="20"/>
          <w:szCs w:val="20"/>
        </w:rPr>
      </w:pPr>
      <w:r w:rsidRPr="004D3DCD">
        <w:rPr>
          <w:rStyle w:val="FootnoteReference"/>
          <w:sz w:val="20"/>
          <w:szCs w:val="20"/>
        </w:rPr>
        <w:footnoteRef/>
      </w:r>
      <w:r w:rsidRPr="004D3DCD">
        <w:rPr>
          <w:sz w:val="20"/>
          <w:szCs w:val="20"/>
        </w:rPr>
        <w:t xml:space="preserve"> </w:t>
      </w:r>
      <w:r w:rsidRPr="004D3DCD">
        <w:rPr>
          <w:rFonts w:eastAsia="Times New Roman" w:cs="Arian AMU"/>
          <w:color w:val="000000" w:themeColor="text1"/>
          <w:sz w:val="20"/>
          <w:szCs w:val="20"/>
          <w:lang w:eastAsia="x-none"/>
        </w:rPr>
        <w:t>Վարչապետի 2022 թվականի հուլիսի 18-ի N 820-Լ  որոշմամբ  հաստատված Կոռուպցիայի դեմ պայքարի հաղորդակցման 2022 թվականի գործողությունների ծրագրի շրջանակում՝ 6 ամսվա կտրվածքով առնվազն 7 և ավելի անգամ հասարակությունը իրազեկվել է հակակոռուպցիոն բարեփոխումների մասին։</w:t>
      </w:r>
    </w:p>
    <w:p w14:paraId="2AD01503" w14:textId="77777777" w:rsidR="001720A3" w:rsidRPr="004D3DCD" w:rsidRDefault="001720A3" w:rsidP="004D3DCD">
      <w:pPr>
        <w:pStyle w:val="FootnoteText"/>
        <w:tabs>
          <w:tab w:val="left" w:pos="426"/>
        </w:tabs>
        <w:jc w:val="both"/>
        <w:rPr>
          <w:rFonts w:ascii="GHEA Grapalat" w:hAnsi="GHEA Grapalat"/>
          <w:lang w:val="hy-AM"/>
        </w:rPr>
      </w:pPr>
    </w:p>
  </w:footnote>
  <w:footnote w:id="40">
    <w:p w14:paraId="547A9D50" w14:textId="77777777" w:rsidR="001720A3" w:rsidRPr="004D3DCD" w:rsidRDefault="001720A3" w:rsidP="004D3DCD">
      <w:pPr>
        <w:pStyle w:val="FootnoteText"/>
        <w:tabs>
          <w:tab w:val="left" w:pos="426"/>
        </w:tabs>
        <w:ind w:left="142" w:hanging="142"/>
        <w:jc w:val="both"/>
        <w:rPr>
          <w:rFonts w:ascii="GHEA Grapalat" w:hAnsi="GHEA Grapalat" w:cs="Arian AMU"/>
          <w:noProof/>
          <w:color w:val="000000" w:themeColor="text1"/>
          <w:lang w:val="hy-AM"/>
        </w:rPr>
      </w:pPr>
      <w:r w:rsidRPr="004D3DCD">
        <w:rPr>
          <w:rStyle w:val="FootnoteReference"/>
          <w:rFonts w:ascii="GHEA Grapalat" w:hAnsi="GHEA Grapalat" w:cs="Arian AMU"/>
          <w:noProof/>
          <w:color w:val="000000" w:themeColor="text1"/>
          <w:lang w:val="hy-AM"/>
        </w:rPr>
        <w:footnoteRef/>
      </w:r>
      <w:r w:rsidRPr="004D3DCD">
        <w:rPr>
          <w:rFonts w:ascii="GHEA Grapalat" w:hAnsi="GHEA Grapalat" w:cs="Arian AMU"/>
          <w:noProof/>
          <w:color w:val="000000" w:themeColor="text1"/>
          <w:lang w:val="hy-AM"/>
        </w:rPr>
        <w:t>Տե´ս Հետազոտական ռեսուրսների կովկասյան կենտրոն, Կոռուպցիայի վերաբերյալ հանրային կարծիքի ուսումնասիրություն, Երևան, 2022</w:t>
      </w:r>
    </w:p>
  </w:footnote>
  <w:footnote w:id="41">
    <w:p w14:paraId="4C65E0B7" w14:textId="77777777" w:rsidR="001720A3" w:rsidRPr="004D3DCD" w:rsidRDefault="001720A3" w:rsidP="004D3DCD">
      <w:pPr>
        <w:pStyle w:val="FootnoteText"/>
        <w:tabs>
          <w:tab w:val="left" w:pos="426"/>
        </w:tabs>
        <w:jc w:val="both"/>
        <w:rPr>
          <w:rFonts w:ascii="GHEA Grapalat" w:hAnsi="GHEA Grapalat"/>
          <w:noProof/>
          <w:color w:val="000000" w:themeColor="text1"/>
          <w:lang w:val="hy-AM"/>
        </w:rPr>
      </w:pPr>
      <w:r w:rsidRPr="004D3DCD">
        <w:rPr>
          <w:rStyle w:val="FootnoteReference"/>
          <w:rFonts w:ascii="GHEA Grapalat" w:hAnsi="GHEA Grapalat"/>
          <w:noProof/>
          <w:color w:val="000000" w:themeColor="text1"/>
          <w:lang w:val="hy-AM"/>
        </w:rPr>
        <w:footnoteRef/>
      </w:r>
      <w:r w:rsidRPr="004D3DCD">
        <w:rPr>
          <w:rFonts w:ascii="GHEA Grapalat" w:hAnsi="GHEA Grapalat"/>
          <w:noProof/>
          <w:color w:val="000000" w:themeColor="text1"/>
          <w:lang w:val="hy-AM"/>
        </w:rPr>
        <w:t xml:space="preserve"> </w:t>
      </w:r>
      <w:r w:rsidRPr="004D3DCD">
        <w:rPr>
          <w:rFonts w:ascii="GHEA Grapalat" w:hAnsi="GHEA Grapalat" w:cs="Arian AMU"/>
          <w:noProof/>
          <w:color w:val="000000" w:themeColor="text1"/>
          <w:lang w:val="hy-AM"/>
        </w:rPr>
        <w:t>Տե´ս</w:t>
      </w:r>
      <w:r w:rsidRPr="004D3DCD">
        <w:rPr>
          <w:rFonts w:ascii="GHEA Grapalat" w:eastAsia="Sylfaen" w:hAnsi="GHEA Grapalat" w:cs="Arian AMU"/>
          <w:noProof/>
          <w:color w:val="000000" w:themeColor="text1"/>
          <w:lang w:val="hy-AM"/>
        </w:rPr>
        <w:t xml:space="preserve"> Հայաստանում կոռուպցիայի վերաբերյալ հանրային կարծիքի ուսումնասիրություն,Երևան, 2022 թվական, էջ 9-10։</w:t>
      </w:r>
    </w:p>
  </w:footnote>
  <w:footnote w:id="42">
    <w:p w14:paraId="56CBBC74"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Report of the Expert Advisory Group on Anti-Corruption, Transparency, and Integrity in Latin America and the Caribbean. Authors: Eduardo Engel, Delia Ferreira Rubio, Daniel Kaufmann, Armando Lara </w:t>
      </w:r>
      <w:proofErr w:type="spellStart"/>
      <w:r w:rsidRPr="004D3DCD">
        <w:rPr>
          <w:rFonts w:ascii="GHEA Grapalat" w:hAnsi="GHEA Grapalat"/>
          <w:color w:val="000000" w:themeColor="text1"/>
        </w:rPr>
        <w:t>Yaffar</w:t>
      </w:r>
      <w:proofErr w:type="spellEnd"/>
      <w:r w:rsidRPr="004D3DCD">
        <w:rPr>
          <w:rFonts w:ascii="GHEA Grapalat" w:hAnsi="GHEA Grapalat"/>
          <w:color w:val="000000" w:themeColor="text1"/>
        </w:rPr>
        <w:t xml:space="preserve">, Jorge </w:t>
      </w:r>
      <w:proofErr w:type="spellStart"/>
      <w:r w:rsidRPr="004D3DCD">
        <w:rPr>
          <w:rFonts w:ascii="GHEA Grapalat" w:hAnsi="GHEA Grapalat"/>
          <w:color w:val="000000" w:themeColor="text1"/>
        </w:rPr>
        <w:t>Londoño</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Saldarriaga</w:t>
      </w:r>
      <w:proofErr w:type="spellEnd"/>
      <w:r w:rsidRPr="004D3DCD">
        <w:rPr>
          <w:rFonts w:ascii="GHEA Grapalat" w:hAnsi="GHEA Grapalat"/>
          <w:color w:val="000000" w:themeColor="text1"/>
        </w:rPr>
        <w:t xml:space="preserve">, Beth Simone </w:t>
      </w:r>
      <w:proofErr w:type="spellStart"/>
      <w:r w:rsidRPr="004D3DCD">
        <w:rPr>
          <w:rFonts w:ascii="GHEA Grapalat" w:hAnsi="GHEA Grapalat"/>
          <w:color w:val="000000" w:themeColor="text1"/>
        </w:rPr>
        <w:t>Noveck</w:t>
      </w:r>
      <w:proofErr w:type="spellEnd"/>
      <w:r w:rsidRPr="004D3DCD">
        <w:rPr>
          <w:rFonts w:ascii="GHEA Grapalat" w:hAnsi="GHEA Grapalat"/>
          <w:color w:val="000000" w:themeColor="text1"/>
        </w:rPr>
        <w:t xml:space="preserve">, Mark </w:t>
      </w:r>
      <w:proofErr w:type="spellStart"/>
      <w:r w:rsidRPr="004D3DCD">
        <w:rPr>
          <w:rFonts w:ascii="GHEA Grapalat" w:hAnsi="GHEA Grapalat"/>
          <w:color w:val="000000" w:themeColor="text1"/>
        </w:rPr>
        <w:t>Pieth</w:t>
      </w:r>
      <w:proofErr w:type="spellEnd"/>
      <w:r w:rsidRPr="004D3DCD">
        <w:rPr>
          <w:rFonts w:ascii="GHEA Grapalat" w:hAnsi="GHEA Grapalat"/>
          <w:color w:val="000000" w:themeColor="text1"/>
        </w:rPr>
        <w:t xml:space="preserve">, and Susan Rose-Ackerman. 2018 Inter-American Development Bank,  </w:t>
      </w:r>
      <w:proofErr w:type="spellStart"/>
      <w:r w:rsidRPr="004D3DCD">
        <w:rPr>
          <w:rFonts w:ascii="GHEA Grapalat" w:hAnsi="GHEA Grapalat"/>
          <w:color w:val="000000" w:themeColor="text1"/>
        </w:rPr>
        <w:t>էջ</w:t>
      </w:r>
      <w:proofErr w:type="spellEnd"/>
      <w:r w:rsidRPr="004D3DCD">
        <w:rPr>
          <w:rFonts w:ascii="GHEA Grapalat" w:hAnsi="GHEA Grapalat"/>
          <w:color w:val="000000" w:themeColor="text1"/>
        </w:rPr>
        <w:t xml:space="preserve"> 22:</w:t>
      </w:r>
    </w:p>
  </w:footnote>
  <w:footnote w:id="43">
    <w:p w14:paraId="61099EC2"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Սինգապուրի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Կուռուպցիոն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գործողությունների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հետաքննման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բյուրոյի</w:t>
      </w:r>
      <w:proofErr w:type="spellEnd"/>
      <w:r w:rsidRPr="004D3DCD">
        <w:rPr>
          <w:rFonts w:ascii="GHEA Grapalat" w:hAnsi="GHEA Grapalat"/>
          <w:color w:val="000000" w:themeColor="text1"/>
        </w:rPr>
        <w:t xml:space="preserve"> 2020թ.-ի </w:t>
      </w:r>
      <w:proofErr w:type="spellStart"/>
      <w:r w:rsidRPr="004D3DCD">
        <w:rPr>
          <w:rFonts w:ascii="GHEA Grapalat" w:hAnsi="GHEA Grapalat"/>
          <w:color w:val="000000" w:themeColor="text1"/>
        </w:rPr>
        <w:t>տարեկան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զեկույցը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որում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նշվում</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որ</w:t>
      </w:r>
      <w:proofErr w:type="spellEnd"/>
      <w:r w:rsidRPr="004D3DCD">
        <w:rPr>
          <w:rFonts w:ascii="GHEA Grapalat" w:hAnsi="GHEA Grapalat"/>
          <w:color w:val="000000" w:themeColor="text1"/>
        </w:rPr>
        <w:t xml:space="preserve"> 2020թ.-ին </w:t>
      </w:r>
      <w:proofErr w:type="spellStart"/>
      <w:r w:rsidRPr="004D3DCD">
        <w:rPr>
          <w:rFonts w:ascii="GHEA Grapalat" w:hAnsi="GHEA Grapalat"/>
          <w:color w:val="000000" w:themeColor="text1"/>
        </w:rPr>
        <w:t>հետաքննման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համար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ստացված</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մեծամասնությունը</w:t>
      </w:r>
      <w:proofErr w:type="spellEnd"/>
      <w:r w:rsidRPr="004D3DCD">
        <w:rPr>
          <w:rFonts w:ascii="GHEA Grapalat" w:hAnsi="GHEA Grapalat"/>
          <w:color w:val="000000" w:themeColor="text1"/>
        </w:rPr>
        <w:t xml:space="preserve"> (86%) </w:t>
      </w:r>
      <w:proofErr w:type="spellStart"/>
      <w:r w:rsidRPr="004D3DCD">
        <w:rPr>
          <w:rFonts w:ascii="GHEA Grapalat" w:hAnsi="GHEA Grapalat"/>
          <w:color w:val="000000" w:themeColor="text1"/>
        </w:rPr>
        <w:t>ստացվել</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մասնավոր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հատվածից</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այդ</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միայն</w:t>
      </w:r>
      <w:proofErr w:type="spellEnd"/>
      <w:r w:rsidRPr="004D3DCD">
        <w:rPr>
          <w:rFonts w:ascii="GHEA Grapalat" w:hAnsi="GHEA Grapalat"/>
          <w:color w:val="000000" w:themeColor="text1"/>
        </w:rPr>
        <w:t xml:space="preserve"> 9 </w:t>
      </w:r>
      <w:proofErr w:type="spellStart"/>
      <w:r w:rsidRPr="004D3DCD">
        <w:rPr>
          <w:rFonts w:ascii="GHEA Grapalat" w:hAnsi="GHEA Grapalat"/>
          <w:color w:val="000000" w:themeColor="text1"/>
        </w:rPr>
        <w:t>տոկոսն</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վերաբերվել</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հանրային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հատվածի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աշխատակիցներին</w:t>
      </w:r>
      <w:proofErr w:type="spellEnd"/>
      <w:r w:rsidRPr="004D3DCD">
        <w:rPr>
          <w:rFonts w:ascii="GHEA Grapalat" w:hAnsi="GHEA Grapalat"/>
          <w:color w:val="000000" w:themeColor="text1"/>
        </w:rPr>
        <w:t>: (</w:t>
      </w:r>
      <w:hyperlink r:id="rId24" w:history="1">
        <w:r w:rsidRPr="004D3DCD">
          <w:rPr>
            <w:rFonts w:ascii="GHEA Grapalat" w:hAnsi="GHEA Grapalat"/>
            <w:color w:val="000000" w:themeColor="text1"/>
          </w:rPr>
          <w:t>https://www.cpib.gov.sg/files/research%20room_%20Annual%20Corruption%20Stats%202020%20Press%20Release.pdf</w:t>
        </w:r>
      </w:hyperlink>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էջ</w:t>
      </w:r>
      <w:proofErr w:type="spellEnd"/>
      <w:r w:rsidRPr="004D3DCD">
        <w:rPr>
          <w:rFonts w:ascii="GHEA Grapalat" w:hAnsi="GHEA Grapalat"/>
          <w:color w:val="000000" w:themeColor="text1"/>
        </w:rPr>
        <w:t xml:space="preserve"> 4) </w:t>
      </w:r>
      <w:proofErr w:type="spellStart"/>
      <w:r w:rsidRPr="004D3DCD">
        <w:rPr>
          <w:rFonts w:ascii="GHEA Grapalat" w:hAnsi="GHEA Grapalat"/>
          <w:color w:val="000000" w:themeColor="text1"/>
        </w:rPr>
        <w:t>Միացյալ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Թագավորության</w:t>
      </w:r>
      <w:proofErr w:type="spellEnd"/>
      <w:r w:rsidRPr="004D3DCD">
        <w:rPr>
          <w:rFonts w:ascii="GHEA Grapalat" w:hAnsi="GHEA Grapalat"/>
          <w:color w:val="000000" w:themeColor="text1"/>
        </w:rPr>
        <w:t xml:space="preserve"> 2017-2022թթ. </w:t>
      </w:r>
      <w:proofErr w:type="spellStart"/>
      <w:r w:rsidRPr="004D3DCD">
        <w:rPr>
          <w:rFonts w:ascii="GHEA Grapalat" w:hAnsi="GHEA Grapalat"/>
          <w:color w:val="000000" w:themeColor="text1"/>
        </w:rPr>
        <w:t>հակակոռուպցիոն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ռազմավարությունն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ունի</w:t>
      </w:r>
      <w:proofErr w:type="spellEnd"/>
      <w:r w:rsidRPr="004D3DCD">
        <w:rPr>
          <w:rFonts w:ascii="GHEA Grapalat" w:hAnsi="GHEA Grapalat"/>
          <w:color w:val="000000" w:themeColor="text1"/>
        </w:rPr>
        <w:t xml:space="preserve"> 6 </w:t>
      </w:r>
      <w:proofErr w:type="spellStart"/>
      <w:r w:rsidRPr="004D3DCD">
        <w:rPr>
          <w:rFonts w:ascii="GHEA Grapalat" w:hAnsi="GHEA Grapalat"/>
          <w:color w:val="000000" w:themeColor="text1"/>
        </w:rPr>
        <w:t>առաջնահերթություններ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որոնցից</w:t>
      </w:r>
      <w:proofErr w:type="spellEnd"/>
      <w:r w:rsidRPr="004D3DCD">
        <w:rPr>
          <w:rFonts w:ascii="GHEA Grapalat" w:hAnsi="GHEA Grapalat"/>
          <w:color w:val="000000" w:themeColor="text1"/>
        </w:rPr>
        <w:t xml:space="preserve"> 2-ը, 3-րդը, 4-րդը և 5-րդն </w:t>
      </w:r>
      <w:proofErr w:type="spellStart"/>
      <w:r w:rsidRPr="004D3DCD">
        <w:rPr>
          <w:rFonts w:ascii="GHEA Grapalat" w:hAnsi="GHEA Grapalat"/>
          <w:color w:val="000000" w:themeColor="text1"/>
        </w:rPr>
        <w:t>անմիջականորեն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վերաբերվում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մասնավոր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հատվածին</w:t>
      </w:r>
      <w:proofErr w:type="spellEnd"/>
      <w:r w:rsidRPr="004D3DCD">
        <w:rPr>
          <w:rFonts w:ascii="GHEA Grapalat" w:hAnsi="GHEA Grapalat"/>
          <w:color w:val="000000" w:themeColor="text1"/>
        </w:rPr>
        <w:t xml:space="preserve"> ( </w:t>
      </w:r>
      <w:hyperlink r:id="rId25" w:history="1">
        <w:r w:rsidRPr="004D3DCD">
          <w:rPr>
            <w:rFonts w:ascii="GHEA Grapalat" w:hAnsi="GHEA Grapalat"/>
            <w:color w:val="000000" w:themeColor="text1"/>
          </w:rPr>
          <w:t>https://assets.publishing.service.gov.uk/government/uploads/system/uploads/attachment_data/file/667221/6_3323_Anti-Corruption_Strategy_WEB.pdf</w:t>
        </w:r>
      </w:hyperlink>
      <w:r w:rsidRPr="004D3DCD">
        <w:rPr>
          <w:rFonts w:ascii="GHEA Grapalat" w:hAnsi="GHEA Grapalat"/>
          <w:color w:val="000000" w:themeColor="text1"/>
        </w:rPr>
        <w:t xml:space="preserve"> ) </w:t>
      </w:r>
      <w:proofErr w:type="spellStart"/>
      <w:r w:rsidRPr="004D3DCD">
        <w:rPr>
          <w:rFonts w:ascii="GHEA Grapalat" w:hAnsi="GHEA Grapalat"/>
          <w:color w:val="000000" w:themeColor="text1"/>
        </w:rPr>
        <w:t>Ֆրանսիայի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Թափանցիկության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կոռուպցիայի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դեմ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պայքարի</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տնտեսական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մոդերնիզացիայի</w:t>
      </w:r>
      <w:proofErr w:type="spellEnd"/>
      <w:r w:rsidRPr="004D3DCD">
        <w:rPr>
          <w:rFonts w:ascii="GHEA Grapalat" w:hAnsi="GHEA Grapalat"/>
          <w:color w:val="000000" w:themeColor="text1"/>
        </w:rPr>
        <w:t xml:space="preserve"> 2016-1691» (</w:t>
      </w:r>
      <w:proofErr w:type="spellStart"/>
      <w:r w:rsidRPr="004D3DCD">
        <w:rPr>
          <w:rFonts w:ascii="GHEA Grapalat" w:hAnsi="GHEA Grapalat"/>
          <w:color w:val="000000" w:themeColor="text1"/>
        </w:rPr>
        <w:t>Sapin</w:t>
      </w:r>
      <w:proofErr w:type="spellEnd"/>
      <w:r w:rsidRPr="004D3DCD">
        <w:rPr>
          <w:rFonts w:ascii="GHEA Grapalat" w:hAnsi="GHEA Grapalat"/>
          <w:color w:val="000000" w:themeColor="text1"/>
        </w:rPr>
        <w:t xml:space="preserve"> II) </w:t>
      </w:r>
      <w:proofErr w:type="spellStart"/>
      <w:r w:rsidRPr="004D3DCD">
        <w:rPr>
          <w:rFonts w:ascii="GHEA Grapalat" w:hAnsi="GHEA Grapalat"/>
          <w:color w:val="000000" w:themeColor="text1"/>
        </w:rPr>
        <w:t>օրենքը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հստակ</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պահանջում</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Ֆրանսիայի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հակակոռուպցիոն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մարմնից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պատրաստել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ուղեցույց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թե</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հանրային</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թե</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մասնավոր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հատվածի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համար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կանխարգելելու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կաշառակերությունը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ազդեցության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չարաշահումը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շորթումը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ֆավորիտիզմն</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այլն</w:t>
      </w:r>
      <w:proofErr w:type="spellEnd"/>
      <w:r w:rsidRPr="004D3DCD">
        <w:rPr>
          <w:rFonts w:ascii="GHEA Grapalat" w:hAnsi="GHEA Grapalat"/>
          <w:color w:val="000000" w:themeColor="text1"/>
        </w:rPr>
        <w:t xml:space="preserve">: ( </w:t>
      </w:r>
      <w:hyperlink r:id="rId26" w:history="1">
        <w:r w:rsidRPr="004D3DCD">
          <w:rPr>
            <w:rFonts w:ascii="GHEA Grapalat" w:hAnsi="GHEA Grapalat"/>
            <w:color w:val="000000" w:themeColor="text1"/>
          </w:rPr>
          <w:t>https://www.legifrance.gouv.fr/jorf/id/JORFTEXT000033558528/</w:t>
        </w:r>
      </w:hyperlink>
      <w:r w:rsidRPr="004D3DCD">
        <w:rPr>
          <w:rFonts w:ascii="GHEA Grapalat" w:hAnsi="GHEA Grapalat"/>
          <w:color w:val="000000" w:themeColor="text1"/>
        </w:rPr>
        <w:t xml:space="preserve"> )</w:t>
      </w:r>
    </w:p>
  </w:footnote>
  <w:footnote w:id="44">
    <w:p w14:paraId="491C528A"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https://www.unodc.org/documents/treaties/UNCAC/WorkingGroups/ImplementationReviewGroup/14-18June2021/CAC-COSP-IRG-II-3-1-ADD.3/V2102056_E.pdf</w:t>
      </w:r>
    </w:p>
  </w:footnote>
  <w:footnote w:id="45">
    <w:p w14:paraId="5E975EB5"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ՏՀԶԿ </w:t>
      </w:r>
      <w:proofErr w:type="spellStart"/>
      <w:r w:rsidRPr="004D3DCD">
        <w:rPr>
          <w:rFonts w:ascii="GHEA Grapalat" w:hAnsi="GHEA Grapalat"/>
          <w:color w:val="000000" w:themeColor="text1"/>
        </w:rPr>
        <w:t>Հակակոռուպցիոն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Ստամբուլյան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գործողույունների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ծրագրի</w:t>
      </w:r>
      <w:proofErr w:type="spellEnd"/>
      <w:r w:rsidRPr="004D3DCD">
        <w:rPr>
          <w:rFonts w:ascii="GHEA Grapalat" w:hAnsi="GHEA Grapalat"/>
          <w:color w:val="000000" w:themeColor="text1"/>
        </w:rPr>
        <w:t xml:space="preserve"> 5-րդ </w:t>
      </w:r>
      <w:proofErr w:type="spellStart"/>
      <w:r w:rsidRPr="004D3DCD">
        <w:rPr>
          <w:rFonts w:ascii="GHEA Grapalat" w:hAnsi="GHEA Grapalat"/>
          <w:color w:val="000000" w:themeColor="text1"/>
        </w:rPr>
        <w:t>փուլի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մոնիթորինգի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զեկույց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Հայստան</w:t>
      </w:r>
      <w:proofErr w:type="spellEnd"/>
      <w:r w:rsidRPr="004D3DCD">
        <w:rPr>
          <w:rFonts w:ascii="GHEA Grapalat" w:hAnsi="GHEA Grapalat"/>
          <w:color w:val="000000" w:themeColor="text1"/>
        </w:rPr>
        <w:t>։,</w:t>
      </w:r>
      <w:hyperlink r:id="rId27" w:history="1">
        <w:r w:rsidRPr="004D3DCD">
          <w:rPr>
            <w:rStyle w:val="Hyperlink"/>
            <w:rFonts w:ascii="GHEA Grapalat" w:hAnsi="GHEA Grapalat"/>
            <w:color w:val="000000" w:themeColor="text1"/>
          </w:rPr>
          <w:t>Anti-Corruption Reforms in Armenia (oecd-ilibrary.org)</w:t>
        </w:r>
      </w:hyperlink>
    </w:p>
  </w:footnote>
  <w:footnote w:id="46">
    <w:p w14:paraId="70193924"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hyperlink r:id="rId28" w:history="1">
        <w:r w:rsidRPr="004D3DCD">
          <w:rPr>
            <w:rStyle w:val="Hyperlink"/>
            <w:rFonts w:ascii="GHEA Grapalat" w:hAnsi="GHEA Grapalat"/>
            <w:color w:val="000000" w:themeColor="text1"/>
          </w:rPr>
          <w:t>https://moj.am/page/583</w:t>
        </w:r>
      </w:hyperlink>
      <w:r w:rsidRPr="004D3DCD">
        <w:rPr>
          <w:rFonts w:ascii="GHEA Grapalat" w:hAnsi="GHEA Grapalat"/>
          <w:color w:val="000000" w:themeColor="text1"/>
        </w:rPr>
        <w:t xml:space="preserve"> </w:t>
      </w:r>
    </w:p>
  </w:footnote>
  <w:footnote w:id="47">
    <w:p w14:paraId="12B20FCB"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vertAlign w:val="baseline"/>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Կորպորատիվ</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Կառավարման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Կենտրոնի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կողմից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ձևավորված</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առաջնորդվող</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Բիզնեսի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բարեվարքության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ակումբի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առաքելությունն</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բարեվարքության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մշակույթի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միջոցով</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բարելավել</w:t>
      </w:r>
      <w:proofErr w:type="spellEnd"/>
      <w:r w:rsidRPr="004D3DCD">
        <w:rPr>
          <w:rFonts w:ascii="GHEA Grapalat" w:hAnsi="GHEA Grapalat"/>
          <w:color w:val="000000" w:themeColor="text1"/>
        </w:rPr>
        <w:t xml:space="preserve"> Հայաստանի </w:t>
      </w:r>
      <w:proofErr w:type="spellStart"/>
      <w:r w:rsidRPr="004D3DCD">
        <w:rPr>
          <w:rFonts w:ascii="GHEA Grapalat" w:hAnsi="GHEA Grapalat"/>
          <w:color w:val="000000" w:themeColor="text1"/>
        </w:rPr>
        <w:t>գործարար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միջավայրը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Վերջինիս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նպատակն</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բարձրացնել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Հայաստնաի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գործարար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միջավայրի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թափանցիկությունն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հաշվետվողականությունը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վստահությունը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երկրի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տնտեսական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համակարգի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նկատմամբ</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աջակցել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տնտեսության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երկարաժամկետ</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համբերատար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կառուցողական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ներդրումների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ներգրավմանը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նպաստել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գործարար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հատվածի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կենսունակությանը։Բիզնեսի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բարեվարքության</w:t>
      </w:r>
      <w:proofErr w:type="spellEnd"/>
      <w:r w:rsidRPr="004D3DCD">
        <w:rPr>
          <w:rFonts w:ascii="GHEA Grapalat" w:hAnsi="GHEA Grapalat"/>
          <w:color w:val="000000" w:themeColor="text1"/>
        </w:rPr>
        <w:t xml:space="preserve"> </w:t>
      </w:r>
      <w:bookmarkStart w:id="23" w:name="_Hlk134174381"/>
      <w:bookmarkStart w:id="24" w:name="_Hlk134174382"/>
      <w:bookmarkStart w:id="25" w:name="_Hlk134174385"/>
      <w:bookmarkStart w:id="26" w:name="_Hlk134174386"/>
      <w:bookmarkStart w:id="27" w:name="_Hlk134174387"/>
      <w:bookmarkStart w:id="28" w:name="_Hlk134174388"/>
      <w:proofErr w:type="spellStart"/>
      <w:r w:rsidRPr="004D3DCD">
        <w:rPr>
          <w:rFonts w:ascii="GHEA Grapalat" w:hAnsi="GHEA Grapalat"/>
          <w:color w:val="000000" w:themeColor="text1"/>
        </w:rPr>
        <w:t>ակումբի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շրջանակներում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շուրջ</w:t>
      </w:r>
      <w:proofErr w:type="spellEnd"/>
      <w:r w:rsidRPr="004D3DCD">
        <w:rPr>
          <w:rFonts w:ascii="GHEA Grapalat" w:hAnsi="GHEA Grapalat"/>
          <w:color w:val="000000" w:themeColor="text1"/>
        </w:rPr>
        <w:t xml:space="preserve"> 22 </w:t>
      </w:r>
      <w:proofErr w:type="spellStart"/>
      <w:r w:rsidRPr="004D3DCD">
        <w:rPr>
          <w:rFonts w:ascii="GHEA Grapalat" w:hAnsi="GHEA Grapalat"/>
          <w:color w:val="000000" w:themeColor="text1"/>
        </w:rPr>
        <w:t>ընկերություններում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ներդրվել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հակակոռուպցիոն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համապատասխանության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կառուցակարգեր</w:t>
      </w:r>
      <w:proofErr w:type="spellEnd"/>
      <w:r w:rsidRPr="004D3DCD">
        <w:rPr>
          <w:rFonts w:ascii="GHEA Grapalat" w:hAnsi="GHEA Grapalat"/>
          <w:color w:val="000000" w:themeColor="text1"/>
        </w:rPr>
        <w:t xml:space="preserve">։ </w:t>
      </w:r>
      <w:bookmarkEnd w:id="23"/>
      <w:bookmarkEnd w:id="24"/>
      <w:bookmarkEnd w:id="25"/>
      <w:bookmarkEnd w:id="26"/>
      <w:bookmarkEnd w:id="27"/>
      <w:bookmarkEnd w:id="28"/>
    </w:p>
  </w:footnote>
  <w:footnote w:id="48">
    <w:p w14:paraId="5414A002"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vertAlign w:val="baseline"/>
        </w:rPr>
        <w:footnoteRef/>
      </w:r>
      <w:r w:rsidRPr="004D3DCD">
        <w:rPr>
          <w:rFonts w:ascii="GHEA Grapalat" w:hAnsi="GHEA Grapalat"/>
          <w:color w:val="000000" w:themeColor="text1"/>
        </w:rPr>
        <w:t xml:space="preserve"> </w:t>
      </w:r>
      <w:hyperlink r:id="rId29" w:history="1">
        <w:r w:rsidRPr="004D3DCD">
          <w:rPr>
            <w:rStyle w:val="Hyperlink"/>
            <w:rFonts w:ascii="GHEA Grapalat" w:hAnsi="GHEA Grapalat"/>
            <w:color w:val="000000" w:themeColor="text1"/>
          </w:rPr>
          <w:t>https://www.state.gov/reports/2022-investment-climate-statements/armenia/</w:t>
        </w:r>
      </w:hyperlink>
      <w:r w:rsidRPr="004D3DCD">
        <w:rPr>
          <w:rFonts w:ascii="GHEA Grapalat" w:hAnsi="GHEA Grapalat"/>
          <w:color w:val="000000" w:themeColor="text1"/>
        </w:rPr>
        <w:t xml:space="preserve"> </w:t>
      </w:r>
    </w:p>
  </w:footnote>
  <w:footnote w:id="49">
    <w:p w14:paraId="364B4E95"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Ուսումնասիրությունն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իրականացվել</w:t>
      </w:r>
      <w:proofErr w:type="spellEnd"/>
      <w:r w:rsidRPr="004D3DCD">
        <w:rPr>
          <w:rFonts w:ascii="GHEA Grapalat" w:hAnsi="GHEA Grapalat"/>
          <w:color w:val="000000" w:themeColor="text1"/>
        </w:rPr>
        <w:t xml:space="preserve"> է 2023թ</w:t>
      </w:r>
      <w:r w:rsidRPr="004D3DCD">
        <w:rPr>
          <w:rFonts w:ascii="MS Mincho" w:eastAsia="MS Mincho" w:hAnsi="MS Mincho"/>
          <w:color w:val="000000" w:themeColor="text1"/>
        </w:rPr>
        <w:t>․</w:t>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ապրիլին</w:t>
      </w:r>
      <w:proofErr w:type="spellEnd"/>
      <w:r w:rsidRPr="004D3DCD">
        <w:rPr>
          <w:rFonts w:ascii="GHEA Grapalat" w:hAnsi="GHEA Grapalat"/>
          <w:color w:val="000000" w:themeColor="text1"/>
        </w:rPr>
        <w:t xml:space="preserve"> Հայաստանի </w:t>
      </w:r>
      <w:proofErr w:type="spellStart"/>
      <w:r w:rsidRPr="004D3DCD">
        <w:rPr>
          <w:rFonts w:ascii="GHEA Grapalat" w:hAnsi="GHEA Grapalat"/>
          <w:color w:val="000000" w:themeColor="text1"/>
        </w:rPr>
        <w:t>Հանրապետության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արդարադատության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նախարարության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հետ</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համագործակցությամբ</w:t>
      </w:r>
      <w:proofErr w:type="spellEnd"/>
      <w:r w:rsidRPr="004D3DCD">
        <w:rPr>
          <w:rFonts w:ascii="GHEA Grapalat" w:hAnsi="GHEA Grapalat"/>
          <w:color w:val="000000" w:themeColor="text1"/>
        </w:rPr>
        <w:t xml:space="preserve"> ԸԴՎԱՅԶ </w:t>
      </w:r>
      <w:proofErr w:type="spellStart"/>
      <w:r w:rsidRPr="004D3DCD">
        <w:rPr>
          <w:rFonts w:ascii="GHEA Grapalat" w:hAnsi="GHEA Grapalat"/>
          <w:color w:val="000000" w:themeColor="text1"/>
        </w:rPr>
        <w:t>խորհրդատվական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ընկերության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կողմից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Միջազգային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մասնավոր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ձեռնարկատիրության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կենտրոնի</w:t>
      </w:r>
      <w:proofErr w:type="spellEnd"/>
      <w:r w:rsidRPr="004D3DCD">
        <w:rPr>
          <w:rFonts w:ascii="GHEA Grapalat" w:hAnsi="GHEA Grapalat"/>
          <w:color w:val="000000" w:themeColor="text1"/>
        </w:rPr>
        <w:t xml:space="preserve"> (CIPE) «ՀՀ-</w:t>
      </w:r>
      <w:proofErr w:type="spellStart"/>
      <w:r w:rsidRPr="004D3DCD">
        <w:rPr>
          <w:rFonts w:ascii="GHEA Grapalat" w:hAnsi="GHEA Grapalat"/>
          <w:color w:val="000000" w:themeColor="text1"/>
        </w:rPr>
        <w:t>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մասնավոր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հատվածին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հանրային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ծառայությունների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մատուցման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բնագավառում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ռիսկերի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գնահատման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առաջադրանքի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շրջանակներում</w:t>
      </w:r>
      <w:proofErr w:type="spellEnd"/>
    </w:p>
  </w:footnote>
  <w:footnote w:id="50">
    <w:p w14:paraId="02128C84"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bookmarkStart w:id="30" w:name="_Hlk134348562"/>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chrome-extension://efaidnbmnnnibpcajpcglclefindmkaj/https://47-1548.s.cdn13.com/wp-content/uploads/2022/01/anti-corruption-compliance_guidebook-in-armenian.pdf?download=false </w:t>
      </w:r>
      <w:bookmarkEnd w:id="30"/>
    </w:p>
  </w:footnote>
  <w:footnote w:id="51">
    <w:p w14:paraId="1CA54406"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chrome-extension://efaidnbmnnnibpcajpcglclefindmkaj/https://corpgov.am/wp-content/uploads/2021/09/g20_oecd-principles-of-corporate-governance-arm.pdf?download=false։ </w:t>
      </w:r>
    </w:p>
    <w:p w14:paraId="0B2F6A22" w14:textId="77777777" w:rsidR="001720A3" w:rsidRPr="004D3DCD" w:rsidRDefault="001720A3" w:rsidP="004D3DCD">
      <w:pPr>
        <w:pStyle w:val="FootnoteText"/>
        <w:tabs>
          <w:tab w:val="left" w:pos="426"/>
        </w:tabs>
        <w:jc w:val="both"/>
        <w:rPr>
          <w:rFonts w:ascii="GHEA Grapalat" w:hAnsi="GHEA Grapalat"/>
          <w:color w:val="000000" w:themeColor="text1"/>
        </w:rPr>
      </w:pPr>
      <w:proofErr w:type="spellStart"/>
      <w:r w:rsidRPr="004D3DCD">
        <w:rPr>
          <w:rFonts w:ascii="GHEA Grapalat" w:hAnsi="GHEA Grapalat"/>
          <w:color w:val="000000" w:themeColor="text1"/>
        </w:rPr>
        <w:t>Սկզբունքները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կոչված</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աջակցելու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կորպորատիվ</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կառավարման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իրավական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կարգավորման</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ինստիտուցիոնալ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շրջանակների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գնահատման</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կատարելագործման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հարցում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քաղաքականություն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մշակող</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պատասխանատու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անձանց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նպատակ</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ունենալով</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ապահովելու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տնտեսական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արդյունավետություն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աճ</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ֆինանսական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կայունություն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Սա</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հիմնականում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իրագործվում</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բաժ</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նետերերին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տնօրենների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խորհրդի</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գործադիր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մարմնի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անդամներին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ինչպես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նաև</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ֆինանսական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միջնորդներին</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ծառայություններ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մատուցողներին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անհրաժեշտ</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խթաններ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տրամադրելու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միջոցով</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որպեսզի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զսպումների</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հա</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կակշիռների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համակարգի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շրջանակում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նրանք</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կատարեն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իրենց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հատկացված</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դերը</w:t>
      </w:r>
      <w:proofErr w:type="spellEnd"/>
      <w:r w:rsidRPr="004D3DCD">
        <w:rPr>
          <w:rFonts w:ascii="GHEA Grapalat" w:hAnsi="GHEA Grapalat"/>
          <w:color w:val="000000" w:themeColor="text1"/>
        </w:rPr>
        <w:t>:</w:t>
      </w:r>
    </w:p>
  </w:footnote>
  <w:footnote w:id="52">
    <w:p w14:paraId="35075D90"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bookmarkStart w:id="32" w:name="_Hlk134697878"/>
      <w:proofErr w:type="spellStart"/>
      <w:r w:rsidRPr="004D3DCD">
        <w:rPr>
          <w:rFonts w:ascii="GHEA Grapalat" w:hAnsi="GHEA Grapalat"/>
          <w:color w:val="000000" w:themeColor="text1"/>
        </w:rPr>
        <w:t>Այս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պահանջն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ամրագրված</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նաև</w:t>
      </w:r>
      <w:proofErr w:type="spellEnd"/>
      <w:r w:rsidRPr="004D3DCD">
        <w:rPr>
          <w:rFonts w:ascii="GHEA Grapalat" w:hAnsi="GHEA Grapalat"/>
          <w:color w:val="000000" w:themeColor="text1"/>
        </w:rPr>
        <w:t xml:space="preserve"> ՏՀԶԿ </w:t>
      </w:r>
      <w:bookmarkStart w:id="33" w:name="_Hlk134356417"/>
      <w:r w:rsidRPr="004D3DCD">
        <w:rPr>
          <w:rFonts w:ascii="GHEA Grapalat" w:hAnsi="GHEA Grapalat"/>
          <w:color w:val="000000" w:themeColor="text1"/>
        </w:rPr>
        <w:t xml:space="preserve">5-րդ </w:t>
      </w:r>
      <w:proofErr w:type="spellStart"/>
      <w:r w:rsidRPr="004D3DCD">
        <w:rPr>
          <w:rFonts w:ascii="GHEA Grapalat" w:hAnsi="GHEA Grapalat"/>
          <w:color w:val="000000" w:themeColor="text1"/>
        </w:rPr>
        <w:t>փուլի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գնահատման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պիլոտային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զեկույցում</w:t>
      </w:r>
      <w:proofErr w:type="spellEnd"/>
      <w:r w:rsidRPr="004D3DCD">
        <w:rPr>
          <w:rFonts w:ascii="GHEA Grapalat" w:hAnsi="GHEA Grapalat"/>
          <w:color w:val="000000" w:themeColor="text1"/>
        </w:rPr>
        <w:t xml:space="preserve">։ </w:t>
      </w:r>
      <w:bookmarkEnd w:id="32"/>
      <w:bookmarkEnd w:id="33"/>
    </w:p>
  </w:footnote>
  <w:footnote w:id="53">
    <w:p w14:paraId="769D3487"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Այս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պահանջն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ամրագրված</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նաև</w:t>
      </w:r>
      <w:proofErr w:type="spellEnd"/>
      <w:r w:rsidRPr="004D3DCD">
        <w:rPr>
          <w:rFonts w:ascii="GHEA Grapalat" w:hAnsi="GHEA Grapalat"/>
          <w:color w:val="000000" w:themeColor="text1"/>
        </w:rPr>
        <w:t xml:space="preserve"> ՏՀԶԿ 5-րդ </w:t>
      </w:r>
      <w:proofErr w:type="spellStart"/>
      <w:r w:rsidRPr="004D3DCD">
        <w:rPr>
          <w:rFonts w:ascii="GHEA Grapalat" w:hAnsi="GHEA Grapalat"/>
          <w:color w:val="000000" w:themeColor="text1"/>
        </w:rPr>
        <w:t>փուլի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գնահատման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պիլոտային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զեկույցում</w:t>
      </w:r>
      <w:proofErr w:type="spellEnd"/>
      <w:r w:rsidRPr="004D3DCD">
        <w:rPr>
          <w:rFonts w:ascii="GHEA Grapalat" w:hAnsi="GHEA Grapalat"/>
          <w:color w:val="000000" w:themeColor="text1"/>
        </w:rPr>
        <w:t>։</w:t>
      </w:r>
    </w:p>
  </w:footnote>
  <w:footnote w:id="54">
    <w:p w14:paraId="07F5095F"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«ՀՀ-</w:t>
      </w:r>
      <w:proofErr w:type="spellStart"/>
      <w:r w:rsidRPr="004D3DCD">
        <w:rPr>
          <w:rFonts w:ascii="GHEA Grapalat" w:hAnsi="GHEA Grapalat"/>
          <w:color w:val="000000" w:themeColor="text1"/>
        </w:rPr>
        <w:t>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մասնավոր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հատվածին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հանրային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ծառայությունների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մատուցման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բնագավառում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ռիսկերի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գնահատում</w:t>
      </w:r>
      <w:proofErr w:type="spellEnd"/>
      <w:r w:rsidRPr="004D3DCD">
        <w:rPr>
          <w:rFonts w:ascii="GHEA Grapalat" w:hAnsi="GHEA Grapalat"/>
          <w:color w:val="000000" w:themeColor="text1"/>
        </w:rPr>
        <w:t>»</w:t>
      </w:r>
      <w:r w:rsidRPr="004D3DCD">
        <w:rPr>
          <w:rFonts w:ascii="GHEA Grapalat" w:hAnsi="GHEA Grapalat"/>
          <w:color w:val="000000" w:themeColor="text1"/>
          <w:lang w:val="hy-AM"/>
        </w:rPr>
        <w:t xml:space="preserve"> </w:t>
      </w:r>
      <w:proofErr w:type="spellStart"/>
      <w:r w:rsidRPr="004D3DCD">
        <w:rPr>
          <w:rFonts w:ascii="GHEA Grapalat" w:hAnsi="GHEA Grapalat"/>
          <w:color w:val="000000" w:themeColor="text1"/>
        </w:rPr>
        <w:t>ուսումնասիրություն</w:t>
      </w:r>
      <w:proofErr w:type="spellEnd"/>
      <w:r w:rsidRPr="004D3DCD">
        <w:rPr>
          <w:rFonts w:ascii="GHEA Grapalat" w:hAnsi="GHEA Grapalat"/>
          <w:color w:val="000000" w:themeColor="text1"/>
          <w:lang w:val="hy-AM"/>
        </w:rPr>
        <w:t>ը, կհրապարակվի շուտով</w:t>
      </w:r>
      <w:r w:rsidRPr="004D3DCD">
        <w:rPr>
          <w:rFonts w:ascii="GHEA Grapalat" w:hAnsi="GHEA Grapalat"/>
          <w:color w:val="000000" w:themeColor="text1"/>
        </w:rPr>
        <w:t xml:space="preserve">։ </w:t>
      </w:r>
    </w:p>
  </w:footnote>
  <w:footnote w:id="55">
    <w:p w14:paraId="5E752B65"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Միջազգային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փորձում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տարածված</w:t>
      </w:r>
      <w:proofErr w:type="spellEnd"/>
      <w:r w:rsidRPr="004D3DCD">
        <w:rPr>
          <w:rFonts w:ascii="GHEA Grapalat" w:hAnsi="GHEA Grapalat"/>
          <w:color w:val="000000" w:themeColor="text1"/>
        </w:rPr>
        <w:t xml:space="preserve"> է </w:t>
      </w:r>
      <w:proofErr w:type="spellStart"/>
      <w:r w:rsidRPr="004D3DCD">
        <w:rPr>
          <w:rFonts w:ascii="GHEA Grapalat" w:hAnsi="GHEA Grapalat"/>
          <w:color w:val="000000" w:themeColor="text1"/>
        </w:rPr>
        <w:t>այն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պրակտիկան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երբ</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կոռուպցիայի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կանխարգելմամբ</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զբաղվող</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մարմինները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խորհրդապահական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հիմունքներով</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քննարկումներ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ունենում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գործարար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ոլորտի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ներկայացուցիչների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հետ</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ընթացքում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վերջիններս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անկաշկանդ</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բարձրաձայնում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նեղ</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ոլորտային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սխեմաների</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այլ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խնդիրների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մասին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օրինակ</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հարկային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մաքսային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պետական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գնումներ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լիցենզիաներ</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թույլտվություններ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քանի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որ</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ստացված</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տեղեկություններն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օգտագործվում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ոչ</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թե</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քրեական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պատասխանատվություն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կիրառելու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այլ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խնդիրները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վերհանելու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նպատակով</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Այս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պարագայում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գործարարները</w:t>
      </w:r>
      <w:proofErr w:type="spellEnd"/>
      <w:r w:rsidRPr="004D3DCD">
        <w:rPr>
          <w:rFonts w:ascii="GHEA Grapalat" w:hAnsi="GHEA Grapalat"/>
          <w:color w:val="000000" w:themeColor="text1"/>
        </w:rPr>
        <w:t xml:space="preserve"> չեն </w:t>
      </w:r>
      <w:proofErr w:type="spellStart"/>
      <w:r w:rsidRPr="004D3DCD">
        <w:rPr>
          <w:rFonts w:ascii="GHEA Grapalat" w:hAnsi="GHEA Grapalat"/>
          <w:color w:val="000000" w:themeColor="text1"/>
        </w:rPr>
        <w:t>ունենում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գործնական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հարաբերությունները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վատթարացնելու</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մտավախություն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իսկ</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կոռուպցիայի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կանխարգելմամբ</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զբաղվող</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մարմինները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արդյունքում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նաև</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ոլորտային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քաղաքականություն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մշակող</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մարմինները</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հնարավորություն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են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ունենում</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առաջին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ձեռքից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ստանալ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խնդիրների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վերաբերյալ</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տեղեկություններ</w:t>
      </w:r>
      <w:proofErr w:type="spellEnd"/>
      <w:r w:rsidRPr="004D3DCD">
        <w:rPr>
          <w:rFonts w:ascii="GHEA Grapalat" w:hAnsi="GHEA Grapalat"/>
          <w:color w:val="000000" w:themeColor="text1"/>
        </w:rPr>
        <w:t>։</w:t>
      </w:r>
    </w:p>
  </w:footnote>
  <w:footnote w:id="56">
    <w:p w14:paraId="500EB023"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«ԸԴՎԱՅԶ» </w:t>
      </w:r>
      <w:proofErr w:type="spellStart"/>
      <w:r w:rsidRPr="004D3DCD">
        <w:rPr>
          <w:rFonts w:ascii="GHEA Grapalat" w:hAnsi="GHEA Grapalat"/>
          <w:color w:val="000000" w:themeColor="text1"/>
        </w:rPr>
        <w:t>խորհրդատվական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կազմակերպություն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կողմից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իրականացված</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հարցում</w:t>
      </w:r>
      <w:proofErr w:type="spellEnd"/>
      <w:r w:rsidRPr="004D3DCD">
        <w:rPr>
          <w:rFonts w:ascii="GHEA Grapalat" w:hAnsi="GHEA Grapalat"/>
          <w:color w:val="000000" w:themeColor="text1"/>
        </w:rPr>
        <w:t xml:space="preserve">։ </w:t>
      </w:r>
    </w:p>
  </w:footnote>
  <w:footnote w:id="57">
    <w:p w14:paraId="5E87FE83" w14:textId="77777777" w:rsidR="001720A3" w:rsidRPr="004D3DCD" w:rsidRDefault="001720A3" w:rsidP="004D3DCD">
      <w:pPr>
        <w:pStyle w:val="FootnoteText"/>
        <w:tabs>
          <w:tab w:val="left" w:pos="426"/>
        </w:tabs>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«ԸԴՎԱՅԶ» </w:t>
      </w:r>
      <w:proofErr w:type="spellStart"/>
      <w:r w:rsidRPr="004D3DCD">
        <w:rPr>
          <w:rFonts w:ascii="GHEA Grapalat" w:hAnsi="GHEA Grapalat"/>
          <w:color w:val="000000" w:themeColor="text1"/>
        </w:rPr>
        <w:t>խորհրդատվական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կազմակերպություն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կողմից</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իրականացված</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հարցում</w:t>
      </w:r>
      <w:proofErr w:type="spellEnd"/>
      <w:r w:rsidRPr="004D3DCD">
        <w:rPr>
          <w:rFonts w:ascii="GHEA Grapalat" w:hAnsi="GHEA Grapalat"/>
          <w:color w:val="000000" w:themeColor="text1"/>
        </w:rPr>
        <w:t>։</w:t>
      </w:r>
    </w:p>
  </w:footnote>
  <w:footnote w:id="58">
    <w:p w14:paraId="223BD297" w14:textId="77777777" w:rsidR="001720A3" w:rsidRPr="004D3DCD" w:rsidRDefault="001720A3" w:rsidP="004D3DCD">
      <w:pPr>
        <w:pStyle w:val="FootnoteText"/>
        <w:tabs>
          <w:tab w:val="left" w:pos="426"/>
        </w:tabs>
        <w:ind w:left="142" w:hanging="142"/>
        <w:jc w:val="both"/>
        <w:rPr>
          <w:rFonts w:ascii="GHEA Grapalat" w:hAnsi="GHEA Grapalat"/>
          <w:color w:val="000000" w:themeColor="text1"/>
        </w:rPr>
      </w:pPr>
      <w:r w:rsidRPr="004D3DCD">
        <w:rPr>
          <w:rStyle w:val="FootnoteReference"/>
          <w:rFonts w:ascii="GHEA Grapalat" w:hAnsi="GHEA Grapalat"/>
          <w:color w:val="000000" w:themeColor="text1"/>
        </w:rPr>
        <w:footnoteRef/>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Տե´ս</w:t>
      </w:r>
      <w:proofErr w:type="spellEnd"/>
      <w:r w:rsidRPr="004D3DCD">
        <w:rPr>
          <w:rFonts w:ascii="GHEA Grapalat" w:hAnsi="GHEA Grapalat"/>
          <w:color w:val="000000" w:themeColor="text1"/>
        </w:rPr>
        <w:t xml:space="preserve"> U4 </w:t>
      </w:r>
      <w:proofErr w:type="spellStart"/>
      <w:r w:rsidRPr="004D3DCD">
        <w:rPr>
          <w:rFonts w:ascii="GHEA Grapalat" w:hAnsi="GHEA Grapalat"/>
          <w:color w:val="000000" w:themeColor="text1"/>
        </w:rPr>
        <w:t>Հակակոռուպցիոն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ռեսուրս</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կենտրոն</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Հայաստան</w:t>
      </w:r>
      <w:proofErr w:type="spellEnd"/>
      <w:r w:rsidRPr="004D3DCD">
        <w:rPr>
          <w:rFonts w:ascii="MS Mincho" w:eastAsia="MS Mincho" w:hAnsi="MS Mincho"/>
          <w:color w:val="000000" w:themeColor="text1"/>
        </w:rPr>
        <w:t>․</w:t>
      </w:r>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ակնարկ</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կոռուպցիայի</w:t>
      </w:r>
      <w:proofErr w:type="spellEnd"/>
      <w:r w:rsidRPr="004D3DCD">
        <w:rPr>
          <w:rFonts w:ascii="GHEA Grapalat" w:hAnsi="GHEA Grapalat"/>
          <w:color w:val="000000" w:themeColor="text1"/>
        </w:rPr>
        <w:t xml:space="preserve"> և </w:t>
      </w:r>
      <w:proofErr w:type="spellStart"/>
      <w:r w:rsidRPr="004D3DCD">
        <w:rPr>
          <w:rFonts w:ascii="GHEA Grapalat" w:hAnsi="GHEA Grapalat"/>
          <w:color w:val="000000" w:themeColor="text1"/>
        </w:rPr>
        <w:t>հակակոռուպցիայի</w:t>
      </w:r>
      <w:proofErr w:type="spellEnd"/>
      <w:r w:rsidRPr="004D3DCD">
        <w:rPr>
          <w:rFonts w:ascii="GHEA Grapalat" w:hAnsi="GHEA Grapalat"/>
          <w:color w:val="000000" w:themeColor="text1"/>
        </w:rPr>
        <w:t xml:space="preserve"> </w:t>
      </w:r>
      <w:proofErr w:type="spellStart"/>
      <w:r w:rsidRPr="004D3DCD">
        <w:rPr>
          <w:rFonts w:ascii="GHEA Grapalat" w:hAnsi="GHEA Grapalat"/>
          <w:color w:val="000000" w:themeColor="text1"/>
        </w:rPr>
        <w:t>վերաբերյալ</w:t>
      </w:r>
      <w:proofErr w:type="spellEnd"/>
      <w:r w:rsidRPr="004D3DCD">
        <w:rPr>
          <w:rFonts w:ascii="GHEA Grapalat" w:hAnsi="GHEA Grapalat"/>
          <w:color w:val="000000" w:themeColor="text1"/>
        </w:rPr>
        <w:t xml:space="preserve">» (Armenia: Overview of Corruption and Anti-corruption) </w:t>
      </w:r>
      <w:proofErr w:type="spellStart"/>
      <w:r w:rsidRPr="004D3DCD">
        <w:rPr>
          <w:rFonts w:ascii="GHEA Grapalat" w:hAnsi="GHEA Grapalat"/>
          <w:color w:val="000000" w:themeColor="text1"/>
        </w:rPr>
        <w:t>ուսումնասիրություն</w:t>
      </w:r>
      <w:proofErr w:type="spellEnd"/>
      <w:r w:rsidRPr="004D3DCD">
        <w:rPr>
          <w:rFonts w:ascii="GHEA Grapalat" w:hAnsi="GHEA Grapalat"/>
          <w:color w:val="000000" w:themeColor="text1"/>
        </w:rPr>
        <w:t xml:space="preserve">։ </w:t>
      </w:r>
      <w:hyperlink r:id="rId30" w:history="1">
        <w:r w:rsidRPr="004D3DCD">
          <w:rPr>
            <w:rStyle w:val="Hyperlink"/>
            <w:rFonts w:ascii="GHEA Grapalat" w:hAnsi="GHEA Grapalat"/>
            <w:color w:val="000000" w:themeColor="text1"/>
          </w:rPr>
          <w:t>https://www.u4.no/publications/armenia-overview-of-corruption-and-anti-corruption</w:t>
        </w:r>
      </w:hyperlink>
    </w:p>
  </w:footnote>
  <w:footnote w:id="59">
    <w:p w14:paraId="5D43190C"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31" w:history="1">
        <w:r w:rsidRPr="004D3DCD">
          <w:rPr>
            <w:rStyle w:val="Hyperlink"/>
            <w:rFonts w:ascii="GHEA Grapalat" w:hAnsi="GHEA Grapalat"/>
            <w:lang w:val="hy-AM"/>
          </w:rPr>
          <w:t>https://www.unodc.org/documents/corruption/Publications/2015/National_Anti-Corruption_Strategies_-_A_Practical_Guide_for_Development_and_Implementation_E.pdf</w:t>
        </w:r>
      </w:hyperlink>
      <w:r w:rsidRPr="004D3DCD">
        <w:rPr>
          <w:rFonts w:ascii="GHEA Grapalat" w:hAnsi="GHEA Grapalat"/>
          <w:lang w:val="hy-AM"/>
        </w:rPr>
        <w:t xml:space="preserve"> , էջ 16, 31, 37, 42-50</w:t>
      </w:r>
    </w:p>
  </w:footnote>
  <w:footnote w:id="60">
    <w:p w14:paraId="7224C277"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hyperlink r:id="rId32" w:history="1">
        <w:r w:rsidRPr="004D3DCD">
          <w:rPr>
            <w:rStyle w:val="Hyperlink"/>
            <w:rFonts w:ascii="GHEA Grapalat" w:hAnsi="GHEA Grapalat"/>
            <w:lang w:val="hy-AM"/>
          </w:rPr>
          <w:t>https://www.unodc.org/documents/southeastasiaandpacific/2013/10/corruption/Kuala_Lumpur_Statement_on_Anti-Corruption_Strategies_Final_21-22_October_2013.pdf</w:t>
        </w:r>
      </w:hyperlink>
      <w:r w:rsidRPr="004D3DCD">
        <w:rPr>
          <w:rFonts w:ascii="GHEA Grapalat" w:hAnsi="GHEA Grapalat"/>
          <w:lang w:val="hy-AM"/>
        </w:rPr>
        <w:t xml:space="preserve">; </w:t>
      </w:r>
      <w:hyperlink r:id="rId33" w:history="1">
        <w:r w:rsidRPr="004D3DCD">
          <w:rPr>
            <w:rStyle w:val="Hyperlink"/>
            <w:rFonts w:ascii="GHEA Grapalat" w:hAnsi="GHEA Grapalat"/>
            <w:lang w:val="hy-AM"/>
          </w:rPr>
          <w:t>https://transparency.am/files/statements/1548064401-49-259867.pdf</w:t>
        </w:r>
      </w:hyperlink>
      <w:r w:rsidRPr="004D3DCD">
        <w:rPr>
          <w:rFonts w:ascii="GHEA Grapalat" w:hAnsi="GHEA Grapalat"/>
          <w:lang w:val="hy-AM"/>
        </w:rPr>
        <w:t xml:space="preserve"> </w:t>
      </w:r>
    </w:p>
  </w:footnote>
  <w:footnote w:id="61">
    <w:p w14:paraId="074538A9"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34" w:history="1">
        <w:r w:rsidRPr="004D3DCD">
          <w:rPr>
            <w:rStyle w:val="Hyperlink"/>
            <w:rFonts w:ascii="GHEA Grapalat" w:hAnsi="GHEA Grapalat"/>
            <w:lang w:val="hy-AM"/>
          </w:rPr>
          <w:t>https://transparency.am/files/statements/1548064401-49-259867.pdf</w:t>
        </w:r>
      </w:hyperlink>
    </w:p>
  </w:footnote>
  <w:footnote w:id="62">
    <w:p w14:paraId="059B4E64"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35" w:history="1">
        <w:r w:rsidRPr="004D3DCD">
          <w:rPr>
            <w:rStyle w:val="Hyperlink"/>
            <w:rFonts w:ascii="GHEA Grapalat" w:hAnsi="GHEA Grapalat"/>
            <w:lang w:val="hy-AM"/>
          </w:rPr>
          <w:t>http://rai-see.org/wp-content/uploads/2015/05/Methodology_on_Monitoring_2015.pdf</w:t>
        </w:r>
      </w:hyperlink>
      <w:r w:rsidRPr="004D3DCD">
        <w:rPr>
          <w:rFonts w:ascii="GHEA Grapalat" w:hAnsi="GHEA Grapalat"/>
          <w:lang w:val="hy-AM"/>
        </w:rPr>
        <w:t xml:space="preserve"> </w:t>
      </w:r>
    </w:p>
  </w:footnote>
  <w:footnote w:id="63">
    <w:p w14:paraId="50BAAD04"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36" w:history="1">
        <w:r w:rsidRPr="004D3DCD">
          <w:rPr>
            <w:rStyle w:val="Hyperlink"/>
            <w:rFonts w:ascii="GHEA Grapalat" w:hAnsi="GHEA Grapalat"/>
            <w:lang w:val="hy-AM"/>
          </w:rPr>
          <w:t>http://www.anti-corruption.org/wp-content/uploads/2017/04/RBAP-DG-2014-Anti-Corruption-Strategies.pdf</w:t>
        </w:r>
      </w:hyperlink>
      <w:r w:rsidRPr="004D3DCD">
        <w:rPr>
          <w:rFonts w:ascii="GHEA Grapalat" w:hAnsi="GHEA Grapalat"/>
          <w:lang w:val="hy-AM"/>
        </w:rPr>
        <w:t xml:space="preserve"> </w:t>
      </w:r>
    </w:p>
  </w:footnote>
  <w:footnote w:id="64">
    <w:p w14:paraId="248C6159"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37" w:history="1">
        <w:r w:rsidRPr="004D3DCD">
          <w:rPr>
            <w:rStyle w:val="Hyperlink"/>
            <w:rFonts w:ascii="GHEA Grapalat" w:hAnsi="GHEA Grapalat"/>
            <w:lang w:val="hy-AM"/>
          </w:rPr>
          <w:t>http://www.anti-corruption.org/wp-content/uploads/2017/04/RBAP-DG-2014-Anti-Corruption-Strategies.pdf</w:t>
        </w:r>
      </w:hyperlink>
      <w:r w:rsidRPr="004D3DCD">
        <w:rPr>
          <w:rFonts w:ascii="GHEA Grapalat" w:hAnsi="GHEA Grapalat"/>
          <w:lang w:val="hy-AM"/>
        </w:rPr>
        <w:t>, էջ 26-27</w:t>
      </w:r>
    </w:p>
  </w:footnote>
  <w:footnote w:id="65">
    <w:p w14:paraId="387F6694"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38" w:history="1">
        <w:r w:rsidRPr="004D3DCD">
          <w:rPr>
            <w:rStyle w:val="Hyperlink"/>
            <w:rFonts w:ascii="GHEA Grapalat" w:hAnsi="GHEA Grapalat"/>
            <w:lang w:val="hy-AM"/>
          </w:rPr>
          <w:t>https://www.cmi.no/publications/file/4171-how-to-monitor-and-evaluate-anti-corruption.pdf</w:t>
        </w:r>
      </w:hyperlink>
      <w:r w:rsidRPr="004D3DCD">
        <w:rPr>
          <w:rFonts w:ascii="GHEA Grapalat" w:hAnsi="GHEA Grapalat"/>
          <w:lang w:val="hy-AM"/>
        </w:rPr>
        <w:t xml:space="preserve"> , էջ 20-22, 28</w:t>
      </w:r>
    </w:p>
  </w:footnote>
  <w:footnote w:id="66">
    <w:p w14:paraId="0A8F0E0A"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39" w:history="1">
        <w:r w:rsidRPr="004D3DCD">
          <w:rPr>
            <w:rStyle w:val="Hyperlink"/>
            <w:rFonts w:ascii="GHEA Grapalat" w:hAnsi="GHEA Grapalat"/>
            <w:lang w:val="hy-AM"/>
          </w:rPr>
          <w:t>http://documents1.worldbank.org/curated/en/129401593200074880/text/Monitoring-and-Evaluation-M-E-of-Anti-Corruption-Action-Plans.txt</w:t>
        </w:r>
      </w:hyperlink>
    </w:p>
  </w:footnote>
  <w:footnote w:id="67">
    <w:p w14:paraId="2D1A5A0B" w14:textId="77777777" w:rsidR="001720A3" w:rsidRPr="004D3DCD" w:rsidRDefault="001720A3" w:rsidP="004D3DCD">
      <w:pPr>
        <w:pStyle w:val="FootnoteText"/>
        <w:tabs>
          <w:tab w:val="left" w:pos="426"/>
        </w:tabs>
        <w:ind w:left="142" w:hanging="142"/>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ՀՀ Վարչապետի </w:t>
      </w:r>
      <w:r w:rsidRPr="004D3DCD">
        <w:rPr>
          <w:rFonts w:ascii="GHEA Grapalat" w:hAnsi="GHEA Grapalat"/>
          <w:lang w:val="af-ZA"/>
        </w:rPr>
        <w:t>20</w:t>
      </w:r>
      <w:r w:rsidRPr="004D3DCD">
        <w:rPr>
          <w:rFonts w:ascii="GHEA Grapalat" w:hAnsi="GHEA Grapalat"/>
          <w:lang w:val="hy-AM"/>
        </w:rPr>
        <w:t>21</w:t>
      </w:r>
      <w:r w:rsidRPr="004D3DCD">
        <w:rPr>
          <w:rFonts w:ascii="GHEA Grapalat" w:hAnsi="GHEA Grapalat"/>
          <w:lang w:val="af-ZA"/>
        </w:rPr>
        <w:t xml:space="preserve"> </w:t>
      </w:r>
      <w:r w:rsidRPr="004D3DCD">
        <w:rPr>
          <w:rFonts w:ascii="GHEA Grapalat" w:hAnsi="GHEA Grapalat"/>
          <w:lang w:val="hy-AM"/>
        </w:rPr>
        <w:t>թ</w:t>
      </w:r>
      <w:r w:rsidRPr="004D3DCD">
        <w:rPr>
          <w:rFonts w:ascii="GHEA Grapalat" w:hAnsi="GHEA Grapalat"/>
          <w:lang w:val="af-ZA"/>
        </w:rPr>
        <w:t>.</w:t>
      </w:r>
      <w:r w:rsidRPr="004D3DCD">
        <w:rPr>
          <w:rFonts w:ascii="GHEA Grapalat" w:hAnsi="GHEA Grapalat"/>
          <w:lang w:val="hy-AM"/>
        </w:rPr>
        <w:t xml:space="preserve"> դեկտեմբերի 12-ի «Պետական եկամուտների և ծախսերի վրա ազդեցություն ունեցող ռազմավարական փաստաթղթերի մշակման, ներկայացման և հսկողության իրականացման մեթոդական հրահանգը հաստատելու մասին» </w:t>
      </w:r>
      <w:r w:rsidRPr="004D3DCD">
        <w:rPr>
          <w:rFonts w:ascii="GHEA Grapalat" w:hAnsi="GHEA Grapalat"/>
          <w:lang w:val="af-ZA"/>
        </w:rPr>
        <w:t>N</w:t>
      </w:r>
      <w:r w:rsidRPr="004D3DCD">
        <w:rPr>
          <w:rFonts w:ascii="GHEA Grapalat" w:hAnsi="GHEA Grapalat"/>
          <w:lang w:val="hy-AM"/>
        </w:rPr>
        <w:t xml:space="preserve"> </w:t>
      </w:r>
      <w:r w:rsidRPr="004D3DCD">
        <w:rPr>
          <w:rFonts w:ascii="GHEA Grapalat" w:hAnsi="GHEA Grapalat"/>
          <w:lang w:val="af-ZA"/>
        </w:rPr>
        <w:t>1508-L</w:t>
      </w:r>
      <w:r w:rsidRPr="004D3DCD">
        <w:rPr>
          <w:rFonts w:ascii="GHEA Grapalat" w:hAnsi="GHEA Grapalat"/>
          <w:lang w:val="hy-AM"/>
        </w:rPr>
        <w:t xml:space="preserve"> որոշում։</w:t>
      </w:r>
    </w:p>
  </w:footnote>
  <w:footnote w:id="68">
    <w:p w14:paraId="197F1B27"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40" w:history="1">
        <w:r w:rsidRPr="004D3DCD">
          <w:rPr>
            <w:rStyle w:val="Hyperlink"/>
            <w:rFonts w:ascii="GHEA Grapalat" w:hAnsi="GHEA Grapalat"/>
            <w:lang w:val="hy-AM"/>
          </w:rPr>
          <w:t>https://www.oecd.org/corruption/acn/OECD-ACN-Armenia-4th-Round-Monitoring-Report-July-2018-ENG.pdf</w:t>
        </w:r>
      </w:hyperlink>
      <w:r w:rsidRPr="004D3DCD">
        <w:rPr>
          <w:rFonts w:ascii="GHEA Grapalat" w:hAnsi="GHEA Grapalat"/>
          <w:lang w:val="hy-AM"/>
        </w:rPr>
        <w:t xml:space="preserve"> </w:t>
      </w:r>
    </w:p>
  </w:footnote>
  <w:footnote w:id="69">
    <w:p w14:paraId="31B263F4"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41" w:history="1">
        <w:r w:rsidRPr="004D3DCD">
          <w:rPr>
            <w:rStyle w:val="Hyperlink"/>
            <w:rFonts w:ascii="GHEA Grapalat" w:hAnsi="GHEA Grapalat"/>
            <w:lang w:val="hy-AM"/>
          </w:rPr>
          <w:t>https://anti-corruption.gov.am/am/news_page?content.cid=135</w:t>
        </w:r>
      </w:hyperlink>
      <w:r w:rsidRPr="004D3DCD">
        <w:rPr>
          <w:rFonts w:ascii="GHEA Grapalat" w:hAnsi="GHEA Grapalat"/>
          <w:lang w:val="hy-AM"/>
        </w:rPr>
        <w:t xml:space="preserve"> , </w:t>
      </w:r>
      <w:hyperlink r:id="rId42" w:history="1">
        <w:r w:rsidRPr="004D3DCD">
          <w:rPr>
            <w:rStyle w:val="Hyperlink"/>
            <w:rFonts w:ascii="GHEA Grapalat" w:hAnsi="GHEA Grapalat"/>
            <w:lang w:val="hy-AM"/>
          </w:rPr>
          <w:t>https://anti-corruption.gov.am/am/news_page?content.cid=137</w:t>
        </w:r>
      </w:hyperlink>
      <w:r w:rsidRPr="004D3DCD">
        <w:rPr>
          <w:rFonts w:ascii="GHEA Grapalat" w:hAnsi="GHEA Grapalat"/>
          <w:lang w:val="hy-AM"/>
        </w:rPr>
        <w:t xml:space="preserve"> </w:t>
      </w:r>
    </w:p>
  </w:footnote>
  <w:footnote w:id="70">
    <w:p w14:paraId="62A88EE3"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43" w:history="1">
        <w:r w:rsidRPr="004D3DCD">
          <w:rPr>
            <w:rStyle w:val="Hyperlink"/>
            <w:rFonts w:ascii="GHEA Grapalat" w:hAnsi="GHEA Grapalat"/>
            <w:lang w:val="hy-AM"/>
          </w:rPr>
          <w:t>https://armla.am/49074.html</w:t>
        </w:r>
      </w:hyperlink>
      <w:r w:rsidRPr="004D3DCD">
        <w:rPr>
          <w:rFonts w:ascii="GHEA Grapalat" w:hAnsi="GHEA Grapalat"/>
          <w:lang w:val="hy-AM"/>
        </w:rPr>
        <w:t xml:space="preserve"> , </w:t>
      </w:r>
      <w:hyperlink r:id="rId44" w:history="1">
        <w:r w:rsidRPr="004D3DCD">
          <w:rPr>
            <w:rStyle w:val="Hyperlink"/>
            <w:rFonts w:ascii="GHEA Grapalat" w:hAnsi="GHEA Grapalat"/>
            <w:lang w:val="hy-AM"/>
          </w:rPr>
          <w:t>https://armla.am/?s=%D5%80%D5%A1%D5%AF%D5%A1%D5%AF%D5%B8%D5%BC%D5%B8%D6%82%D5%BA%D6%81%D5%AB%D5%B8%D5%B6+%D5%BC%D5%A1%D5%A6%D5%B4%D5%A1%D5%BE%D5%A1%D6%80%D5%B8%D6%82%D5%A9%D5%B5%D5%A1%D5%B6+%D6%87+%D5%A4%D6%80%D5%A1+%D5%AB%D6%80%D5%A1%D5%AF%D5%A1%D5%B6%D5%A1%D6%81%D5%B4%D5%A1%D5%B6</w:t>
        </w:r>
      </w:hyperlink>
      <w:r w:rsidRPr="004D3DCD">
        <w:rPr>
          <w:rFonts w:ascii="GHEA Grapalat" w:hAnsi="GHEA Grapalat"/>
          <w:lang w:val="hy-AM"/>
        </w:rPr>
        <w:t xml:space="preserve"> </w:t>
      </w:r>
    </w:p>
  </w:footnote>
  <w:footnote w:id="71">
    <w:p w14:paraId="777E7952"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Մանրամասները տես սույն զեկույցի «Կոռուպցիայի կանխարգելում» բաժնի «Կոռուպցիայի կանխարգելումը և քաղաքացիական հասարակության կազմակերպությունները» ենթաբաժնում։</w:t>
      </w:r>
    </w:p>
  </w:footnote>
  <w:footnote w:id="72">
    <w:p w14:paraId="4A013D58"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hyperlink r:id="rId45" w:history="1">
        <w:r w:rsidRPr="004D3DCD">
          <w:rPr>
            <w:rStyle w:val="Hyperlink"/>
            <w:rFonts w:ascii="GHEA Grapalat" w:hAnsi="GHEA Grapalat"/>
            <w:lang w:val="hy-AM"/>
          </w:rPr>
          <w:t>https://uic.am/?s=%D5%B0%D5%A1%D5%AF%D5%A1%D5%AF%D5%B8%D5%BC%D5%B8%D6%82%D5%BA%D6%81%D5%AB%D5%B8%D5%B6+%D5%BC%D5%A1%D5%A6%D5%B4%D5%A1%D5%BE%D5%A1%D6%80%D5%B8%D6%82%D5%A9%D5%B5%D5%A1%D5%B6</w:t>
        </w:r>
      </w:hyperlink>
      <w:r w:rsidRPr="004D3DCD">
        <w:rPr>
          <w:rFonts w:ascii="GHEA Grapalat" w:hAnsi="GHEA Grapalat"/>
          <w:lang w:val="hy-AM"/>
        </w:rPr>
        <w:t xml:space="preserve"> </w:t>
      </w:r>
    </w:p>
  </w:footnote>
  <w:footnote w:id="73">
    <w:p w14:paraId="2C9B2ADE" w14:textId="77777777" w:rsidR="001720A3" w:rsidRPr="004D3DCD" w:rsidRDefault="001720A3" w:rsidP="004D3DCD">
      <w:pPr>
        <w:pStyle w:val="FootnoteText"/>
        <w:tabs>
          <w:tab w:val="left" w:pos="426"/>
        </w:tabs>
        <w:jc w:val="both"/>
        <w:rPr>
          <w:rFonts w:ascii="GHEA Grapalat" w:hAnsi="GHEA Grapalat"/>
          <w:lang w:val="hy-AM"/>
        </w:rPr>
      </w:pPr>
      <w:r w:rsidRPr="004D3DCD">
        <w:rPr>
          <w:rStyle w:val="FootnoteReference"/>
          <w:rFonts w:ascii="GHEA Grapalat" w:hAnsi="GHEA Grapalat"/>
        </w:rPr>
        <w:footnoteRef/>
      </w:r>
      <w:r w:rsidRPr="004D3DCD">
        <w:rPr>
          <w:rFonts w:ascii="GHEA Grapalat" w:hAnsi="GHEA Grapalat"/>
          <w:lang w:val="hy-AM"/>
        </w:rPr>
        <w:t xml:space="preserve"> </w:t>
      </w:r>
      <w:hyperlink r:id="rId46" w:history="1">
        <w:r w:rsidRPr="004D3DCD">
          <w:rPr>
            <w:rStyle w:val="Hyperlink"/>
            <w:rFonts w:ascii="GHEA Grapalat" w:hAnsi="GHEA Grapalat"/>
            <w:lang w:val="hy-AM"/>
          </w:rPr>
          <w:t>https://www.arlis.am/DocumentView.aspx?docid=173833</w:t>
        </w:r>
      </w:hyperlink>
      <w:r w:rsidRPr="004D3DCD">
        <w:rPr>
          <w:rFonts w:ascii="GHEA Grapalat" w:hAnsi="GHEA Grapalat"/>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FCD3" w14:textId="77777777" w:rsidR="001720A3" w:rsidRDefault="001720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5B37"/>
    <w:multiLevelType w:val="hybridMultilevel"/>
    <w:tmpl w:val="2DBE52A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BDE750F"/>
    <w:multiLevelType w:val="hybridMultilevel"/>
    <w:tmpl w:val="9CF61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70DE7"/>
    <w:multiLevelType w:val="hybridMultilevel"/>
    <w:tmpl w:val="F2565F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D3A4D"/>
    <w:multiLevelType w:val="hybridMultilevel"/>
    <w:tmpl w:val="129434BA"/>
    <w:lvl w:ilvl="0" w:tplc="0409000B">
      <w:start w:val="1"/>
      <w:numFmt w:val="bullet"/>
      <w:lvlText w:val=""/>
      <w:lvlJc w:val="left"/>
      <w:pPr>
        <w:ind w:left="1260" w:hanging="360"/>
      </w:pPr>
      <w:rPr>
        <w:rFonts w:ascii="Wingdings" w:hAnsi="Wingdings" w:hint="default"/>
        <w:b w:val="0"/>
        <w:i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2F567E6"/>
    <w:multiLevelType w:val="hybridMultilevel"/>
    <w:tmpl w:val="77AC653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3F55C7A"/>
    <w:multiLevelType w:val="hybridMultilevel"/>
    <w:tmpl w:val="0B7854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FB2714"/>
    <w:multiLevelType w:val="hybridMultilevel"/>
    <w:tmpl w:val="B6C2C09C"/>
    <w:lvl w:ilvl="0" w:tplc="88C45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6363D"/>
    <w:multiLevelType w:val="multilevel"/>
    <w:tmpl w:val="FFC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842818"/>
    <w:multiLevelType w:val="multilevel"/>
    <w:tmpl w:val="0F6AA72C"/>
    <w:lvl w:ilvl="0">
      <w:start w:val="1"/>
      <w:numFmt w:val="bullet"/>
      <w:lvlText w:val=""/>
      <w:lvlJc w:val="left"/>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954076"/>
    <w:multiLevelType w:val="multilevel"/>
    <w:tmpl w:val="E8F6ECDE"/>
    <w:lvl w:ilvl="0">
      <w:start w:val="1"/>
      <w:numFmt w:val="decimal"/>
      <w:lvlText w:val="%1."/>
      <w:lvlJc w:val="left"/>
      <w:pPr>
        <w:ind w:left="972" w:hanging="972"/>
      </w:pPr>
      <w:rPr>
        <w:rFonts w:eastAsia="Calibri" w:hint="default"/>
        <w:b/>
        <w:i w:val="0"/>
      </w:rPr>
    </w:lvl>
    <w:lvl w:ilvl="1">
      <w:start w:val="1"/>
      <w:numFmt w:val="decimal"/>
      <w:lvlText w:val="%1.%2."/>
      <w:lvlJc w:val="left"/>
      <w:pPr>
        <w:ind w:left="972" w:hanging="972"/>
      </w:pPr>
      <w:rPr>
        <w:rFonts w:eastAsia="Calibri" w:hint="default"/>
        <w:b/>
      </w:rPr>
    </w:lvl>
    <w:lvl w:ilvl="2">
      <w:start w:val="1"/>
      <w:numFmt w:val="decimal"/>
      <w:lvlText w:val="%1.%2.%3."/>
      <w:lvlJc w:val="left"/>
      <w:pPr>
        <w:ind w:left="1062" w:hanging="972"/>
      </w:pPr>
      <w:rPr>
        <w:rFonts w:eastAsia="Calibri" w:hint="default"/>
        <w:b/>
        <w:i w:val="0"/>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2160" w:hanging="2160"/>
      </w:pPr>
      <w:rPr>
        <w:rFonts w:eastAsia="Calibri" w:hint="default"/>
        <w:b/>
      </w:rPr>
    </w:lvl>
  </w:abstractNum>
  <w:abstractNum w:abstractNumId="10" w15:restartNumberingAfterBreak="0">
    <w:nsid w:val="1A403BCD"/>
    <w:multiLevelType w:val="hybridMultilevel"/>
    <w:tmpl w:val="2A4E3DA2"/>
    <w:lvl w:ilvl="0" w:tplc="D91C9B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8D6618"/>
    <w:multiLevelType w:val="hybridMultilevel"/>
    <w:tmpl w:val="B6767AE6"/>
    <w:lvl w:ilvl="0" w:tplc="BBF400FA">
      <w:start w:val="2022"/>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20C19"/>
    <w:multiLevelType w:val="hybridMultilevel"/>
    <w:tmpl w:val="84A421C2"/>
    <w:lvl w:ilvl="0" w:tplc="61D247CE">
      <w:numFmt w:val="bullet"/>
      <w:lvlText w:val="-"/>
      <w:lvlJc w:val="left"/>
      <w:pPr>
        <w:ind w:left="1260" w:hanging="360"/>
      </w:pPr>
      <w:rPr>
        <w:rFonts w:ascii="GHEA Grapalat" w:eastAsia="Times New Roman" w:hAnsi="GHEA Grapalat" w:cs="Times New Roman" w:hint="default"/>
        <w:b w:val="0"/>
        <w:i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41F7E21"/>
    <w:multiLevelType w:val="hybridMultilevel"/>
    <w:tmpl w:val="5A9EDD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D211A0"/>
    <w:multiLevelType w:val="hybridMultilevel"/>
    <w:tmpl w:val="BD84E4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CB2941"/>
    <w:multiLevelType w:val="hybridMultilevel"/>
    <w:tmpl w:val="57B075EE"/>
    <w:lvl w:ilvl="0" w:tplc="DC86BCB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AC2B2E"/>
    <w:multiLevelType w:val="hybridMultilevel"/>
    <w:tmpl w:val="8BBADCE6"/>
    <w:lvl w:ilvl="0" w:tplc="2654F0A8">
      <w:start w:val="1"/>
      <w:numFmt w:val="decimal"/>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2D501C2D"/>
    <w:multiLevelType w:val="hybridMultilevel"/>
    <w:tmpl w:val="DAA22022"/>
    <w:lvl w:ilvl="0" w:tplc="D2D23FB8">
      <w:start w:val="2022"/>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70C5B"/>
    <w:multiLevelType w:val="hybridMultilevel"/>
    <w:tmpl w:val="AFDE7D80"/>
    <w:lvl w:ilvl="0" w:tplc="1C8A45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3B3F11"/>
    <w:multiLevelType w:val="hybridMultilevel"/>
    <w:tmpl w:val="4E28C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32A110A"/>
    <w:multiLevelType w:val="hybridMultilevel"/>
    <w:tmpl w:val="D39CA9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6832F4"/>
    <w:multiLevelType w:val="hybridMultilevel"/>
    <w:tmpl w:val="F5BCD990"/>
    <w:lvl w:ilvl="0" w:tplc="61D247CE">
      <w:numFmt w:val="bullet"/>
      <w:lvlText w:val="-"/>
      <w:lvlJc w:val="left"/>
      <w:pPr>
        <w:ind w:left="720" w:hanging="360"/>
      </w:pPr>
      <w:rPr>
        <w:rFonts w:ascii="GHEA Grapalat" w:eastAsia="Times New Roman" w:hAnsi="GHEA Grapalat"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A3436"/>
    <w:multiLevelType w:val="hybridMultilevel"/>
    <w:tmpl w:val="94F4E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9250A9"/>
    <w:multiLevelType w:val="hybridMultilevel"/>
    <w:tmpl w:val="374CACAC"/>
    <w:lvl w:ilvl="0" w:tplc="6158D3FA">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24" w15:restartNumberingAfterBreak="0">
    <w:nsid w:val="391C31A3"/>
    <w:multiLevelType w:val="hybridMultilevel"/>
    <w:tmpl w:val="D95A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43836"/>
    <w:multiLevelType w:val="hybridMultilevel"/>
    <w:tmpl w:val="4EFEF9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3C361431"/>
    <w:multiLevelType w:val="hybridMultilevel"/>
    <w:tmpl w:val="9FDC34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A666C6"/>
    <w:multiLevelType w:val="hybridMultilevel"/>
    <w:tmpl w:val="23B8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13A87"/>
    <w:multiLevelType w:val="hybridMultilevel"/>
    <w:tmpl w:val="364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BE07F2"/>
    <w:multiLevelType w:val="multilevel"/>
    <w:tmpl w:val="F1B2CC5A"/>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424423"/>
    <w:multiLevelType w:val="hybridMultilevel"/>
    <w:tmpl w:val="DA0CA3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193B3F"/>
    <w:multiLevelType w:val="hybridMultilevel"/>
    <w:tmpl w:val="261C698A"/>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499C3804"/>
    <w:multiLevelType w:val="multilevel"/>
    <w:tmpl w:val="0F6AA72C"/>
    <w:lvl w:ilvl="0">
      <w:start w:val="1"/>
      <w:numFmt w:val="bullet"/>
      <w:lvlText w:val=""/>
      <w:lvlJc w:val="left"/>
      <w:rPr>
        <w:rFonts w:ascii="Symbol" w:hAnsi="Symbol"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9A513BA"/>
    <w:multiLevelType w:val="hybridMultilevel"/>
    <w:tmpl w:val="737259D8"/>
    <w:lvl w:ilvl="0" w:tplc="F3B039E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9F209BB"/>
    <w:multiLevelType w:val="hybridMultilevel"/>
    <w:tmpl w:val="EF0087D6"/>
    <w:lvl w:ilvl="0" w:tplc="61D247CE">
      <w:numFmt w:val="bullet"/>
      <w:lvlText w:val="-"/>
      <w:lvlJc w:val="left"/>
      <w:pPr>
        <w:tabs>
          <w:tab w:val="num" w:pos="720"/>
        </w:tabs>
        <w:ind w:left="720" w:hanging="360"/>
      </w:pPr>
      <w:rPr>
        <w:rFonts w:ascii="GHEA Grapalat" w:eastAsia="Times New Roman" w:hAnsi="GHEA Grapalat"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927F8C"/>
    <w:multiLevelType w:val="hybridMultilevel"/>
    <w:tmpl w:val="E30E1F9C"/>
    <w:lvl w:ilvl="0" w:tplc="61D247CE">
      <w:numFmt w:val="bullet"/>
      <w:lvlText w:val="-"/>
      <w:lvlJc w:val="left"/>
      <w:pPr>
        <w:ind w:left="1260" w:hanging="360"/>
      </w:pPr>
      <w:rPr>
        <w:rFonts w:ascii="GHEA Grapalat" w:eastAsia="Times New Roman" w:hAnsi="GHEA Grapalat" w:cs="Times New Roman" w:hint="default"/>
        <w:b w:val="0"/>
        <w:i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4CA4775F"/>
    <w:multiLevelType w:val="hybridMultilevel"/>
    <w:tmpl w:val="8B7E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9A2A0B"/>
    <w:multiLevelType w:val="hybridMultilevel"/>
    <w:tmpl w:val="59AC8C82"/>
    <w:lvl w:ilvl="0" w:tplc="61D247CE">
      <w:numFmt w:val="bullet"/>
      <w:lvlText w:val="-"/>
      <w:lvlJc w:val="left"/>
      <w:pPr>
        <w:ind w:left="1337" w:hanging="360"/>
      </w:pPr>
      <w:rPr>
        <w:rFonts w:ascii="GHEA Grapalat" w:eastAsia="Times New Roman" w:hAnsi="GHEA Grapalat" w:cs="Times New Roman" w:hint="default"/>
        <w:b w:val="0"/>
        <w:i w:val="0"/>
        <w:color w:val="auto"/>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38" w15:restartNumberingAfterBreak="0">
    <w:nsid w:val="51112F03"/>
    <w:multiLevelType w:val="hybridMultilevel"/>
    <w:tmpl w:val="55A2A8A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325B57"/>
    <w:multiLevelType w:val="hybridMultilevel"/>
    <w:tmpl w:val="DA241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B3256B"/>
    <w:multiLevelType w:val="hybridMultilevel"/>
    <w:tmpl w:val="FDB6C8E2"/>
    <w:lvl w:ilvl="0" w:tplc="2DEC15B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E510A0B"/>
    <w:multiLevelType w:val="hybridMultilevel"/>
    <w:tmpl w:val="F2D2FEC6"/>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42" w15:restartNumberingAfterBreak="0">
    <w:nsid w:val="5E7900EA"/>
    <w:multiLevelType w:val="hybridMultilevel"/>
    <w:tmpl w:val="CA1659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8215D7"/>
    <w:multiLevelType w:val="hybridMultilevel"/>
    <w:tmpl w:val="3F8C5F6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4" w15:restartNumberingAfterBreak="0">
    <w:nsid w:val="608D4D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62082830"/>
    <w:multiLevelType w:val="multilevel"/>
    <w:tmpl w:val="E286ED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6" w15:restartNumberingAfterBreak="0">
    <w:nsid w:val="63132775"/>
    <w:multiLevelType w:val="hybridMultilevel"/>
    <w:tmpl w:val="E500EB00"/>
    <w:lvl w:ilvl="0" w:tplc="0F5A6002">
      <w:start w:val="1"/>
      <w:numFmt w:val="decimal"/>
      <w:lvlText w:val="%1."/>
      <w:lvlJc w:val="left"/>
      <w:pPr>
        <w:ind w:left="644" w:hanging="360"/>
      </w:pPr>
      <w:rPr>
        <w:rFonts w:ascii="GHEA Grapalat" w:hAnsi="GHEA Grapalat" w:cs="Sylfaen" w:hint="default"/>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6077398"/>
    <w:multiLevelType w:val="multilevel"/>
    <w:tmpl w:val="CAF0E2B2"/>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62606FE"/>
    <w:multiLevelType w:val="hybridMultilevel"/>
    <w:tmpl w:val="D5D60C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221BC3"/>
    <w:multiLevelType w:val="hybridMultilevel"/>
    <w:tmpl w:val="172E9B2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0" w15:restartNumberingAfterBreak="0">
    <w:nsid w:val="6B586B86"/>
    <w:multiLevelType w:val="hybridMultilevel"/>
    <w:tmpl w:val="13503C52"/>
    <w:lvl w:ilvl="0" w:tplc="8D986310">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6825BD"/>
    <w:multiLevelType w:val="hybridMultilevel"/>
    <w:tmpl w:val="D64A51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2" w15:restartNumberingAfterBreak="0">
    <w:nsid w:val="70CE63C2"/>
    <w:multiLevelType w:val="hybridMultilevel"/>
    <w:tmpl w:val="58AC3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3025AA"/>
    <w:multiLevelType w:val="hybridMultilevel"/>
    <w:tmpl w:val="46546CA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7605745D"/>
    <w:multiLevelType w:val="hybridMultilevel"/>
    <w:tmpl w:val="5E88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CD27F7"/>
    <w:multiLevelType w:val="multilevel"/>
    <w:tmpl w:val="ECFC3448"/>
    <w:lvl w:ilvl="0">
      <w:start w:val="1"/>
      <w:numFmt w:val="decimal"/>
      <w:lvlText w:val="%1"/>
      <w:lvlJc w:val="left"/>
      <w:pPr>
        <w:ind w:left="400" w:hanging="400"/>
      </w:pPr>
      <w:rPr>
        <w:rFonts w:eastAsia="Calibri" w:cs="Arian AMU" w:hint="default"/>
        <w:b/>
      </w:rPr>
    </w:lvl>
    <w:lvl w:ilvl="1">
      <w:start w:val="1"/>
      <w:numFmt w:val="decimal"/>
      <w:lvlText w:val="%1.%2"/>
      <w:lvlJc w:val="left"/>
      <w:pPr>
        <w:ind w:left="400" w:hanging="400"/>
      </w:pPr>
      <w:rPr>
        <w:rFonts w:eastAsia="Calibri" w:cs="Arian AMU" w:hint="default"/>
        <w:b/>
      </w:rPr>
    </w:lvl>
    <w:lvl w:ilvl="2">
      <w:start w:val="1"/>
      <w:numFmt w:val="decimal"/>
      <w:lvlText w:val="%1.%2.%3"/>
      <w:lvlJc w:val="left"/>
      <w:pPr>
        <w:ind w:left="720" w:hanging="720"/>
      </w:pPr>
      <w:rPr>
        <w:rFonts w:eastAsia="Calibri" w:cs="Arian AMU" w:hint="default"/>
        <w:b/>
      </w:rPr>
    </w:lvl>
    <w:lvl w:ilvl="3">
      <w:start w:val="1"/>
      <w:numFmt w:val="decimal"/>
      <w:lvlText w:val="%1.%2.%3.%4"/>
      <w:lvlJc w:val="left"/>
      <w:pPr>
        <w:ind w:left="720" w:hanging="720"/>
      </w:pPr>
      <w:rPr>
        <w:rFonts w:eastAsia="Calibri" w:cs="Arian AMU" w:hint="default"/>
        <w:b/>
      </w:rPr>
    </w:lvl>
    <w:lvl w:ilvl="4">
      <w:start w:val="1"/>
      <w:numFmt w:val="decimal"/>
      <w:lvlText w:val="%1.%2.%3.%4.%5"/>
      <w:lvlJc w:val="left"/>
      <w:pPr>
        <w:ind w:left="1080" w:hanging="1080"/>
      </w:pPr>
      <w:rPr>
        <w:rFonts w:eastAsia="Calibri" w:cs="Arian AMU" w:hint="default"/>
        <w:b/>
      </w:rPr>
    </w:lvl>
    <w:lvl w:ilvl="5">
      <w:start w:val="1"/>
      <w:numFmt w:val="decimal"/>
      <w:lvlText w:val="%1.%2.%3.%4.%5.%6"/>
      <w:lvlJc w:val="left"/>
      <w:pPr>
        <w:ind w:left="1080" w:hanging="1080"/>
      </w:pPr>
      <w:rPr>
        <w:rFonts w:eastAsia="Calibri" w:cs="Arian AMU" w:hint="default"/>
        <w:b/>
      </w:rPr>
    </w:lvl>
    <w:lvl w:ilvl="6">
      <w:start w:val="1"/>
      <w:numFmt w:val="decimal"/>
      <w:lvlText w:val="%1.%2.%3.%4.%5.%6.%7"/>
      <w:lvlJc w:val="left"/>
      <w:pPr>
        <w:ind w:left="1440" w:hanging="1440"/>
      </w:pPr>
      <w:rPr>
        <w:rFonts w:eastAsia="Calibri" w:cs="Arian AMU" w:hint="default"/>
        <w:b/>
      </w:rPr>
    </w:lvl>
    <w:lvl w:ilvl="7">
      <w:start w:val="1"/>
      <w:numFmt w:val="decimal"/>
      <w:lvlText w:val="%1.%2.%3.%4.%5.%6.%7.%8"/>
      <w:lvlJc w:val="left"/>
      <w:pPr>
        <w:ind w:left="1440" w:hanging="1440"/>
      </w:pPr>
      <w:rPr>
        <w:rFonts w:eastAsia="Calibri" w:cs="Arian AMU" w:hint="default"/>
        <w:b/>
      </w:rPr>
    </w:lvl>
    <w:lvl w:ilvl="8">
      <w:start w:val="1"/>
      <w:numFmt w:val="decimal"/>
      <w:lvlText w:val="%1.%2.%3.%4.%5.%6.%7.%8.%9"/>
      <w:lvlJc w:val="left"/>
      <w:pPr>
        <w:ind w:left="1800" w:hanging="1800"/>
      </w:pPr>
      <w:rPr>
        <w:rFonts w:eastAsia="Calibri" w:cs="Arian AMU" w:hint="default"/>
        <w:b/>
      </w:rPr>
    </w:lvl>
  </w:abstractNum>
  <w:abstractNum w:abstractNumId="56" w15:restartNumberingAfterBreak="0">
    <w:nsid w:val="7D9E5890"/>
    <w:multiLevelType w:val="hybridMultilevel"/>
    <w:tmpl w:val="5EAEA958"/>
    <w:lvl w:ilvl="0" w:tplc="0409000D">
      <w:start w:val="1"/>
      <w:numFmt w:val="bullet"/>
      <w:lvlText w:val=""/>
      <w:lvlJc w:val="left"/>
      <w:pPr>
        <w:ind w:left="1339" w:hanging="360"/>
      </w:pPr>
      <w:rPr>
        <w:rFonts w:ascii="Wingdings" w:hAnsi="Wingdings"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num w:numId="1">
    <w:abstractNumId w:val="28"/>
  </w:num>
  <w:num w:numId="2">
    <w:abstractNumId w:val="55"/>
  </w:num>
  <w:num w:numId="3">
    <w:abstractNumId w:val="43"/>
  </w:num>
  <w:num w:numId="4">
    <w:abstractNumId w:val="7"/>
  </w:num>
  <w:num w:numId="5">
    <w:abstractNumId w:val="14"/>
  </w:num>
  <w:num w:numId="6">
    <w:abstractNumId w:val="38"/>
  </w:num>
  <w:num w:numId="7">
    <w:abstractNumId w:val="31"/>
  </w:num>
  <w:num w:numId="8">
    <w:abstractNumId w:val="5"/>
  </w:num>
  <w:num w:numId="9">
    <w:abstractNumId w:val="40"/>
  </w:num>
  <w:num w:numId="10">
    <w:abstractNumId w:val="47"/>
  </w:num>
  <w:num w:numId="11">
    <w:abstractNumId w:val="29"/>
  </w:num>
  <w:num w:numId="12">
    <w:abstractNumId w:val="44"/>
  </w:num>
  <w:num w:numId="13">
    <w:abstractNumId w:val="33"/>
  </w:num>
  <w:num w:numId="14">
    <w:abstractNumId w:val="50"/>
  </w:num>
  <w:num w:numId="15">
    <w:abstractNumId w:val="37"/>
  </w:num>
  <w:num w:numId="16">
    <w:abstractNumId w:val="12"/>
  </w:num>
  <w:num w:numId="17">
    <w:abstractNumId w:val="25"/>
  </w:num>
  <w:num w:numId="18">
    <w:abstractNumId w:val="19"/>
  </w:num>
  <w:num w:numId="19">
    <w:abstractNumId w:val="35"/>
  </w:num>
  <w:num w:numId="20">
    <w:abstractNumId w:val="0"/>
  </w:num>
  <w:num w:numId="21">
    <w:abstractNumId w:val="20"/>
  </w:num>
  <w:num w:numId="22">
    <w:abstractNumId w:val="34"/>
  </w:num>
  <w:num w:numId="23">
    <w:abstractNumId w:val="3"/>
  </w:num>
  <w:num w:numId="24">
    <w:abstractNumId w:val="21"/>
  </w:num>
  <w:num w:numId="25">
    <w:abstractNumId w:val="46"/>
  </w:num>
  <w:num w:numId="26">
    <w:abstractNumId w:val="18"/>
  </w:num>
  <w:num w:numId="27">
    <w:abstractNumId w:val="9"/>
  </w:num>
  <w:num w:numId="28">
    <w:abstractNumId w:val="6"/>
  </w:num>
  <w:num w:numId="29">
    <w:abstractNumId w:val="56"/>
  </w:num>
  <w:num w:numId="30">
    <w:abstractNumId w:val="52"/>
  </w:num>
  <w:num w:numId="31">
    <w:abstractNumId w:val="49"/>
  </w:num>
  <w:num w:numId="32">
    <w:abstractNumId w:val="30"/>
  </w:num>
  <w:num w:numId="33">
    <w:abstractNumId w:val="51"/>
  </w:num>
  <w:num w:numId="34">
    <w:abstractNumId w:val="27"/>
  </w:num>
  <w:num w:numId="35">
    <w:abstractNumId w:val="24"/>
  </w:num>
  <w:num w:numId="36">
    <w:abstractNumId w:val="26"/>
  </w:num>
  <w:num w:numId="37">
    <w:abstractNumId w:val="13"/>
  </w:num>
  <w:num w:numId="38">
    <w:abstractNumId w:val="16"/>
  </w:num>
  <w:num w:numId="39">
    <w:abstractNumId w:val="22"/>
  </w:num>
  <w:num w:numId="40">
    <w:abstractNumId w:val="39"/>
  </w:num>
  <w:num w:numId="41">
    <w:abstractNumId w:val="48"/>
  </w:num>
  <w:num w:numId="42">
    <w:abstractNumId w:val="10"/>
  </w:num>
  <w:num w:numId="43">
    <w:abstractNumId w:val="1"/>
  </w:num>
  <w:num w:numId="44">
    <w:abstractNumId w:val="54"/>
  </w:num>
  <w:num w:numId="45">
    <w:abstractNumId w:val="32"/>
  </w:num>
  <w:num w:numId="46">
    <w:abstractNumId w:val="8"/>
  </w:num>
  <w:num w:numId="47">
    <w:abstractNumId w:val="42"/>
  </w:num>
  <w:num w:numId="48">
    <w:abstractNumId w:val="4"/>
  </w:num>
  <w:num w:numId="49">
    <w:abstractNumId w:val="11"/>
  </w:num>
  <w:num w:numId="50">
    <w:abstractNumId w:val="17"/>
  </w:num>
  <w:num w:numId="51">
    <w:abstractNumId w:val="45"/>
  </w:num>
  <w:num w:numId="52">
    <w:abstractNumId w:val="41"/>
  </w:num>
  <w:num w:numId="53">
    <w:abstractNumId w:val="36"/>
  </w:num>
  <w:num w:numId="54">
    <w:abstractNumId w:val="53"/>
  </w:num>
  <w:num w:numId="55">
    <w:abstractNumId w:val="23"/>
  </w:num>
  <w:num w:numId="56">
    <w:abstractNumId w:val="2"/>
  </w:num>
  <w:num w:numId="5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FC"/>
    <w:rsid w:val="000001C3"/>
    <w:rsid w:val="00001010"/>
    <w:rsid w:val="0000622B"/>
    <w:rsid w:val="00010ED1"/>
    <w:rsid w:val="0001192D"/>
    <w:rsid w:val="000167AF"/>
    <w:rsid w:val="000177EB"/>
    <w:rsid w:val="00020399"/>
    <w:rsid w:val="0002143B"/>
    <w:rsid w:val="00024589"/>
    <w:rsid w:val="00026C50"/>
    <w:rsid w:val="00030134"/>
    <w:rsid w:val="00032D0C"/>
    <w:rsid w:val="00034E8C"/>
    <w:rsid w:val="000370A9"/>
    <w:rsid w:val="00040612"/>
    <w:rsid w:val="00042E77"/>
    <w:rsid w:val="00043FA5"/>
    <w:rsid w:val="00044716"/>
    <w:rsid w:val="00044992"/>
    <w:rsid w:val="000513CF"/>
    <w:rsid w:val="0005461D"/>
    <w:rsid w:val="000556DC"/>
    <w:rsid w:val="0005661F"/>
    <w:rsid w:val="0006231D"/>
    <w:rsid w:val="0006330A"/>
    <w:rsid w:val="00063A1D"/>
    <w:rsid w:val="00064D9A"/>
    <w:rsid w:val="000651F9"/>
    <w:rsid w:val="000666DE"/>
    <w:rsid w:val="00066786"/>
    <w:rsid w:val="00066D9F"/>
    <w:rsid w:val="0007159E"/>
    <w:rsid w:val="00075486"/>
    <w:rsid w:val="000758CE"/>
    <w:rsid w:val="000762C4"/>
    <w:rsid w:val="00077121"/>
    <w:rsid w:val="000806FC"/>
    <w:rsid w:val="00084CA7"/>
    <w:rsid w:val="000861DC"/>
    <w:rsid w:val="000879B0"/>
    <w:rsid w:val="00093741"/>
    <w:rsid w:val="0009554B"/>
    <w:rsid w:val="00097F63"/>
    <w:rsid w:val="000A1CD7"/>
    <w:rsid w:val="000A2C44"/>
    <w:rsid w:val="000A3243"/>
    <w:rsid w:val="000A33DB"/>
    <w:rsid w:val="000A35F5"/>
    <w:rsid w:val="000A402F"/>
    <w:rsid w:val="000A5B6C"/>
    <w:rsid w:val="000A7207"/>
    <w:rsid w:val="000B0FD5"/>
    <w:rsid w:val="000B168F"/>
    <w:rsid w:val="000B2149"/>
    <w:rsid w:val="000B279F"/>
    <w:rsid w:val="000B2E69"/>
    <w:rsid w:val="000B4D02"/>
    <w:rsid w:val="000C63F5"/>
    <w:rsid w:val="000C6CA5"/>
    <w:rsid w:val="000C7D78"/>
    <w:rsid w:val="000D0EBB"/>
    <w:rsid w:val="000D1F71"/>
    <w:rsid w:val="000D29AA"/>
    <w:rsid w:val="000D6076"/>
    <w:rsid w:val="000E068F"/>
    <w:rsid w:val="000E2B25"/>
    <w:rsid w:val="000E3589"/>
    <w:rsid w:val="000E6C21"/>
    <w:rsid w:val="000F00AB"/>
    <w:rsid w:val="000F09C1"/>
    <w:rsid w:val="000F332C"/>
    <w:rsid w:val="000F4D1D"/>
    <w:rsid w:val="000F5350"/>
    <w:rsid w:val="0010382A"/>
    <w:rsid w:val="00105657"/>
    <w:rsid w:val="00105936"/>
    <w:rsid w:val="00106AEF"/>
    <w:rsid w:val="00106C02"/>
    <w:rsid w:val="00106D99"/>
    <w:rsid w:val="00110247"/>
    <w:rsid w:val="001108C5"/>
    <w:rsid w:val="001129B1"/>
    <w:rsid w:val="001153C7"/>
    <w:rsid w:val="00115EEC"/>
    <w:rsid w:val="001173A7"/>
    <w:rsid w:val="00122778"/>
    <w:rsid w:val="00123457"/>
    <w:rsid w:val="00124DB7"/>
    <w:rsid w:val="00126F38"/>
    <w:rsid w:val="001318F6"/>
    <w:rsid w:val="001322B3"/>
    <w:rsid w:val="001352F6"/>
    <w:rsid w:val="00137989"/>
    <w:rsid w:val="00137E15"/>
    <w:rsid w:val="00142811"/>
    <w:rsid w:val="00142C5F"/>
    <w:rsid w:val="001476D6"/>
    <w:rsid w:val="001500CC"/>
    <w:rsid w:val="001551EB"/>
    <w:rsid w:val="00156029"/>
    <w:rsid w:val="00157327"/>
    <w:rsid w:val="00157C25"/>
    <w:rsid w:val="00157D51"/>
    <w:rsid w:val="00163C00"/>
    <w:rsid w:val="0017099B"/>
    <w:rsid w:val="00170ADF"/>
    <w:rsid w:val="001719B7"/>
    <w:rsid w:val="001720A3"/>
    <w:rsid w:val="001724FF"/>
    <w:rsid w:val="00173E08"/>
    <w:rsid w:val="00176C1F"/>
    <w:rsid w:val="001770AD"/>
    <w:rsid w:val="001806EE"/>
    <w:rsid w:val="00180B9E"/>
    <w:rsid w:val="00182599"/>
    <w:rsid w:val="001863A6"/>
    <w:rsid w:val="00186619"/>
    <w:rsid w:val="00190288"/>
    <w:rsid w:val="00192AD8"/>
    <w:rsid w:val="00193BAE"/>
    <w:rsid w:val="0019437E"/>
    <w:rsid w:val="001952AB"/>
    <w:rsid w:val="001A160C"/>
    <w:rsid w:val="001A2024"/>
    <w:rsid w:val="001B1773"/>
    <w:rsid w:val="001B2AAE"/>
    <w:rsid w:val="001B3188"/>
    <w:rsid w:val="001B56D6"/>
    <w:rsid w:val="001B5AE2"/>
    <w:rsid w:val="001B6885"/>
    <w:rsid w:val="001C041A"/>
    <w:rsid w:val="001C11CC"/>
    <w:rsid w:val="001C1207"/>
    <w:rsid w:val="001C1C2A"/>
    <w:rsid w:val="001C4772"/>
    <w:rsid w:val="001C5498"/>
    <w:rsid w:val="001C5E1D"/>
    <w:rsid w:val="001D04DC"/>
    <w:rsid w:val="001D3495"/>
    <w:rsid w:val="001D3BC0"/>
    <w:rsid w:val="001D46A8"/>
    <w:rsid w:val="001D4C10"/>
    <w:rsid w:val="001E01C7"/>
    <w:rsid w:val="001E7EC0"/>
    <w:rsid w:val="001F0567"/>
    <w:rsid w:val="001F09C9"/>
    <w:rsid w:val="001F32F5"/>
    <w:rsid w:val="001F5F6F"/>
    <w:rsid w:val="001F6689"/>
    <w:rsid w:val="002010BD"/>
    <w:rsid w:val="00205E0D"/>
    <w:rsid w:val="00211471"/>
    <w:rsid w:val="0021233C"/>
    <w:rsid w:val="00212F65"/>
    <w:rsid w:val="0021673D"/>
    <w:rsid w:val="00217A83"/>
    <w:rsid w:val="00220A16"/>
    <w:rsid w:val="00222A52"/>
    <w:rsid w:val="002244AE"/>
    <w:rsid w:val="00224F12"/>
    <w:rsid w:val="00227021"/>
    <w:rsid w:val="00230211"/>
    <w:rsid w:val="00237889"/>
    <w:rsid w:val="00241984"/>
    <w:rsid w:val="00242F2D"/>
    <w:rsid w:val="00245636"/>
    <w:rsid w:val="00245B8F"/>
    <w:rsid w:val="00246AAD"/>
    <w:rsid w:val="0025376C"/>
    <w:rsid w:val="0025404F"/>
    <w:rsid w:val="002541B3"/>
    <w:rsid w:val="002544AF"/>
    <w:rsid w:val="002554B1"/>
    <w:rsid w:val="00260CA2"/>
    <w:rsid w:val="0026176A"/>
    <w:rsid w:val="00261A58"/>
    <w:rsid w:val="00261F26"/>
    <w:rsid w:val="00262930"/>
    <w:rsid w:val="00263916"/>
    <w:rsid w:val="00266573"/>
    <w:rsid w:val="00266AD9"/>
    <w:rsid w:val="00270846"/>
    <w:rsid w:val="00270EE4"/>
    <w:rsid w:val="00270FB0"/>
    <w:rsid w:val="00271B0E"/>
    <w:rsid w:val="00272737"/>
    <w:rsid w:val="00273702"/>
    <w:rsid w:val="002740F2"/>
    <w:rsid w:val="002767A5"/>
    <w:rsid w:val="00276B78"/>
    <w:rsid w:val="00276EE0"/>
    <w:rsid w:val="0028125A"/>
    <w:rsid w:val="002833E9"/>
    <w:rsid w:val="0028402B"/>
    <w:rsid w:val="0028537A"/>
    <w:rsid w:val="00287FA3"/>
    <w:rsid w:val="0029147D"/>
    <w:rsid w:val="0029209D"/>
    <w:rsid w:val="002A023D"/>
    <w:rsid w:val="002A0EC9"/>
    <w:rsid w:val="002A20F6"/>
    <w:rsid w:val="002A4C24"/>
    <w:rsid w:val="002B0AC6"/>
    <w:rsid w:val="002B1778"/>
    <w:rsid w:val="002B3917"/>
    <w:rsid w:val="002B507A"/>
    <w:rsid w:val="002B5328"/>
    <w:rsid w:val="002B5A6C"/>
    <w:rsid w:val="002B6F3F"/>
    <w:rsid w:val="002C09D7"/>
    <w:rsid w:val="002C0AA2"/>
    <w:rsid w:val="002C1C6A"/>
    <w:rsid w:val="002C34CA"/>
    <w:rsid w:val="002C3B6F"/>
    <w:rsid w:val="002C3ECC"/>
    <w:rsid w:val="002C4BE1"/>
    <w:rsid w:val="002C5679"/>
    <w:rsid w:val="002C77DE"/>
    <w:rsid w:val="002C7D09"/>
    <w:rsid w:val="002D0D07"/>
    <w:rsid w:val="002D1614"/>
    <w:rsid w:val="002D3009"/>
    <w:rsid w:val="002D3DC6"/>
    <w:rsid w:val="002D5561"/>
    <w:rsid w:val="002E0416"/>
    <w:rsid w:val="002E188A"/>
    <w:rsid w:val="002E1A2A"/>
    <w:rsid w:val="002E31BC"/>
    <w:rsid w:val="002E42AC"/>
    <w:rsid w:val="002E613F"/>
    <w:rsid w:val="002F02F4"/>
    <w:rsid w:val="002F0B5C"/>
    <w:rsid w:val="002F2346"/>
    <w:rsid w:val="002F2F1A"/>
    <w:rsid w:val="002F348F"/>
    <w:rsid w:val="002F5677"/>
    <w:rsid w:val="002F58E5"/>
    <w:rsid w:val="002F654F"/>
    <w:rsid w:val="002F73D7"/>
    <w:rsid w:val="002F7436"/>
    <w:rsid w:val="00304D60"/>
    <w:rsid w:val="00305519"/>
    <w:rsid w:val="00311173"/>
    <w:rsid w:val="0031305E"/>
    <w:rsid w:val="00313C9C"/>
    <w:rsid w:val="00315A3D"/>
    <w:rsid w:val="0031722D"/>
    <w:rsid w:val="00317A20"/>
    <w:rsid w:val="00320611"/>
    <w:rsid w:val="00320A17"/>
    <w:rsid w:val="0032239A"/>
    <w:rsid w:val="00324A59"/>
    <w:rsid w:val="00325509"/>
    <w:rsid w:val="00326DE4"/>
    <w:rsid w:val="00330A8C"/>
    <w:rsid w:val="0033342B"/>
    <w:rsid w:val="003345F3"/>
    <w:rsid w:val="00335951"/>
    <w:rsid w:val="00335CD3"/>
    <w:rsid w:val="00341268"/>
    <w:rsid w:val="00342CAC"/>
    <w:rsid w:val="00343032"/>
    <w:rsid w:val="003431BB"/>
    <w:rsid w:val="00345BFE"/>
    <w:rsid w:val="00346C28"/>
    <w:rsid w:val="0034780B"/>
    <w:rsid w:val="00347B60"/>
    <w:rsid w:val="003508C1"/>
    <w:rsid w:val="0035321D"/>
    <w:rsid w:val="003562D6"/>
    <w:rsid w:val="00357540"/>
    <w:rsid w:val="00361157"/>
    <w:rsid w:val="003626E4"/>
    <w:rsid w:val="003641D9"/>
    <w:rsid w:val="0036427B"/>
    <w:rsid w:val="0036484E"/>
    <w:rsid w:val="0036589C"/>
    <w:rsid w:val="00366096"/>
    <w:rsid w:val="0036669E"/>
    <w:rsid w:val="00367908"/>
    <w:rsid w:val="003706A4"/>
    <w:rsid w:val="0037534F"/>
    <w:rsid w:val="00376619"/>
    <w:rsid w:val="00380C4F"/>
    <w:rsid w:val="00381426"/>
    <w:rsid w:val="0038280E"/>
    <w:rsid w:val="00385CD9"/>
    <w:rsid w:val="003874AD"/>
    <w:rsid w:val="00392133"/>
    <w:rsid w:val="003946B7"/>
    <w:rsid w:val="00394F16"/>
    <w:rsid w:val="003A0074"/>
    <w:rsid w:val="003A0F8B"/>
    <w:rsid w:val="003A233A"/>
    <w:rsid w:val="003A5AA0"/>
    <w:rsid w:val="003B1D36"/>
    <w:rsid w:val="003B20C5"/>
    <w:rsid w:val="003B7EF4"/>
    <w:rsid w:val="003C496E"/>
    <w:rsid w:val="003C4B8F"/>
    <w:rsid w:val="003C4EEE"/>
    <w:rsid w:val="003C575E"/>
    <w:rsid w:val="003C686E"/>
    <w:rsid w:val="003C7FC8"/>
    <w:rsid w:val="003D068F"/>
    <w:rsid w:val="003D0A07"/>
    <w:rsid w:val="003D13D1"/>
    <w:rsid w:val="003D207B"/>
    <w:rsid w:val="003D7DF8"/>
    <w:rsid w:val="003E16AB"/>
    <w:rsid w:val="003E3385"/>
    <w:rsid w:val="003E3518"/>
    <w:rsid w:val="003E5BED"/>
    <w:rsid w:val="003F0C72"/>
    <w:rsid w:val="003F1188"/>
    <w:rsid w:val="003F3EBE"/>
    <w:rsid w:val="003F5B97"/>
    <w:rsid w:val="003F5E63"/>
    <w:rsid w:val="004017E4"/>
    <w:rsid w:val="00403245"/>
    <w:rsid w:val="00405002"/>
    <w:rsid w:val="0040504B"/>
    <w:rsid w:val="00406753"/>
    <w:rsid w:val="00406CDB"/>
    <w:rsid w:val="00406ED6"/>
    <w:rsid w:val="00410929"/>
    <w:rsid w:val="00412358"/>
    <w:rsid w:val="00413CA3"/>
    <w:rsid w:val="004141EF"/>
    <w:rsid w:val="004143BF"/>
    <w:rsid w:val="00415FC5"/>
    <w:rsid w:val="00416424"/>
    <w:rsid w:val="00416B1D"/>
    <w:rsid w:val="00417151"/>
    <w:rsid w:val="004273F2"/>
    <w:rsid w:val="00430595"/>
    <w:rsid w:val="004317BD"/>
    <w:rsid w:val="00432BF3"/>
    <w:rsid w:val="00433D1F"/>
    <w:rsid w:val="00435CD3"/>
    <w:rsid w:val="0043620D"/>
    <w:rsid w:val="0044171F"/>
    <w:rsid w:val="00441A8A"/>
    <w:rsid w:val="00442F2E"/>
    <w:rsid w:val="00442FB5"/>
    <w:rsid w:val="004443C0"/>
    <w:rsid w:val="00444A0A"/>
    <w:rsid w:val="00445062"/>
    <w:rsid w:val="0044698E"/>
    <w:rsid w:val="00446E69"/>
    <w:rsid w:val="00446ECE"/>
    <w:rsid w:val="00447586"/>
    <w:rsid w:val="00450CC4"/>
    <w:rsid w:val="0045266B"/>
    <w:rsid w:val="004547D6"/>
    <w:rsid w:val="00455B1F"/>
    <w:rsid w:val="004563E5"/>
    <w:rsid w:val="00457CE2"/>
    <w:rsid w:val="004604FA"/>
    <w:rsid w:val="00461178"/>
    <w:rsid w:val="00461A23"/>
    <w:rsid w:val="00461F3E"/>
    <w:rsid w:val="00463503"/>
    <w:rsid w:val="0046759F"/>
    <w:rsid w:val="004707A6"/>
    <w:rsid w:val="004710BB"/>
    <w:rsid w:val="00471738"/>
    <w:rsid w:val="00471B19"/>
    <w:rsid w:val="00474C90"/>
    <w:rsid w:val="0047501C"/>
    <w:rsid w:val="00476F89"/>
    <w:rsid w:val="00485658"/>
    <w:rsid w:val="004859E1"/>
    <w:rsid w:val="00487538"/>
    <w:rsid w:val="0049127C"/>
    <w:rsid w:val="00491987"/>
    <w:rsid w:val="004937A3"/>
    <w:rsid w:val="00496E26"/>
    <w:rsid w:val="00497A7D"/>
    <w:rsid w:val="004A0EFB"/>
    <w:rsid w:val="004A158A"/>
    <w:rsid w:val="004A1DEC"/>
    <w:rsid w:val="004A25F7"/>
    <w:rsid w:val="004A28F6"/>
    <w:rsid w:val="004A37BC"/>
    <w:rsid w:val="004A417E"/>
    <w:rsid w:val="004A45CD"/>
    <w:rsid w:val="004A493B"/>
    <w:rsid w:val="004A68E3"/>
    <w:rsid w:val="004B1190"/>
    <w:rsid w:val="004B3647"/>
    <w:rsid w:val="004B3E5B"/>
    <w:rsid w:val="004B506E"/>
    <w:rsid w:val="004B5FD4"/>
    <w:rsid w:val="004B6B7F"/>
    <w:rsid w:val="004B6C0D"/>
    <w:rsid w:val="004C0718"/>
    <w:rsid w:val="004C0F33"/>
    <w:rsid w:val="004C16E4"/>
    <w:rsid w:val="004C3F72"/>
    <w:rsid w:val="004C4696"/>
    <w:rsid w:val="004C48FF"/>
    <w:rsid w:val="004C5D2B"/>
    <w:rsid w:val="004C62A5"/>
    <w:rsid w:val="004C7DF5"/>
    <w:rsid w:val="004D03A4"/>
    <w:rsid w:val="004D03E8"/>
    <w:rsid w:val="004D0F65"/>
    <w:rsid w:val="004D0FD4"/>
    <w:rsid w:val="004D1E16"/>
    <w:rsid w:val="004D26A7"/>
    <w:rsid w:val="004D3DCD"/>
    <w:rsid w:val="004D4147"/>
    <w:rsid w:val="004E01EC"/>
    <w:rsid w:val="004E06E5"/>
    <w:rsid w:val="004E0D5A"/>
    <w:rsid w:val="004E4045"/>
    <w:rsid w:val="004F0799"/>
    <w:rsid w:val="004F1B34"/>
    <w:rsid w:val="004F1E53"/>
    <w:rsid w:val="004F22B5"/>
    <w:rsid w:val="004F3C66"/>
    <w:rsid w:val="004F62C6"/>
    <w:rsid w:val="00501785"/>
    <w:rsid w:val="005052B2"/>
    <w:rsid w:val="005067DA"/>
    <w:rsid w:val="00506EA7"/>
    <w:rsid w:val="00511522"/>
    <w:rsid w:val="00511BF0"/>
    <w:rsid w:val="00511F8E"/>
    <w:rsid w:val="00512865"/>
    <w:rsid w:val="0051298E"/>
    <w:rsid w:val="00512F6F"/>
    <w:rsid w:val="00514C2B"/>
    <w:rsid w:val="00515367"/>
    <w:rsid w:val="00515465"/>
    <w:rsid w:val="0052011D"/>
    <w:rsid w:val="00520E58"/>
    <w:rsid w:val="005220C3"/>
    <w:rsid w:val="00523BF2"/>
    <w:rsid w:val="00525D62"/>
    <w:rsid w:val="00527FDF"/>
    <w:rsid w:val="0053211E"/>
    <w:rsid w:val="005358BF"/>
    <w:rsid w:val="005369E9"/>
    <w:rsid w:val="005371A9"/>
    <w:rsid w:val="00541D6D"/>
    <w:rsid w:val="00542BA0"/>
    <w:rsid w:val="00542E22"/>
    <w:rsid w:val="005431AE"/>
    <w:rsid w:val="0054488F"/>
    <w:rsid w:val="00547692"/>
    <w:rsid w:val="00551FF1"/>
    <w:rsid w:val="00552803"/>
    <w:rsid w:val="00554146"/>
    <w:rsid w:val="0055659A"/>
    <w:rsid w:val="00556DF3"/>
    <w:rsid w:val="00557230"/>
    <w:rsid w:val="00560A1F"/>
    <w:rsid w:val="00563A60"/>
    <w:rsid w:val="00563BBD"/>
    <w:rsid w:val="00564745"/>
    <w:rsid w:val="00565824"/>
    <w:rsid w:val="00566BC5"/>
    <w:rsid w:val="0056703A"/>
    <w:rsid w:val="00573011"/>
    <w:rsid w:val="005747F0"/>
    <w:rsid w:val="005763C2"/>
    <w:rsid w:val="005765E3"/>
    <w:rsid w:val="00577E59"/>
    <w:rsid w:val="0058285D"/>
    <w:rsid w:val="00583B5E"/>
    <w:rsid w:val="00585082"/>
    <w:rsid w:val="0058577F"/>
    <w:rsid w:val="00591C8F"/>
    <w:rsid w:val="00594B61"/>
    <w:rsid w:val="00595607"/>
    <w:rsid w:val="00596083"/>
    <w:rsid w:val="005A56DE"/>
    <w:rsid w:val="005A5AEC"/>
    <w:rsid w:val="005A7586"/>
    <w:rsid w:val="005B104D"/>
    <w:rsid w:val="005B1B62"/>
    <w:rsid w:val="005B31F9"/>
    <w:rsid w:val="005B3558"/>
    <w:rsid w:val="005B57FB"/>
    <w:rsid w:val="005B5F0F"/>
    <w:rsid w:val="005C1BB5"/>
    <w:rsid w:val="005C2778"/>
    <w:rsid w:val="005C5C86"/>
    <w:rsid w:val="005C684C"/>
    <w:rsid w:val="005D0EC5"/>
    <w:rsid w:val="005D3BEA"/>
    <w:rsid w:val="005D41E6"/>
    <w:rsid w:val="005D4D6A"/>
    <w:rsid w:val="005D53F0"/>
    <w:rsid w:val="005E6199"/>
    <w:rsid w:val="005F0015"/>
    <w:rsid w:val="005F237F"/>
    <w:rsid w:val="005F4156"/>
    <w:rsid w:val="005F4EC6"/>
    <w:rsid w:val="005F63CD"/>
    <w:rsid w:val="005F7615"/>
    <w:rsid w:val="005F7CF7"/>
    <w:rsid w:val="00600539"/>
    <w:rsid w:val="0060066F"/>
    <w:rsid w:val="006021FA"/>
    <w:rsid w:val="006053F7"/>
    <w:rsid w:val="00610C69"/>
    <w:rsid w:val="00613E8F"/>
    <w:rsid w:val="00613E91"/>
    <w:rsid w:val="00614F5B"/>
    <w:rsid w:val="00615157"/>
    <w:rsid w:val="00615A2F"/>
    <w:rsid w:val="006173FF"/>
    <w:rsid w:val="00617C82"/>
    <w:rsid w:val="00620A27"/>
    <w:rsid w:val="00620F07"/>
    <w:rsid w:val="006215D1"/>
    <w:rsid w:val="006220B5"/>
    <w:rsid w:val="00622EBB"/>
    <w:rsid w:val="00624537"/>
    <w:rsid w:val="00624C0E"/>
    <w:rsid w:val="006259AE"/>
    <w:rsid w:val="00627D07"/>
    <w:rsid w:val="00630268"/>
    <w:rsid w:val="00630F80"/>
    <w:rsid w:val="0063131C"/>
    <w:rsid w:val="00631B5E"/>
    <w:rsid w:val="00633598"/>
    <w:rsid w:val="00633826"/>
    <w:rsid w:val="00633AB3"/>
    <w:rsid w:val="006423D2"/>
    <w:rsid w:val="00645E84"/>
    <w:rsid w:val="006522CE"/>
    <w:rsid w:val="00654B91"/>
    <w:rsid w:val="00661127"/>
    <w:rsid w:val="00663901"/>
    <w:rsid w:val="0066402E"/>
    <w:rsid w:val="00670E22"/>
    <w:rsid w:val="0067449A"/>
    <w:rsid w:val="006745A8"/>
    <w:rsid w:val="0067491B"/>
    <w:rsid w:val="00674962"/>
    <w:rsid w:val="00674AEB"/>
    <w:rsid w:val="00675F8E"/>
    <w:rsid w:val="00677C79"/>
    <w:rsid w:val="00681CB3"/>
    <w:rsid w:val="00683987"/>
    <w:rsid w:val="006856EE"/>
    <w:rsid w:val="00685DD4"/>
    <w:rsid w:val="00685E15"/>
    <w:rsid w:val="00686AE9"/>
    <w:rsid w:val="0068703F"/>
    <w:rsid w:val="00687247"/>
    <w:rsid w:val="00687343"/>
    <w:rsid w:val="00687D3E"/>
    <w:rsid w:val="00687DFC"/>
    <w:rsid w:val="00691222"/>
    <w:rsid w:val="00691560"/>
    <w:rsid w:val="006929D3"/>
    <w:rsid w:val="00693281"/>
    <w:rsid w:val="006932FF"/>
    <w:rsid w:val="006937B1"/>
    <w:rsid w:val="006937CA"/>
    <w:rsid w:val="006938EE"/>
    <w:rsid w:val="00694E90"/>
    <w:rsid w:val="006950F7"/>
    <w:rsid w:val="00697F31"/>
    <w:rsid w:val="006A1969"/>
    <w:rsid w:val="006A5864"/>
    <w:rsid w:val="006A58D4"/>
    <w:rsid w:val="006B0535"/>
    <w:rsid w:val="006B4926"/>
    <w:rsid w:val="006C3FE6"/>
    <w:rsid w:val="006C5380"/>
    <w:rsid w:val="006C6040"/>
    <w:rsid w:val="006C7A33"/>
    <w:rsid w:val="006D0481"/>
    <w:rsid w:val="006D2F67"/>
    <w:rsid w:val="006D5055"/>
    <w:rsid w:val="006D5A3F"/>
    <w:rsid w:val="006D5B4C"/>
    <w:rsid w:val="006E1F2B"/>
    <w:rsid w:val="006E2136"/>
    <w:rsid w:val="006E4C06"/>
    <w:rsid w:val="006F126F"/>
    <w:rsid w:val="006F18FE"/>
    <w:rsid w:val="006F195C"/>
    <w:rsid w:val="006F3DB5"/>
    <w:rsid w:val="006F4896"/>
    <w:rsid w:val="006F52BE"/>
    <w:rsid w:val="006F56F5"/>
    <w:rsid w:val="006F57D9"/>
    <w:rsid w:val="006F6461"/>
    <w:rsid w:val="006F772E"/>
    <w:rsid w:val="006F7AB5"/>
    <w:rsid w:val="00700806"/>
    <w:rsid w:val="00701C2A"/>
    <w:rsid w:val="00702506"/>
    <w:rsid w:val="00705A70"/>
    <w:rsid w:val="00705F35"/>
    <w:rsid w:val="00706F58"/>
    <w:rsid w:val="00711503"/>
    <w:rsid w:val="00711AD4"/>
    <w:rsid w:val="00712073"/>
    <w:rsid w:val="00715BD2"/>
    <w:rsid w:val="00720180"/>
    <w:rsid w:val="007207F8"/>
    <w:rsid w:val="007211C5"/>
    <w:rsid w:val="0072128D"/>
    <w:rsid w:val="007216DE"/>
    <w:rsid w:val="0072238C"/>
    <w:rsid w:val="00723E21"/>
    <w:rsid w:val="0072453F"/>
    <w:rsid w:val="007339C8"/>
    <w:rsid w:val="007341F6"/>
    <w:rsid w:val="00735018"/>
    <w:rsid w:val="00736FF0"/>
    <w:rsid w:val="0073735B"/>
    <w:rsid w:val="00737428"/>
    <w:rsid w:val="007420D3"/>
    <w:rsid w:val="00751289"/>
    <w:rsid w:val="007528FD"/>
    <w:rsid w:val="0075376E"/>
    <w:rsid w:val="00755222"/>
    <w:rsid w:val="00755A04"/>
    <w:rsid w:val="0075615F"/>
    <w:rsid w:val="00756A1A"/>
    <w:rsid w:val="00756EF4"/>
    <w:rsid w:val="00761282"/>
    <w:rsid w:val="007637D3"/>
    <w:rsid w:val="00764E39"/>
    <w:rsid w:val="00765A37"/>
    <w:rsid w:val="00765E12"/>
    <w:rsid w:val="00765F14"/>
    <w:rsid w:val="00775C4D"/>
    <w:rsid w:val="007775C8"/>
    <w:rsid w:val="00780831"/>
    <w:rsid w:val="007817DC"/>
    <w:rsid w:val="0078348B"/>
    <w:rsid w:val="0078498C"/>
    <w:rsid w:val="007853E1"/>
    <w:rsid w:val="007870A8"/>
    <w:rsid w:val="00787D25"/>
    <w:rsid w:val="00790A0E"/>
    <w:rsid w:val="007942EA"/>
    <w:rsid w:val="00794E81"/>
    <w:rsid w:val="0079527A"/>
    <w:rsid w:val="00796872"/>
    <w:rsid w:val="00796B02"/>
    <w:rsid w:val="00797123"/>
    <w:rsid w:val="007979E4"/>
    <w:rsid w:val="007A0C70"/>
    <w:rsid w:val="007A0FFE"/>
    <w:rsid w:val="007A2BE9"/>
    <w:rsid w:val="007A2C56"/>
    <w:rsid w:val="007A31CA"/>
    <w:rsid w:val="007A3522"/>
    <w:rsid w:val="007A3DB9"/>
    <w:rsid w:val="007A784A"/>
    <w:rsid w:val="007B29A9"/>
    <w:rsid w:val="007B2A54"/>
    <w:rsid w:val="007B2DAA"/>
    <w:rsid w:val="007C16DE"/>
    <w:rsid w:val="007C2AFB"/>
    <w:rsid w:val="007C3147"/>
    <w:rsid w:val="007C4DEA"/>
    <w:rsid w:val="007C5589"/>
    <w:rsid w:val="007C57A0"/>
    <w:rsid w:val="007C6C74"/>
    <w:rsid w:val="007C7127"/>
    <w:rsid w:val="007C7412"/>
    <w:rsid w:val="007D1DB9"/>
    <w:rsid w:val="007D221F"/>
    <w:rsid w:val="007D2EF5"/>
    <w:rsid w:val="007D4D31"/>
    <w:rsid w:val="007D5A75"/>
    <w:rsid w:val="007E17BF"/>
    <w:rsid w:val="007E2F0F"/>
    <w:rsid w:val="007E7088"/>
    <w:rsid w:val="007F03F8"/>
    <w:rsid w:val="007F4296"/>
    <w:rsid w:val="007F7792"/>
    <w:rsid w:val="008003F0"/>
    <w:rsid w:val="00801114"/>
    <w:rsid w:val="00803AD7"/>
    <w:rsid w:val="00804F77"/>
    <w:rsid w:val="008072C9"/>
    <w:rsid w:val="008144D6"/>
    <w:rsid w:val="008169FF"/>
    <w:rsid w:val="00817911"/>
    <w:rsid w:val="0082141A"/>
    <w:rsid w:val="008216F2"/>
    <w:rsid w:val="00823DFF"/>
    <w:rsid w:val="00826E38"/>
    <w:rsid w:val="00827C59"/>
    <w:rsid w:val="00834375"/>
    <w:rsid w:val="0083499F"/>
    <w:rsid w:val="00835518"/>
    <w:rsid w:val="00836CAE"/>
    <w:rsid w:val="00837924"/>
    <w:rsid w:val="00837995"/>
    <w:rsid w:val="00843322"/>
    <w:rsid w:val="00847161"/>
    <w:rsid w:val="00850DE7"/>
    <w:rsid w:val="0085219E"/>
    <w:rsid w:val="00852FA9"/>
    <w:rsid w:val="00854522"/>
    <w:rsid w:val="00854714"/>
    <w:rsid w:val="00863B7A"/>
    <w:rsid w:val="0086711B"/>
    <w:rsid w:val="00867971"/>
    <w:rsid w:val="00870E36"/>
    <w:rsid w:val="008735D9"/>
    <w:rsid w:val="00877E57"/>
    <w:rsid w:val="008815AB"/>
    <w:rsid w:val="00881ABC"/>
    <w:rsid w:val="0088447A"/>
    <w:rsid w:val="008844E5"/>
    <w:rsid w:val="00886AD0"/>
    <w:rsid w:val="00886DFA"/>
    <w:rsid w:val="00890FBA"/>
    <w:rsid w:val="00892476"/>
    <w:rsid w:val="00894666"/>
    <w:rsid w:val="00896E3F"/>
    <w:rsid w:val="00897E77"/>
    <w:rsid w:val="008A0FFC"/>
    <w:rsid w:val="008A2C7D"/>
    <w:rsid w:val="008A31FA"/>
    <w:rsid w:val="008A39F5"/>
    <w:rsid w:val="008A44AF"/>
    <w:rsid w:val="008A4BDA"/>
    <w:rsid w:val="008A51D3"/>
    <w:rsid w:val="008A5789"/>
    <w:rsid w:val="008A61CE"/>
    <w:rsid w:val="008A62D4"/>
    <w:rsid w:val="008A6539"/>
    <w:rsid w:val="008B1EBA"/>
    <w:rsid w:val="008B2106"/>
    <w:rsid w:val="008B3CAB"/>
    <w:rsid w:val="008B42BA"/>
    <w:rsid w:val="008B4B9D"/>
    <w:rsid w:val="008C36FC"/>
    <w:rsid w:val="008C61FC"/>
    <w:rsid w:val="008C6C78"/>
    <w:rsid w:val="008C7CE8"/>
    <w:rsid w:val="008D24FF"/>
    <w:rsid w:val="008D2B28"/>
    <w:rsid w:val="008D68D1"/>
    <w:rsid w:val="008E0DCA"/>
    <w:rsid w:val="008E1B09"/>
    <w:rsid w:val="008E3CE6"/>
    <w:rsid w:val="008E3D05"/>
    <w:rsid w:val="008E49EB"/>
    <w:rsid w:val="008E4DA9"/>
    <w:rsid w:val="008E7ED6"/>
    <w:rsid w:val="008F13E6"/>
    <w:rsid w:val="008F15F0"/>
    <w:rsid w:val="008F444A"/>
    <w:rsid w:val="008F4C5B"/>
    <w:rsid w:val="008F61D3"/>
    <w:rsid w:val="008F6C5D"/>
    <w:rsid w:val="008F74EF"/>
    <w:rsid w:val="0090458D"/>
    <w:rsid w:val="00905F5F"/>
    <w:rsid w:val="00910847"/>
    <w:rsid w:val="00913CDE"/>
    <w:rsid w:val="00914DF2"/>
    <w:rsid w:val="00916013"/>
    <w:rsid w:val="0092181A"/>
    <w:rsid w:val="00923303"/>
    <w:rsid w:val="009236AF"/>
    <w:rsid w:val="00923763"/>
    <w:rsid w:val="00925758"/>
    <w:rsid w:val="009264D8"/>
    <w:rsid w:val="009318CE"/>
    <w:rsid w:val="00932D8D"/>
    <w:rsid w:val="009330BD"/>
    <w:rsid w:val="0093316F"/>
    <w:rsid w:val="0093716B"/>
    <w:rsid w:val="00940C00"/>
    <w:rsid w:val="0094376D"/>
    <w:rsid w:val="009471D1"/>
    <w:rsid w:val="0095004D"/>
    <w:rsid w:val="009566B5"/>
    <w:rsid w:val="00960C8F"/>
    <w:rsid w:val="00963C70"/>
    <w:rsid w:val="0096606E"/>
    <w:rsid w:val="0096625D"/>
    <w:rsid w:val="0096743B"/>
    <w:rsid w:val="0097068A"/>
    <w:rsid w:val="00971E06"/>
    <w:rsid w:val="00974B8E"/>
    <w:rsid w:val="009758B1"/>
    <w:rsid w:val="00975A02"/>
    <w:rsid w:val="00983349"/>
    <w:rsid w:val="0098391B"/>
    <w:rsid w:val="00985A53"/>
    <w:rsid w:val="00994057"/>
    <w:rsid w:val="009949E1"/>
    <w:rsid w:val="00995C64"/>
    <w:rsid w:val="00997F43"/>
    <w:rsid w:val="009B4F16"/>
    <w:rsid w:val="009B7346"/>
    <w:rsid w:val="009C0289"/>
    <w:rsid w:val="009C11C0"/>
    <w:rsid w:val="009C2F6A"/>
    <w:rsid w:val="009D009F"/>
    <w:rsid w:val="009D075A"/>
    <w:rsid w:val="009D0D9B"/>
    <w:rsid w:val="009D30EA"/>
    <w:rsid w:val="009D7F6E"/>
    <w:rsid w:val="009E126A"/>
    <w:rsid w:val="009E2A09"/>
    <w:rsid w:val="009E2B39"/>
    <w:rsid w:val="009E50BA"/>
    <w:rsid w:val="009E71D0"/>
    <w:rsid w:val="009F20B6"/>
    <w:rsid w:val="009F35E5"/>
    <w:rsid w:val="009F4075"/>
    <w:rsid w:val="009F53FB"/>
    <w:rsid w:val="009F77CE"/>
    <w:rsid w:val="00A00A20"/>
    <w:rsid w:val="00A018E5"/>
    <w:rsid w:val="00A0310B"/>
    <w:rsid w:val="00A04C22"/>
    <w:rsid w:val="00A066FB"/>
    <w:rsid w:val="00A10D05"/>
    <w:rsid w:val="00A15672"/>
    <w:rsid w:val="00A17146"/>
    <w:rsid w:val="00A17EB2"/>
    <w:rsid w:val="00A22D39"/>
    <w:rsid w:val="00A2382C"/>
    <w:rsid w:val="00A23850"/>
    <w:rsid w:val="00A25A96"/>
    <w:rsid w:val="00A26E05"/>
    <w:rsid w:val="00A31E6B"/>
    <w:rsid w:val="00A32725"/>
    <w:rsid w:val="00A32A41"/>
    <w:rsid w:val="00A32CE9"/>
    <w:rsid w:val="00A35BE5"/>
    <w:rsid w:val="00A42DF5"/>
    <w:rsid w:val="00A475D4"/>
    <w:rsid w:val="00A500FB"/>
    <w:rsid w:val="00A50AF1"/>
    <w:rsid w:val="00A51C63"/>
    <w:rsid w:val="00A57F2E"/>
    <w:rsid w:val="00A61845"/>
    <w:rsid w:val="00A64605"/>
    <w:rsid w:val="00A651B1"/>
    <w:rsid w:val="00A652DD"/>
    <w:rsid w:val="00A7057A"/>
    <w:rsid w:val="00A7243F"/>
    <w:rsid w:val="00A72B98"/>
    <w:rsid w:val="00A74518"/>
    <w:rsid w:val="00A74777"/>
    <w:rsid w:val="00A753F7"/>
    <w:rsid w:val="00A77FDC"/>
    <w:rsid w:val="00A80DB0"/>
    <w:rsid w:val="00A82467"/>
    <w:rsid w:val="00A86F92"/>
    <w:rsid w:val="00A92667"/>
    <w:rsid w:val="00A94165"/>
    <w:rsid w:val="00A962E4"/>
    <w:rsid w:val="00AA1B7A"/>
    <w:rsid w:val="00AA6161"/>
    <w:rsid w:val="00AA639F"/>
    <w:rsid w:val="00AA70E2"/>
    <w:rsid w:val="00AA7F54"/>
    <w:rsid w:val="00AB0A0A"/>
    <w:rsid w:val="00AB328A"/>
    <w:rsid w:val="00AB3D3B"/>
    <w:rsid w:val="00AC0C71"/>
    <w:rsid w:val="00AC4961"/>
    <w:rsid w:val="00AC4F4A"/>
    <w:rsid w:val="00AD0E5E"/>
    <w:rsid w:val="00AD2FB0"/>
    <w:rsid w:val="00AD6FBA"/>
    <w:rsid w:val="00AE0B91"/>
    <w:rsid w:val="00AE1FFE"/>
    <w:rsid w:val="00AE2385"/>
    <w:rsid w:val="00AE35AB"/>
    <w:rsid w:val="00AE42B1"/>
    <w:rsid w:val="00AE5276"/>
    <w:rsid w:val="00AF1A1D"/>
    <w:rsid w:val="00AF31B7"/>
    <w:rsid w:val="00AF32A2"/>
    <w:rsid w:val="00AF47F9"/>
    <w:rsid w:val="00AF72B4"/>
    <w:rsid w:val="00B03046"/>
    <w:rsid w:val="00B034DA"/>
    <w:rsid w:val="00B03CBE"/>
    <w:rsid w:val="00B05AF3"/>
    <w:rsid w:val="00B07292"/>
    <w:rsid w:val="00B125DA"/>
    <w:rsid w:val="00B15285"/>
    <w:rsid w:val="00B20FFC"/>
    <w:rsid w:val="00B212E6"/>
    <w:rsid w:val="00B22D93"/>
    <w:rsid w:val="00B2397F"/>
    <w:rsid w:val="00B24911"/>
    <w:rsid w:val="00B2653F"/>
    <w:rsid w:val="00B27280"/>
    <w:rsid w:val="00B2741B"/>
    <w:rsid w:val="00B33582"/>
    <w:rsid w:val="00B344AF"/>
    <w:rsid w:val="00B34731"/>
    <w:rsid w:val="00B3491F"/>
    <w:rsid w:val="00B34B24"/>
    <w:rsid w:val="00B36995"/>
    <w:rsid w:val="00B40D96"/>
    <w:rsid w:val="00B41C60"/>
    <w:rsid w:val="00B4232C"/>
    <w:rsid w:val="00B447B7"/>
    <w:rsid w:val="00B4565E"/>
    <w:rsid w:val="00B54538"/>
    <w:rsid w:val="00B55662"/>
    <w:rsid w:val="00B56F18"/>
    <w:rsid w:val="00B61B59"/>
    <w:rsid w:val="00B62C61"/>
    <w:rsid w:val="00B63B4C"/>
    <w:rsid w:val="00B648CA"/>
    <w:rsid w:val="00B64B75"/>
    <w:rsid w:val="00B66BFD"/>
    <w:rsid w:val="00B710C4"/>
    <w:rsid w:val="00B716A3"/>
    <w:rsid w:val="00B728FE"/>
    <w:rsid w:val="00B73C13"/>
    <w:rsid w:val="00B74434"/>
    <w:rsid w:val="00B74791"/>
    <w:rsid w:val="00B75B3C"/>
    <w:rsid w:val="00B766BF"/>
    <w:rsid w:val="00B77660"/>
    <w:rsid w:val="00B813B3"/>
    <w:rsid w:val="00B83999"/>
    <w:rsid w:val="00B8428D"/>
    <w:rsid w:val="00B847DF"/>
    <w:rsid w:val="00B86529"/>
    <w:rsid w:val="00B879C2"/>
    <w:rsid w:val="00B901AD"/>
    <w:rsid w:val="00B91F96"/>
    <w:rsid w:val="00B9502E"/>
    <w:rsid w:val="00B961F2"/>
    <w:rsid w:val="00B97E43"/>
    <w:rsid w:val="00BA0505"/>
    <w:rsid w:val="00BA053B"/>
    <w:rsid w:val="00BA2245"/>
    <w:rsid w:val="00BA32A1"/>
    <w:rsid w:val="00BA6EE5"/>
    <w:rsid w:val="00BB1A6A"/>
    <w:rsid w:val="00BB2901"/>
    <w:rsid w:val="00BB3860"/>
    <w:rsid w:val="00BB389A"/>
    <w:rsid w:val="00BB3B9C"/>
    <w:rsid w:val="00BB3D23"/>
    <w:rsid w:val="00BB510D"/>
    <w:rsid w:val="00BB5741"/>
    <w:rsid w:val="00BC0556"/>
    <w:rsid w:val="00BC0FC5"/>
    <w:rsid w:val="00BC162E"/>
    <w:rsid w:val="00BC392C"/>
    <w:rsid w:val="00BC4329"/>
    <w:rsid w:val="00BC6F0A"/>
    <w:rsid w:val="00BD3FC3"/>
    <w:rsid w:val="00BD41CA"/>
    <w:rsid w:val="00BE5FA1"/>
    <w:rsid w:val="00BF0C49"/>
    <w:rsid w:val="00BF2E9A"/>
    <w:rsid w:val="00BF489C"/>
    <w:rsid w:val="00BF4D6A"/>
    <w:rsid w:val="00BF5204"/>
    <w:rsid w:val="00BF5DE5"/>
    <w:rsid w:val="00BF6F2B"/>
    <w:rsid w:val="00C00D18"/>
    <w:rsid w:val="00C03203"/>
    <w:rsid w:val="00C03A06"/>
    <w:rsid w:val="00C05727"/>
    <w:rsid w:val="00C05DE5"/>
    <w:rsid w:val="00C05F67"/>
    <w:rsid w:val="00C063DA"/>
    <w:rsid w:val="00C14830"/>
    <w:rsid w:val="00C14AB2"/>
    <w:rsid w:val="00C17005"/>
    <w:rsid w:val="00C1794C"/>
    <w:rsid w:val="00C17D5D"/>
    <w:rsid w:val="00C21208"/>
    <w:rsid w:val="00C21419"/>
    <w:rsid w:val="00C242AC"/>
    <w:rsid w:val="00C243D0"/>
    <w:rsid w:val="00C24F42"/>
    <w:rsid w:val="00C2691D"/>
    <w:rsid w:val="00C26F2C"/>
    <w:rsid w:val="00C27751"/>
    <w:rsid w:val="00C27D40"/>
    <w:rsid w:val="00C30967"/>
    <w:rsid w:val="00C31184"/>
    <w:rsid w:val="00C32267"/>
    <w:rsid w:val="00C35691"/>
    <w:rsid w:val="00C363F5"/>
    <w:rsid w:val="00C40028"/>
    <w:rsid w:val="00C41925"/>
    <w:rsid w:val="00C42054"/>
    <w:rsid w:val="00C43B8C"/>
    <w:rsid w:val="00C46757"/>
    <w:rsid w:val="00C46E00"/>
    <w:rsid w:val="00C475C4"/>
    <w:rsid w:val="00C47CCA"/>
    <w:rsid w:val="00C47F1F"/>
    <w:rsid w:val="00C504F5"/>
    <w:rsid w:val="00C508D4"/>
    <w:rsid w:val="00C50EF4"/>
    <w:rsid w:val="00C51E24"/>
    <w:rsid w:val="00C54941"/>
    <w:rsid w:val="00C57FB7"/>
    <w:rsid w:val="00C60E53"/>
    <w:rsid w:val="00C616AF"/>
    <w:rsid w:val="00C7021B"/>
    <w:rsid w:val="00C7293C"/>
    <w:rsid w:val="00C736CD"/>
    <w:rsid w:val="00C754A9"/>
    <w:rsid w:val="00C77196"/>
    <w:rsid w:val="00C7762A"/>
    <w:rsid w:val="00C81054"/>
    <w:rsid w:val="00C81072"/>
    <w:rsid w:val="00C81DFA"/>
    <w:rsid w:val="00C83A2C"/>
    <w:rsid w:val="00C84315"/>
    <w:rsid w:val="00C84831"/>
    <w:rsid w:val="00C876F5"/>
    <w:rsid w:val="00C90B86"/>
    <w:rsid w:val="00C919A4"/>
    <w:rsid w:val="00C926B1"/>
    <w:rsid w:val="00C92970"/>
    <w:rsid w:val="00C92A8D"/>
    <w:rsid w:val="00C93651"/>
    <w:rsid w:val="00CA0D87"/>
    <w:rsid w:val="00CA2335"/>
    <w:rsid w:val="00CA29B2"/>
    <w:rsid w:val="00CA40B2"/>
    <w:rsid w:val="00CA684C"/>
    <w:rsid w:val="00CA777E"/>
    <w:rsid w:val="00CA7A4E"/>
    <w:rsid w:val="00CA7C21"/>
    <w:rsid w:val="00CB111D"/>
    <w:rsid w:val="00CB1843"/>
    <w:rsid w:val="00CB1998"/>
    <w:rsid w:val="00CB3DBA"/>
    <w:rsid w:val="00CB4125"/>
    <w:rsid w:val="00CB4930"/>
    <w:rsid w:val="00CB4B25"/>
    <w:rsid w:val="00CB6C33"/>
    <w:rsid w:val="00CC0BE1"/>
    <w:rsid w:val="00CC1ADF"/>
    <w:rsid w:val="00CC4680"/>
    <w:rsid w:val="00CC6A4F"/>
    <w:rsid w:val="00CD0C16"/>
    <w:rsid w:val="00CD0E7D"/>
    <w:rsid w:val="00CD0EE8"/>
    <w:rsid w:val="00CD175C"/>
    <w:rsid w:val="00CD2889"/>
    <w:rsid w:val="00CD3FCC"/>
    <w:rsid w:val="00CD5FB0"/>
    <w:rsid w:val="00CD7030"/>
    <w:rsid w:val="00CE2DCA"/>
    <w:rsid w:val="00CE5A08"/>
    <w:rsid w:val="00CE5BAE"/>
    <w:rsid w:val="00CE639D"/>
    <w:rsid w:val="00CE6720"/>
    <w:rsid w:val="00CF044E"/>
    <w:rsid w:val="00CF7603"/>
    <w:rsid w:val="00CF787E"/>
    <w:rsid w:val="00D03C04"/>
    <w:rsid w:val="00D04FF5"/>
    <w:rsid w:val="00D07D48"/>
    <w:rsid w:val="00D12E6D"/>
    <w:rsid w:val="00D12E7E"/>
    <w:rsid w:val="00D16E16"/>
    <w:rsid w:val="00D1773B"/>
    <w:rsid w:val="00D21C2D"/>
    <w:rsid w:val="00D23B78"/>
    <w:rsid w:val="00D23D08"/>
    <w:rsid w:val="00D25A99"/>
    <w:rsid w:val="00D26C6A"/>
    <w:rsid w:val="00D273B6"/>
    <w:rsid w:val="00D31734"/>
    <w:rsid w:val="00D31FC8"/>
    <w:rsid w:val="00D40E2F"/>
    <w:rsid w:val="00D40EC9"/>
    <w:rsid w:val="00D41AEE"/>
    <w:rsid w:val="00D437D7"/>
    <w:rsid w:val="00D44AFB"/>
    <w:rsid w:val="00D44DE6"/>
    <w:rsid w:val="00D45441"/>
    <w:rsid w:val="00D46411"/>
    <w:rsid w:val="00D47B21"/>
    <w:rsid w:val="00D47EDC"/>
    <w:rsid w:val="00D5041D"/>
    <w:rsid w:val="00D52BB4"/>
    <w:rsid w:val="00D5388F"/>
    <w:rsid w:val="00D54051"/>
    <w:rsid w:val="00D57961"/>
    <w:rsid w:val="00D61512"/>
    <w:rsid w:val="00D62371"/>
    <w:rsid w:val="00D639D1"/>
    <w:rsid w:val="00D67212"/>
    <w:rsid w:val="00D67585"/>
    <w:rsid w:val="00D67B29"/>
    <w:rsid w:val="00D74E1E"/>
    <w:rsid w:val="00D75D26"/>
    <w:rsid w:val="00D847D5"/>
    <w:rsid w:val="00D90975"/>
    <w:rsid w:val="00D92464"/>
    <w:rsid w:val="00D92BE0"/>
    <w:rsid w:val="00D94FA2"/>
    <w:rsid w:val="00D96F30"/>
    <w:rsid w:val="00D9775D"/>
    <w:rsid w:val="00DA420F"/>
    <w:rsid w:val="00DA4E70"/>
    <w:rsid w:val="00DA574C"/>
    <w:rsid w:val="00DB4B5A"/>
    <w:rsid w:val="00DC1206"/>
    <w:rsid w:val="00DC43E8"/>
    <w:rsid w:val="00DC45AA"/>
    <w:rsid w:val="00DC786D"/>
    <w:rsid w:val="00DD21AD"/>
    <w:rsid w:val="00DD483F"/>
    <w:rsid w:val="00DD5821"/>
    <w:rsid w:val="00DD66E6"/>
    <w:rsid w:val="00DE1777"/>
    <w:rsid w:val="00DE2A4D"/>
    <w:rsid w:val="00DE53B3"/>
    <w:rsid w:val="00DE5C2B"/>
    <w:rsid w:val="00DE5ED1"/>
    <w:rsid w:val="00DE5ED7"/>
    <w:rsid w:val="00DE67B3"/>
    <w:rsid w:val="00DF37F1"/>
    <w:rsid w:val="00DF4D53"/>
    <w:rsid w:val="00DF6FF0"/>
    <w:rsid w:val="00DF76CA"/>
    <w:rsid w:val="00E00D8D"/>
    <w:rsid w:val="00E02C4B"/>
    <w:rsid w:val="00E03688"/>
    <w:rsid w:val="00E0373C"/>
    <w:rsid w:val="00E04728"/>
    <w:rsid w:val="00E0546C"/>
    <w:rsid w:val="00E07DF6"/>
    <w:rsid w:val="00E126C1"/>
    <w:rsid w:val="00E13877"/>
    <w:rsid w:val="00E163CD"/>
    <w:rsid w:val="00E201F1"/>
    <w:rsid w:val="00E223ED"/>
    <w:rsid w:val="00E230F1"/>
    <w:rsid w:val="00E265EF"/>
    <w:rsid w:val="00E27CB1"/>
    <w:rsid w:val="00E27E91"/>
    <w:rsid w:val="00E30E65"/>
    <w:rsid w:val="00E32158"/>
    <w:rsid w:val="00E32912"/>
    <w:rsid w:val="00E36C69"/>
    <w:rsid w:val="00E37E5F"/>
    <w:rsid w:val="00E4125C"/>
    <w:rsid w:val="00E41D5A"/>
    <w:rsid w:val="00E4292B"/>
    <w:rsid w:val="00E4324A"/>
    <w:rsid w:val="00E475C7"/>
    <w:rsid w:val="00E501D9"/>
    <w:rsid w:val="00E5053E"/>
    <w:rsid w:val="00E52A51"/>
    <w:rsid w:val="00E536B8"/>
    <w:rsid w:val="00E5655A"/>
    <w:rsid w:val="00E61475"/>
    <w:rsid w:val="00E62187"/>
    <w:rsid w:val="00E7098B"/>
    <w:rsid w:val="00E71451"/>
    <w:rsid w:val="00E719FC"/>
    <w:rsid w:val="00E73F7E"/>
    <w:rsid w:val="00E766C4"/>
    <w:rsid w:val="00E76869"/>
    <w:rsid w:val="00E86712"/>
    <w:rsid w:val="00E86C50"/>
    <w:rsid w:val="00E91140"/>
    <w:rsid w:val="00E95431"/>
    <w:rsid w:val="00E97330"/>
    <w:rsid w:val="00EA2E69"/>
    <w:rsid w:val="00EA3A16"/>
    <w:rsid w:val="00EA3D97"/>
    <w:rsid w:val="00EA4C0A"/>
    <w:rsid w:val="00EA528C"/>
    <w:rsid w:val="00EA678B"/>
    <w:rsid w:val="00EA6D90"/>
    <w:rsid w:val="00EA6DA2"/>
    <w:rsid w:val="00EA70C4"/>
    <w:rsid w:val="00EA7C77"/>
    <w:rsid w:val="00EB27A2"/>
    <w:rsid w:val="00EB5014"/>
    <w:rsid w:val="00EB5E7B"/>
    <w:rsid w:val="00EC00EA"/>
    <w:rsid w:val="00EC1109"/>
    <w:rsid w:val="00EC15A5"/>
    <w:rsid w:val="00EC310B"/>
    <w:rsid w:val="00EC4155"/>
    <w:rsid w:val="00EC547D"/>
    <w:rsid w:val="00EC7049"/>
    <w:rsid w:val="00EC726E"/>
    <w:rsid w:val="00EC72B9"/>
    <w:rsid w:val="00ED611F"/>
    <w:rsid w:val="00ED74DA"/>
    <w:rsid w:val="00EE0F65"/>
    <w:rsid w:val="00EE3E82"/>
    <w:rsid w:val="00EE4D1C"/>
    <w:rsid w:val="00EE7466"/>
    <w:rsid w:val="00EF0174"/>
    <w:rsid w:val="00EF0A53"/>
    <w:rsid w:val="00EF0D0F"/>
    <w:rsid w:val="00EF16FC"/>
    <w:rsid w:val="00EF2FAF"/>
    <w:rsid w:val="00F014E7"/>
    <w:rsid w:val="00F02ACD"/>
    <w:rsid w:val="00F038D2"/>
    <w:rsid w:val="00F04AA3"/>
    <w:rsid w:val="00F04F56"/>
    <w:rsid w:val="00F06F7B"/>
    <w:rsid w:val="00F0763E"/>
    <w:rsid w:val="00F1035E"/>
    <w:rsid w:val="00F12632"/>
    <w:rsid w:val="00F1266C"/>
    <w:rsid w:val="00F1592D"/>
    <w:rsid w:val="00F20154"/>
    <w:rsid w:val="00F2027D"/>
    <w:rsid w:val="00F20BDF"/>
    <w:rsid w:val="00F21DEA"/>
    <w:rsid w:val="00F221B0"/>
    <w:rsid w:val="00F226AE"/>
    <w:rsid w:val="00F247B0"/>
    <w:rsid w:val="00F249C4"/>
    <w:rsid w:val="00F25245"/>
    <w:rsid w:val="00F26C6B"/>
    <w:rsid w:val="00F26DF3"/>
    <w:rsid w:val="00F27A26"/>
    <w:rsid w:val="00F27ABC"/>
    <w:rsid w:val="00F31F3D"/>
    <w:rsid w:val="00F37052"/>
    <w:rsid w:val="00F4178D"/>
    <w:rsid w:val="00F444CF"/>
    <w:rsid w:val="00F45DFA"/>
    <w:rsid w:val="00F46B64"/>
    <w:rsid w:val="00F46BF6"/>
    <w:rsid w:val="00F508F0"/>
    <w:rsid w:val="00F518C0"/>
    <w:rsid w:val="00F542E6"/>
    <w:rsid w:val="00F5744F"/>
    <w:rsid w:val="00F60C06"/>
    <w:rsid w:val="00F6180D"/>
    <w:rsid w:val="00F61939"/>
    <w:rsid w:val="00F62518"/>
    <w:rsid w:val="00F653D0"/>
    <w:rsid w:val="00F6601E"/>
    <w:rsid w:val="00F6618E"/>
    <w:rsid w:val="00F77315"/>
    <w:rsid w:val="00F826EC"/>
    <w:rsid w:val="00F84B1C"/>
    <w:rsid w:val="00F87AD8"/>
    <w:rsid w:val="00F92600"/>
    <w:rsid w:val="00F95651"/>
    <w:rsid w:val="00F97894"/>
    <w:rsid w:val="00FA1C77"/>
    <w:rsid w:val="00FA271B"/>
    <w:rsid w:val="00FA6B7F"/>
    <w:rsid w:val="00FA79F5"/>
    <w:rsid w:val="00FB0570"/>
    <w:rsid w:val="00FB253B"/>
    <w:rsid w:val="00FB46C4"/>
    <w:rsid w:val="00FC172F"/>
    <w:rsid w:val="00FC451E"/>
    <w:rsid w:val="00FC4656"/>
    <w:rsid w:val="00FC6304"/>
    <w:rsid w:val="00FC71C0"/>
    <w:rsid w:val="00FD15E1"/>
    <w:rsid w:val="00FD414B"/>
    <w:rsid w:val="00FD520A"/>
    <w:rsid w:val="00FD7AFF"/>
    <w:rsid w:val="00FE1243"/>
    <w:rsid w:val="00FE1DB9"/>
    <w:rsid w:val="00FE1F81"/>
    <w:rsid w:val="00FE3626"/>
    <w:rsid w:val="00FE36D2"/>
    <w:rsid w:val="00FE3AE9"/>
    <w:rsid w:val="00FE75C7"/>
    <w:rsid w:val="00FE790C"/>
    <w:rsid w:val="00FF1661"/>
    <w:rsid w:val="00FF2D9E"/>
    <w:rsid w:val="00FF366D"/>
    <w:rsid w:val="00FF4658"/>
    <w:rsid w:val="00FF5C90"/>
    <w:rsid w:val="00FF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EA347"/>
  <w15:chartTrackingRefBased/>
  <w15:docId w15:val="{8775299E-B65A-4829-A172-8F03FB1D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DFC"/>
    <w:pPr>
      <w:spacing w:line="360" w:lineRule="auto"/>
      <w:ind w:firstLine="567"/>
      <w:jc w:val="both"/>
    </w:pPr>
    <w:rPr>
      <w:rFonts w:ascii="GHEA Grapalat" w:hAnsi="GHEA Grapalat"/>
      <w:noProof/>
      <w:lang w:val="hy-AM"/>
    </w:rPr>
  </w:style>
  <w:style w:type="paragraph" w:styleId="Heading1">
    <w:name w:val="heading 1"/>
    <w:basedOn w:val="Normal"/>
    <w:next w:val="Normal"/>
    <w:link w:val="Heading1Char"/>
    <w:uiPriority w:val="9"/>
    <w:qFormat/>
    <w:rsid w:val="005B1B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0F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2382C"/>
    <w:pPr>
      <w:keepNext/>
      <w:spacing w:line="240" w:lineRule="auto"/>
      <w:ind w:firstLine="0"/>
      <w:jc w:val="left"/>
      <w:outlineLvl w:val="3"/>
    </w:pPr>
    <w:rPr>
      <w:rFonts w:ascii="Times New Roman" w:eastAsia="Times New Roman" w:hAnsi="Times New Roman" w:cs="Times New Roman"/>
      <w:noProof w:val="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References"/>
    <w:basedOn w:val="Normal"/>
    <w:link w:val="ListParagraphChar"/>
    <w:uiPriority w:val="34"/>
    <w:qFormat/>
    <w:rsid w:val="00687DF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qFormat/>
    <w:locked/>
    <w:rsid w:val="00687DFC"/>
    <w:rPr>
      <w:rFonts w:ascii="GHEA Grapalat" w:hAnsi="GHEA Grapalat"/>
      <w:noProof/>
      <w:lang w:val="hy-AM"/>
    </w:rPr>
  </w:style>
  <w:style w:type="paragraph" w:styleId="FootnoteText">
    <w:name w:val="footnote text"/>
    <w:aliases w:val="Footnote Text Char Char Char,Footnote Text Char Char,Fußnote,fn"/>
    <w:basedOn w:val="Normal"/>
    <w:link w:val="FootnoteTextChar"/>
    <w:uiPriority w:val="99"/>
    <w:unhideWhenUsed/>
    <w:rsid w:val="00796872"/>
    <w:pPr>
      <w:spacing w:line="240" w:lineRule="auto"/>
      <w:ind w:firstLine="0"/>
      <w:jc w:val="left"/>
    </w:pPr>
    <w:rPr>
      <w:rFonts w:ascii="Calibri" w:eastAsia="Times New Roman" w:hAnsi="Calibri" w:cs="Times New Roman"/>
      <w:noProof w:val="0"/>
      <w:sz w:val="20"/>
      <w:szCs w:val="20"/>
      <w:lang w:val="x-none" w:eastAsia="x-none"/>
    </w:rPr>
  </w:style>
  <w:style w:type="character" w:customStyle="1" w:styleId="FootnoteTextChar">
    <w:name w:val="Footnote Text Char"/>
    <w:aliases w:val="Footnote Text Char Char Char Char,Footnote Text Char Char Char1,Fußnote Char,fn Char"/>
    <w:basedOn w:val="DefaultParagraphFont"/>
    <w:link w:val="FootnoteText"/>
    <w:uiPriority w:val="99"/>
    <w:rsid w:val="00796872"/>
    <w:rPr>
      <w:rFonts w:ascii="Calibri" w:eastAsia="Times New Roman" w:hAnsi="Calibri" w:cs="Times New Roman"/>
      <w:sz w:val="20"/>
      <w:szCs w:val="20"/>
      <w:lang w:val="x-none" w:eastAsia="x-none"/>
    </w:rPr>
  </w:style>
  <w:style w:type="character" w:styleId="FootnoteReference">
    <w:name w:val="footnote reference"/>
    <w:aliases w:val="BVI fnr,Balloon Text Char1,Balloon Text Char2 Char1,Balloon Text Char1 Char Char1"/>
    <w:uiPriority w:val="99"/>
    <w:unhideWhenUsed/>
    <w:rsid w:val="00796872"/>
    <w:rPr>
      <w:vertAlign w:val="superscript"/>
    </w:rPr>
  </w:style>
  <w:style w:type="character" w:styleId="Hyperlink">
    <w:name w:val="Hyperlink"/>
    <w:uiPriority w:val="99"/>
    <w:unhideWhenUsed/>
    <w:rsid w:val="00796872"/>
    <w:rPr>
      <w:color w:val="0000FF"/>
      <w:u w:val="single"/>
    </w:rPr>
  </w:style>
  <w:style w:type="paragraph" w:styleId="Footer">
    <w:name w:val="footer"/>
    <w:basedOn w:val="Normal"/>
    <w:link w:val="FooterChar"/>
    <w:uiPriority w:val="99"/>
    <w:unhideWhenUsed/>
    <w:rsid w:val="00CB4B25"/>
    <w:pPr>
      <w:tabs>
        <w:tab w:val="center" w:pos="4680"/>
        <w:tab w:val="right" w:pos="9360"/>
      </w:tabs>
      <w:spacing w:line="240" w:lineRule="auto"/>
    </w:pPr>
  </w:style>
  <w:style w:type="character" w:customStyle="1" w:styleId="FooterChar">
    <w:name w:val="Footer Char"/>
    <w:basedOn w:val="DefaultParagraphFont"/>
    <w:link w:val="Footer"/>
    <w:uiPriority w:val="99"/>
    <w:rsid w:val="00CB4B25"/>
    <w:rPr>
      <w:rFonts w:ascii="GHEA Grapalat" w:hAnsi="GHEA Grapalat"/>
      <w:noProof/>
      <w:lang w:val="hy-AM"/>
    </w:rPr>
  </w:style>
  <w:style w:type="character" w:styleId="PageNumber">
    <w:name w:val="page number"/>
    <w:basedOn w:val="DefaultParagraphFont"/>
    <w:uiPriority w:val="99"/>
    <w:semiHidden/>
    <w:unhideWhenUsed/>
    <w:rsid w:val="00CB4B25"/>
  </w:style>
  <w:style w:type="paragraph" w:styleId="BalloonText">
    <w:name w:val="Balloon Text"/>
    <w:basedOn w:val="Normal"/>
    <w:link w:val="BalloonTextChar"/>
    <w:uiPriority w:val="99"/>
    <w:semiHidden/>
    <w:unhideWhenUsed/>
    <w:rsid w:val="004273F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73F2"/>
    <w:rPr>
      <w:rFonts w:ascii="Times New Roman" w:hAnsi="Times New Roman" w:cs="Times New Roman"/>
      <w:noProof/>
      <w:sz w:val="18"/>
      <w:szCs w:val="18"/>
      <w:lang w:val="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ebb"/>
    <w:basedOn w:val="Normal"/>
    <w:link w:val="NormalWebChar"/>
    <w:uiPriority w:val="99"/>
    <w:unhideWhenUsed/>
    <w:qFormat/>
    <w:rsid w:val="00913CDE"/>
    <w:pPr>
      <w:spacing w:before="100" w:beforeAutospacing="1" w:after="100" w:afterAutospacing="1" w:line="240" w:lineRule="auto"/>
      <w:ind w:firstLine="0"/>
      <w:jc w:val="left"/>
    </w:pPr>
    <w:rPr>
      <w:rFonts w:ascii="Times New Roman" w:eastAsia="Times New Roman" w:hAnsi="Times New Roman" w:cs="Times New Roman"/>
      <w:noProof w:val="0"/>
      <w:lang w:val="en-US"/>
    </w:rPr>
  </w:style>
  <w:style w:type="character" w:customStyle="1" w:styleId="UnresolvedMention1">
    <w:name w:val="Unresolved Mention1"/>
    <w:basedOn w:val="DefaultParagraphFont"/>
    <w:uiPriority w:val="99"/>
    <w:semiHidden/>
    <w:unhideWhenUsed/>
    <w:rsid w:val="00270846"/>
    <w:rPr>
      <w:color w:val="605E5C"/>
      <w:shd w:val="clear" w:color="auto" w:fill="E1DFDD"/>
    </w:rPr>
  </w:style>
  <w:style w:type="character" w:styleId="FollowedHyperlink">
    <w:name w:val="FollowedHyperlink"/>
    <w:basedOn w:val="DefaultParagraphFont"/>
    <w:uiPriority w:val="99"/>
    <w:semiHidden/>
    <w:unhideWhenUsed/>
    <w:rsid w:val="00E00D8D"/>
    <w:rPr>
      <w:color w:val="954F72" w:themeColor="followedHyperlink"/>
      <w:u w:val="single"/>
    </w:rPr>
  </w:style>
  <w:style w:type="character" w:styleId="Strong">
    <w:name w:val="Strong"/>
    <w:basedOn w:val="DefaultParagraphFont"/>
    <w:uiPriority w:val="22"/>
    <w:qFormat/>
    <w:rsid w:val="002C5679"/>
    <w:rPr>
      <w:b/>
      <w:bCs/>
    </w:rPr>
  </w:style>
  <w:style w:type="paragraph" w:styleId="Header">
    <w:name w:val="header"/>
    <w:basedOn w:val="Normal"/>
    <w:link w:val="HeaderChar"/>
    <w:uiPriority w:val="99"/>
    <w:unhideWhenUsed/>
    <w:rsid w:val="00A04C22"/>
    <w:pPr>
      <w:tabs>
        <w:tab w:val="center" w:pos="4680"/>
        <w:tab w:val="right" w:pos="9360"/>
      </w:tabs>
      <w:spacing w:line="240" w:lineRule="auto"/>
    </w:pPr>
  </w:style>
  <w:style w:type="character" w:customStyle="1" w:styleId="HeaderChar">
    <w:name w:val="Header Char"/>
    <w:basedOn w:val="DefaultParagraphFont"/>
    <w:link w:val="Header"/>
    <w:uiPriority w:val="99"/>
    <w:rsid w:val="00A04C22"/>
    <w:rPr>
      <w:rFonts w:ascii="GHEA Grapalat" w:hAnsi="GHEA Grapalat"/>
      <w:noProof/>
      <w:lang w:val="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ebb Char"/>
    <w:link w:val="NormalWeb"/>
    <w:uiPriority w:val="99"/>
    <w:locked/>
    <w:rsid w:val="00C47F1F"/>
    <w:rPr>
      <w:rFonts w:ascii="Times New Roman" w:eastAsia="Times New Roman" w:hAnsi="Times New Roman" w:cs="Times New Roman"/>
    </w:rPr>
  </w:style>
  <w:style w:type="paragraph" w:customStyle="1" w:styleId="Style7">
    <w:name w:val="Style7"/>
    <w:basedOn w:val="Normal"/>
    <w:uiPriority w:val="99"/>
    <w:rsid w:val="00C47F1F"/>
    <w:pPr>
      <w:widowControl w:val="0"/>
      <w:autoSpaceDE w:val="0"/>
      <w:autoSpaceDN w:val="0"/>
      <w:adjustRightInd w:val="0"/>
      <w:spacing w:line="480" w:lineRule="exact"/>
      <w:ind w:hanging="1819"/>
      <w:jc w:val="left"/>
    </w:pPr>
    <w:rPr>
      <w:rFonts w:ascii="Tahoma" w:eastAsia="Times New Roman" w:hAnsi="Tahoma" w:cs="Tahoma"/>
      <w:noProof w:val="0"/>
      <w:lang w:val="en-US"/>
    </w:rPr>
  </w:style>
  <w:style w:type="character" w:customStyle="1" w:styleId="Heading1Char">
    <w:name w:val="Heading 1 Char"/>
    <w:basedOn w:val="DefaultParagraphFont"/>
    <w:link w:val="Heading1"/>
    <w:uiPriority w:val="9"/>
    <w:rsid w:val="005B1B62"/>
    <w:rPr>
      <w:rFonts w:asciiTheme="majorHAnsi" w:eastAsiaTheme="majorEastAsia" w:hAnsiTheme="majorHAnsi" w:cstheme="majorBidi"/>
      <w:noProof/>
      <w:color w:val="2F5496" w:themeColor="accent1" w:themeShade="BF"/>
      <w:sz w:val="32"/>
      <w:szCs w:val="32"/>
      <w:lang w:val="hy-AM"/>
    </w:rPr>
  </w:style>
  <w:style w:type="paragraph" w:styleId="TOCHeading">
    <w:name w:val="TOC Heading"/>
    <w:basedOn w:val="Heading1"/>
    <w:next w:val="Normal"/>
    <w:uiPriority w:val="39"/>
    <w:unhideWhenUsed/>
    <w:qFormat/>
    <w:rsid w:val="00EA70C4"/>
    <w:pPr>
      <w:spacing w:before="480" w:line="276" w:lineRule="auto"/>
      <w:ind w:firstLine="0"/>
      <w:jc w:val="left"/>
      <w:outlineLvl w:val="9"/>
    </w:pPr>
    <w:rPr>
      <w:b/>
      <w:bCs/>
      <w:noProof w:val="0"/>
      <w:sz w:val="28"/>
      <w:szCs w:val="28"/>
      <w:lang w:val="en-US"/>
    </w:rPr>
  </w:style>
  <w:style w:type="paragraph" w:styleId="TOC1">
    <w:name w:val="toc 1"/>
    <w:basedOn w:val="Normal"/>
    <w:next w:val="Normal"/>
    <w:autoRedefine/>
    <w:uiPriority w:val="39"/>
    <w:unhideWhenUsed/>
    <w:rsid w:val="00EA70C4"/>
    <w:pPr>
      <w:spacing w:before="120"/>
      <w:jc w:val="left"/>
    </w:pPr>
    <w:rPr>
      <w:rFonts w:asciiTheme="minorHAnsi" w:hAnsiTheme="minorHAnsi"/>
      <w:b/>
      <w:bCs/>
      <w:i/>
      <w:iCs/>
    </w:rPr>
  </w:style>
  <w:style w:type="paragraph" w:styleId="TOC2">
    <w:name w:val="toc 2"/>
    <w:basedOn w:val="Normal"/>
    <w:next w:val="Normal"/>
    <w:autoRedefine/>
    <w:uiPriority w:val="39"/>
    <w:unhideWhenUsed/>
    <w:rsid w:val="00EA70C4"/>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semiHidden/>
    <w:unhideWhenUsed/>
    <w:rsid w:val="00EA70C4"/>
    <w:pPr>
      <w:ind w:left="480"/>
      <w:jc w:val="left"/>
    </w:pPr>
    <w:rPr>
      <w:rFonts w:asciiTheme="minorHAnsi" w:hAnsiTheme="minorHAnsi"/>
      <w:sz w:val="20"/>
      <w:szCs w:val="20"/>
    </w:rPr>
  </w:style>
  <w:style w:type="paragraph" w:styleId="TOC4">
    <w:name w:val="toc 4"/>
    <w:basedOn w:val="Normal"/>
    <w:next w:val="Normal"/>
    <w:autoRedefine/>
    <w:uiPriority w:val="39"/>
    <w:semiHidden/>
    <w:unhideWhenUsed/>
    <w:rsid w:val="00EA70C4"/>
    <w:pPr>
      <w:ind w:left="720"/>
      <w:jc w:val="left"/>
    </w:pPr>
    <w:rPr>
      <w:rFonts w:asciiTheme="minorHAnsi" w:hAnsiTheme="minorHAnsi"/>
      <w:sz w:val="20"/>
      <w:szCs w:val="20"/>
    </w:rPr>
  </w:style>
  <w:style w:type="paragraph" w:styleId="TOC5">
    <w:name w:val="toc 5"/>
    <w:basedOn w:val="Normal"/>
    <w:next w:val="Normal"/>
    <w:autoRedefine/>
    <w:uiPriority w:val="39"/>
    <w:semiHidden/>
    <w:unhideWhenUsed/>
    <w:rsid w:val="00EA70C4"/>
    <w:pPr>
      <w:ind w:left="960"/>
      <w:jc w:val="left"/>
    </w:pPr>
    <w:rPr>
      <w:rFonts w:asciiTheme="minorHAnsi" w:hAnsiTheme="minorHAnsi"/>
      <w:sz w:val="20"/>
      <w:szCs w:val="20"/>
    </w:rPr>
  </w:style>
  <w:style w:type="paragraph" w:styleId="TOC6">
    <w:name w:val="toc 6"/>
    <w:basedOn w:val="Normal"/>
    <w:next w:val="Normal"/>
    <w:autoRedefine/>
    <w:uiPriority w:val="39"/>
    <w:semiHidden/>
    <w:unhideWhenUsed/>
    <w:rsid w:val="00EA70C4"/>
    <w:pPr>
      <w:ind w:left="1200"/>
      <w:jc w:val="left"/>
    </w:pPr>
    <w:rPr>
      <w:rFonts w:asciiTheme="minorHAnsi" w:hAnsiTheme="minorHAnsi"/>
      <w:sz w:val="20"/>
      <w:szCs w:val="20"/>
    </w:rPr>
  </w:style>
  <w:style w:type="paragraph" w:styleId="TOC7">
    <w:name w:val="toc 7"/>
    <w:basedOn w:val="Normal"/>
    <w:next w:val="Normal"/>
    <w:autoRedefine/>
    <w:uiPriority w:val="39"/>
    <w:semiHidden/>
    <w:unhideWhenUsed/>
    <w:rsid w:val="00EA70C4"/>
    <w:pPr>
      <w:ind w:left="1440"/>
      <w:jc w:val="left"/>
    </w:pPr>
    <w:rPr>
      <w:rFonts w:asciiTheme="minorHAnsi" w:hAnsiTheme="minorHAnsi"/>
      <w:sz w:val="20"/>
      <w:szCs w:val="20"/>
    </w:rPr>
  </w:style>
  <w:style w:type="paragraph" w:styleId="TOC8">
    <w:name w:val="toc 8"/>
    <w:basedOn w:val="Normal"/>
    <w:next w:val="Normal"/>
    <w:autoRedefine/>
    <w:uiPriority w:val="39"/>
    <w:semiHidden/>
    <w:unhideWhenUsed/>
    <w:rsid w:val="00EA70C4"/>
    <w:pPr>
      <w:ind w:left="1680"/>
      <w:jc w:val="left"/>
    </w:pPr>
    <w:rPr>
      <w:rFonts w:asciiTheme="minorHAnsi" w:hAnsiTheme="minorHAnsi"/>
      <w:sz w:val="20"/>
      <w:szCs w:val="20"/>
    </w:rPr>
  </w:style>
  <w:style w:type="paragraph" w:styleId="TOC9">
    <w:name w:val="toc 9"/>
    <w:basedOn w:val="Normal"/>
    <w:next w:val="Normal"/>
    <w:autoRedefine/>
    <w:uiPriority w:val="39"/>
    <w:semiHidden/>
    <w:unhideWhenUsed/>
    <w:rsid w:val="00EA70C4"/>
    <w:pPr>
      <w:ind w:left="1920"/>
      <w:jc w:val="left"/>
    </w:pPr>
    <w:rPr>
      <w:rFonts w:asciiTheme="minorHAnsi" w:hAnsiTheme="minorHAnsi"/>
      <w:sz w:val="20"/>
      <w:szCs w:val="20"/>
    </w:rPr>
  </w:style>
  <w:style w:type="character" w:customStyle="1" w:styleId="Heading2Char">
    <w:name w:val="Heading 2 Char"/>
    <w:basedOn w:val="DefaultParagraphFont"/>
    <w:link w:val="Heading2"/>
    <w:uiPriority w:val="9"/>
    <w:rsid w:val="004C0F33"/>
    <w:rPr>
      <w:rFonts w:asciiTheme="majorHAnsi" w:eastAsiaTheme="majorEastAsia" w:hAnsiTheme="majorHAnsi" w:cstheme="majorBidi"/>
      <w:noProof/>
      <w:color w:val="2F5496" w:themeColor="accent1" w:themeShade="BF"/>
      <w:sz w:val="26"/>
      <w:szCs w:val="26"/>
      <w:lang w:val="hy-AM"/>
    </w:rPr>
  </w:style>
  <w:style w:type="character" w:customStyle="1" w:styleId="Heading4Char">
    <w:name w:val="Heading 4 Char"/>
    <w:basedOn w:val="DefaultParagraphFont"/>
    <w:link w:val="Heading4"/>
    <w:rsid w:val="00A2382C"/>
    <w:rPr>
      <w:rFonts w:ascii="Times New Roman" w:eastAsia="Times New Roman" w:hAnsi="Times New Roman" w:cs="Times New Roman"/>
      <w:sz w:val="28"/>
    </w:rPr>
  </w:style>
  <w:style w:type="paragraph" w:styleId="CommentText">
    <w:name w:val="annotation text"/>
    <w:basedOn w:val="Normal"/>
    <w:link w:val="CommentTextChar"/>
    <w:uiPriority w:val="99"/>
    <w:unhideWhenUsed/>
    <w:rsid w:val="00A2382C"/>
    <w:pPr>
      <w:spacing w:line="240" w:lineRule="auto"/>
    </w:pPr>
    <w:rPr>
      <w:sz w:val="20"/>
      <w:szCs w:val="20"/>
    </w:rPr>
  </w:style>
  <w:style w:type="character" w:customStyle="1" w:styleId="CommentTextChar">
    <w:name w:val="Comment Text Char"/>
    <w:basedOn w:val="DefaultParagraphFont"/>
    <w:link w:val="CommentText"/>
    <w:uiPriority w:val="99"/>
    <w:rsid w:val="00A2382C"/>
    <w:rPr>
      <w:rFonts w:ascii="GHEA Grapalat" w:hAnsi="GHEA Grapalat"/>
      <w:noProof/>
      <w:sz w:val="20"/>
      <w:szCs w:val="20"/>
      <w:lang w:val="hy-AM"/>
    </w:rPr>
  </w:style>
  <w:style w:type="character" w:styleId="CommentReference">
    <w:name w:val="annotation reference"/>
    <w:basedOn w:val="DefaultParagraphFont"/>
    <w:uiPriority w:val="99"/>
    <w:semiHidden/>
    <w:unhideWhenUsed/>
    <w:rsid w:val="00A2382C"/>
    <w:rPr>
      <w:sz w:val="16"/>
      <w:szCs w:val="16"/>
    </w:rPr>
  </w:style>
  <w:style w:type="numbering" w:customStyle="1" w:styleId="NoList1">
    <w:name w:val="No List1"/>
    <w:next w:val="NoList"/>
    <w:uiPriority w:val="99"/>
    <w:semiHidden/>
    <w:unhideWhenUsed/>
    <w:rsid w:val="00A2382C"/>
  </w:style>
  <w:style w:type="paragraph" w:styleId="Revision">
    <w:name w:val="Revision"/>
    <w:hidden/>
    <w:uiPriority w:val="99"/>
    <w:semiHidden/>
    <w:rsid w:val="00A2382C"/>
    <w:rPr>
      <w:rFonts w:ascii="GHEA Grapalat" w:hAnsi="GHEA Grapalat"/>
      <w:noProof/>
      <w:lang w:val="hy-AM"/>
    </w:rPr>
  </w:style>
  <w:style w:type="paragraph" w:styleId="CommentSubject">
    <w:name w:val="annotation subject"/>
    <w:basedOn w:val="CommentText"/>
    <w:next w:val="CommentText"/>
    <w:link w:val="CommentSubjectChar"/>
    <w:uiPriority w:val="99"/>
    <w:semiHidden/>
    <w:unhideWhenUsed/>
    <w:rsid w:val="00A2382C"/>
    <w:rPr>
      <w:b/>
      <w:bCs/>
    </w:rPr>
  </w:style>
  <w:style w:type="character" w:customStyle="1" w:styleId="CommentSubjectChar">
    <w:name w:val="Comment Subject Char"/>
    <w:basedOn w:val="CommentTextChar"/>
    <w:link w:val="CommentSubject"/>
    <w:uiPriority w:val="99"/>
    <w:semiHidden/>
    <w:rsid w:val="00A2382C"/>
    <w:rPr>
      <w:rFonts w:ascii="GHEA Grapalat" w:hAnsi="GHEA Grapalat"/>
      <w:b/>
      <w:bCs/>
      <w:noProof/>
      <w:sz w:val="20"/>
      <w:szCs w:val="20"/>
      <w:lang w:val="hy-AM"/>
    </w:rPr>
  </w:style>
  <w:style w:type="table" w:styleId="TableGrid">
    <w:name w:val="Table Grid"/>
    <w:basedOn w:val="TableNormal"/>
    <w:uiPriority w:val="39"/>
    <w:rsid w:val="00A2382C"/>
    <w:pPr>
      <w:spacing w:afterAutospacing="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A2382C"/>
    <w:rPr>
      <w:rFonts w:ascii="Courier New" w:eastAsia="Times New Roman" w:hAnsi="Courier New" w:cs="Courier New"/>
      <w:sz w:val="20"/>
      <w:szCs w:val="20"/>
    </w:rPr>
  </w:style>
  <w:style w:type="paragraph" w:customStyle="1" w:styleId="Normal1">
    <w:name w:val="Normal1"/>
    <w:rsid w:val="00A2382C"/>
    <w:pPr>
      <w:spacing w:after="160" w:line="259" w:lineRule="auto"/>
    </w:pPr>
    <w:rPr>
      <w:rFonts w:ascii="GHEA Grapalat" w:eastAsia="GHEA Grapalat" w:hAnsi="GHEA Grapalat" w:cs="GHEA Grapalat"/>
      <w:lang w:val="hy-AM"/>
    </w:rPr>
  </w:style>
  <w:style w:type="character" w:styleId="PlaceholderText">
    <w:name w:val="Placeholder Text"/>
    <w:basedOn w:val="DefaultParagraphFont"/>
    <w:uiPriority w:val="99"/>
    <w:semiHidden/>
    <w:rsid w:val="008A51D3"/>
    <w:rPr>
      <w:color w:val="808080"/>
    </w:rPr>
  </w:style>
  <w:style w:type="character" w:customStyle="1" w:styleId="UnresolvedMention2">
    <w:name w:val="Unresolved Mention2"/>
    <w:basedOn w:val="DefaultParagraphFont"/>
    <w:uiPriority w:val="99"/>
    <w:semiHidden/>
    <w:unhideWhenUsed/>
    <w:rsid w:val="001B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990">
      <w:bodyDiv w:val="1"/>
      <w:marLeft w:val="0"/>
      <w:marRight w:val="0"/>
      <w:marTop w:val="0"/>
      <w:marBottom w:val="0"/>
      <w:divBdr>
        <w:top w:val="none" w:sz="0" w:space="0" w:color="auto"/>
        <w:left w:val="none" w:sz="0" w:space="0" w:color="auto"/>
        <w:bottom w:val="none" w:sz="0" w:space="0" w:color="auto"/>
        <w:right w:val="none" w:sz="0" w:space="0" w:color="auto"/>
      </w:divBdr>
    </w:div>
    <w:div w:id="78062474">
      <w:bodyDiv w:val="1"/>
      <w:marLeft w:val="0"/>
      <w:marRight w:val="0"/>
      <w:marTop w:val="0"/>
      <w:marBottom w:val="0"/>
      <w:divBdr>
        <w:top w:val="none" w:sz="0" w:space="0" w:color="auto"/>
        <w:left w:val="none" w:sz="0" w:space="0" w:color="auto"/>
        <w:bottom w:val="none" w:sz="0" w:space="0" w:color="auto"/>
        <w:right w:val="none" w:sz="0" w:space="0" w:color="auto"/>
      </w:divBdr>
    </w:div>
    <w:div w:id="258026692">
      <w:bodyDiv w:val="1"/>
      <w:marLeft w:val="0"/>
      <w:marRight w:val="0"/>
      <w:marTop w:val="0"/>
      <w:marBottom w:val="0"/>
      <w:divBdr>
        <w:top w:val="none" w:sz="0" w:space="0" w:color="auto"/>
        <w:left w:val="none" w:sz="0" w:space="0" w:color="auto"/>
        <w:bottom w:val="none" w:sz="0" w:space="0" w:color="auto"/>
        <w:right w:val="none" w:sz="0" w:space="0" w:color="auto"/>
      </w:divBdr>
    </w:div>
    <w:div w:id="427435469">
      <w:bodyDiv w:val="1"/>
      <w:marLeft w:val="0"/>
      <w:marRight w:val="0"/>
      <w:marTop w:val="0"/>
      <w:marBottom w:val="0"/>
      <w:divBdr>
        <w:top w:val="none" w:sz="0" w:space="0" w:color="auto"/>
        <w:left w:val="none" w:sz="0" w:space="0" w:color="auto"/>
        <w:bottom w:val="none" w:sz="0" w:space="0" w:color="auto"/>
        <w:right w:val="none" w:sz="0" w:space="0" w:color="auto"/>
      </w:divBdr>
    </w:div>
    <w:div w:id="481892474">
      <w:bodyDiv w:val="1"/>
      <w:marLeft w:val="0"/>
      <w:marRight w:val="0"/>
      <w:marTop w:val="0"/>
      <w:marBottom w:val="0"/>
      <w:divBdr>
        <w:top w:val="none" w:sz="0" w:space="0" w:color="auto"/>
        <w:left w:val="none" w:sz="0" w:space="0" w:color="auto"/>
        <w:bottom w:val="none" w:sz="0" w:space="0" w:color="auto"/>
        <w:right w:val="none" w:sz="0" w:space="0" w:color="auto"/>
      </w:divBdr>
    </w:div>
    <w:div w:id="609509928">
      <w:bodyDiv w:val="1"/>
      <w:marLeft w:val="0"/>
      <w:marRight w:val="0"/>
      <w:marTop w:val="0"/>
      <w:marBottom w:val="0"/>
      <w:divBdr>
        <w:top w:val="none" w:sz="0" w:space="0" w:color="auto"/>
        <w:left w:val="none" w:sz="0" w:space="0" w:color="auto"/>
        <w:bottom w:val="none" w:sz="0" w:space="0" w:color="auto"/>
        <w:right w:val="none" w:sz="0" w:space="0" w:color="auto"/>
      </w:divBdr>
    </w:div>
    <w:div w:id="672686469">
      <w:bodyDiv w:val="1"/>
      <w:marLeft w:val="0"/>
      <w:marRight w:val="0"/>
      <w:marTop w:val="0"/>
      <w:marBottom w:val="0"/>
      <w:divBdr>
        <w:top w:val="none" w:sz="0" w:space="0" w:color="auto"/>
        <w:left w:val="none" w:sz="0" w:space="0" w:color="auto"/>
        <w:bottom w:val="none" w:sz="0" w:space="0" w:color="auto"/>
        <w:right w:val="none" w:sz="0" w:space="0" w:color="auto"/>
      </w:divBdr>
    </w:div>
    <w:div w:id="1024096102">
      <w:bodyDiv w:val="1"/>
      <w:marLeft w:val="0"/>
      <w:marRight w:val="0"/>
      <w:marTop w:val="0"/>
      <w:marBottom w:val="0"/>
      <w:divBdr>
        <w:top w:val="none" w:sz="0" w:space="0" w:color="auto"/>
        <w:left w:val="none" w:sz="0" w:space="0" w:color="auto"/>
        <w:bottom w:val="none" w:sz="0" w:space="0" w:color="auto"/>
        <w:right w:val="none" w:sz="0" w:space="0" w:color="auto"/>
      </w:divBdr>
    </w:div>
    <w:div w:id="1140149503">
      <w:bodyDiv w:val="1"/>
      <w:marLeft w:val="0"/>
      <w:marRight w:val="0"/>
      <w:marTop w:val="0"/>
      <w:marBottom w:val="0"/>
      <w:divBdr>
        <w:top w:val="none" w:sz="0" w:space="0" w:color="auto"/>
        <w:left w:val="none" w:sz="0" w:space="0" w:color="auto"/>
        <w:bottom w:val="none" w:sz="0" w:space="0" w:color="auto"/>
        <w:right w:val="none" w:sz="0" w:space="0" w:color="auto"/>
      </w:divBdr>
    </w:div>
    <w:div w:id="1183280026">
      <w:bodyDiv w:val="1"/>
      <w:marLeft w:val="0"/>
      <w:marRight w:val="0"/>
      <w:marTop w:val="0"/>
      <w:marBottom w:val="0"/>
      <w:divBdr>
        <w:top w:val="none" w:sz="0" w:space="0" w:color="auto"/>
        <w:left w:val="none" w:sz="0" w:space="0" w:color="auto"/>
        <w:bottom w:val="none" w:sz="0" w:space="0" w:color="auto"/>
        <w:right w:val="none" w:sz="0" w:space="0" w:color="auto"/>
      </w:divBdr>
    </w:div>
    <w:div w:id="1229997861">
      <w:bodyDiv w:val="1"/>
      <w:marLeft w:val="0"/>
      <w:marRight w:val="0"/>
      <w:marTop w:val="0"/>
      <w:marBottom w:val="0"/>
      <w:divBdr>
        <w:top w:val="none" w:sz="0" w:space="0" w:color="auto"/>
        <w:left w:val="none" w:sz="0" w:space="0" w:color="auto"/>
        <w:bottom w:val="none" w:sz="0" w:space="0" w:color="auto"/>
        <w:right w:val="none" w:sz="0" w:space="0" w:color="auto"/>
      </w:divBdr>
    </w:div>
    <w:div w:id="1316571690">
      <w:bodyDiv w:val="1"/>
      <w:marLeft w:val="0"/>
      <w:marRight w:val="0"/>
      <w:marTop w:val="0"/>
      <w:marBottom w:val="0"/>
      <w:divBdr>
        <w:top w:val="none" w:sz="0" w:space="0" w:color="auto"/>
        <w:left w:val="none" w:sz="0" w:space="0" w:color="auto"/>
        <w:bottom w:val="none" w:sz="0" w:space="0" w:color="auto"/>
        <w:right w:val="none" w:sz="0" w:space="0" w:color="auto"/>
      </w:divBdr>
    </w:div>
    <w:div w:id="1603149266">
      <w:bodyDiv w:val="1"/>
      <w:marLeft w:val="0"/>
      <w:marRight w:val="0"/>
      <w:marTop w:val="0"/>
      <w:marBottom w:val="0"/>
      <w:divBdr>
        <w:top w:val="none" w:sz="0" w:space="0" w:color="auto"/>
        <w:left w:val="none" w:sz="0" w:space="0" w:color="auto"/>
        <w:bottom w:val="none" w:sz="0" w:space="0" w:color="auto"/>
        <w:right w:val="none" w:sz="0" w:space="0" w:color="auto"/>
      </w:divBdr>
    </w:div>
    <w:div w:id="1830442242">
      <w:bodyDiv w:val="1"/>
      <w:marLeft w:val="0"/>
      <w:marRight w:val="0"/>
      <w:marTop w:val="0"/>
      <w:marBottom w:val="0"/>
      <w:divBdr>
        <w:top w:val="none" w:sz="0" w:space="0" w:color="auto"/>
        <w:left w:val="none" w:sz="0" w:space="0" w:color="auto"/>
        <w:bottom w:val="none" w:sz="0" w:space="0" w:color="auto"/>
        <w:right w:val="none" w:sz="0" w:space="0" w:color="auto"/>
      </w:divBdr>
    </w:div>
    <w:div w:id="1833714242">
      <w:bodyDiv w:val="1"/>
      <w:marLeft w:val="0"/>
      <w:marRight w:val="0"/>
      <w:marTop w:val="0"/>
      <w:marBottom w:val="0"/>
      <w:divBdr>
        <w:top w:val="none" w:sz="0" w:space="0" w:color="auto"/>
        <w:left w:val="none" w:sz="0" w:space="0" w:color="auto"/>
        <w:bottom w:val="none" w:sz="0" w:space="0" w:color="auto"/>
        <w:right w:val="none" w:sz="0" w:space="0" w:color="auto"/>
      </w:divBdr>
    </w:div>
    <w:div w:id="1838615221">
      <w:bodyDiv w:val="1"/>
      <w:marLeft w:val="0"/>
      <w:marRight w:val="0"/>
      <w:marTop w:val="0"/>
      <w:marBottom w:val="0"/>
      <w:divBdr>
        <w:top w:val="none" w:sz="0" w:space="0" w:color="auto"/>
        <w:left w:val="none" w:sz="0" w:space="0" w:color="auto"/>
        <w:bottom w:val="none" w:sz="0" w:space="0" w:color="auto"/>
        <w:right w:val="none" w:sz="0" w:space="0" w:color="auto"/>
      </w:divBdr>
    </w:div>
    <w:div w:id="1852833957">
      <w:bodyDiv w:val="1"/>
      <w:marLeft w:val="0"/>
      <w:marRight w:val="0"/>
      <w:marTop w:val="0"/>
      <w:marBottom w:val="0"/>
      <w:divBdr>
        <w:top w:val="none" w:sz="0" w:space="0" w:color="auto"/>
        <w:left w:val="none" w:sz="0" w:space="0" w:color="auto"/>
        <w:bottom w:val="none" w:sz="0" w:space="0" w:color="auto"/>
        <w:right w:val="none" w:sz="0" w:space="0" w:color="auto"/>
      </w:divBdr>
    </w:div>
    <w:div w:id="1858349273">
      <w:bodyDiv w:val="1"/>
      <w:marLeft w:val="0"/>
      <w:marRight w:val="0"/>
      <w:marTop w:val="0"/>
      <w:marBottom w:val="0"/>
      <w:divBdr>
        <w:top w:val="none" w:sz="0" w:space="0" w:color="auto"/>
        <w:left w:val="none" w:sz="0" w:space="0" w:color="auto"/>
        <w:bottom w:val="none" w:sz="0" w:space="0" w:color="auto"/>
        <w:right w:val="none" w:sz="0" w:space="0" w:color="auto"/>
      </w:divBdr>
    </w:div>
    <w:div w:id="2027435756">
      <w:bodyDiv w:val="1"/>
      <w:marLeft w:val="0"/>
      <w:marRight w:val="0"/>
      <w:marTop w:val="0"/>
      <w:marBottom w:val="0"/>
      <w:divBdr>
        <w:top w:val="none" w:sz="0" w:space="0" w:color="auto"/>
        <w:left w:val="none" w:sz="0" w:space="0" w:color="auto"/>
        <w:bottom w:val="none" w:sz="0" w:space="0" w:color="auto"/>
        <w:right w:val="none" w:sz="0" w:space="0" w:color="auto"/>
      </w:divBdr>
    </w:div>
    <w:div w:id="21346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zprotect.am/am/%20(&#1379;&#1400;&#1408;&#1390;&#1377;&#1408;&#1391;&#1406;&#1400;&#1410;&#13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7225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gp.gov.am/files/action_plans/1/16286851316556.pdf" TargetMode="External"/><Relationship Id="rId13" Type="http://schemas.openxmlformats.org/officeDocument/2006/relationships/hyperlink" Target="https://www.arlis.am/DocumentView.aspx?docid=171592" TargetMode="External"/><Relationship Id="rId18" Type="http://schemas.openxmlformats.org/officeDocument/2006/relationships/hyperlink" Target="https://www.cambridge.org/core/books/abs/quest-for-good-governance/understanding-control-of-%20%20%20corruption/8800D938FE8451FF1252AC0DA735D2F4" TargetMode="External"/><Relationship Id="rId26" Type="http://schemas.openxmlformats.org/officeDocument/2006/relationships/hyperlink" Target="https://www.legifrance.gouv.fr/jorf/id/JORFTEXT000033558528/" TargetMode="External"/><Relationship Id="rId39" Type="http://schemas.openxmlformats.org/officeDocument/2006/relationships/hyperlink" Target="http://documents1.worldbank.org/curated/en/129401593200074880/text/Monitoring-and-Evaluation-M-E-of-Anti-Corruption-Action-Plans.txt" TargetMode="External"/><Relationship Id="rId3" Type="http://schemas.openxmlformats.org/officeDocument/2006/relationships/hyperlink" Target="https://eap-csf.eu/wp-content/uploads/EaP-Index-2020-2021.pdf" TargetMode="External"/><Relationship Id="rId21" Type="http://schemas.openxmlformats.org/officeDocument/2006/relationships/hyperlink" Target="https://armla.am/wp-content/uploads/2022/06/%D5%80%D4%BF%D4%BF-%D5%B4%D5%B8%D5%B6%D5%AB%D5%A9%D5%B8%D6%80%D5%AB%D5%B6%D5%A3_%D5%A6%D5%A5%D5%AF%D5%B8%D6%82%D5%B5%D6%81_Final.pdf" TargetMode="External"/><Relationship Id="rId34" Type="http://schemas.openxmlformats.org/officeDocument/2006/relationships/hyperlink" Target="https://transparency.am/files/statements/1548064401-49-259867.pdf" TargetMode="External"/><Relationship Id="rId42" Type="http://schemas.openxmlformats.org/officeDocument/2006/relationships/hyperlink" Target="https://anti-corruption.gov.am/am/news_page?content.cid=137" TargetMode="External"/><Relationship Id="rId7" Type="http://schemas.openxmlformats.org/officeDocument/2006/relationships/hyperlink" Target="https://ogp.gov.am/hy/%D5%B6%D5%A1%D5%AD%D5%B8%D6%80%D5%A4/%D5%A2%D5%AF%D5%A3-%D5%B0%D5%A1%D5%B5%D5%A1%D5%BD%D5%BF%D5%A1%D5%B6%D5%B5%D5%A1%D5%B6-%D5%A3%D5%B8%D6%80%D5%AE%D5%B8%D5%B2%D5%B8%D6%82%D5%A9%D5%B5%D5%B8%D6%82%D5%B6%D5%B6%D5%A5%D6%80%D5%AB-4-%D6%80%D5%A4-%D5%AE%D6%80%D5%A1%D5%A3%D5%AB%D6%80" TargetMode="External"/><Relationship Id="rId12" Type="http://schemas.openxmlformats.org/officeDocument/2006/relationships/hyperlink" Target="https://www.crrc.am/wp-content/uploads/2022/11/Corruption-in-Armenia_Research-report_Arm.pdf" TargetMode="External"/><Relationship Id="rId17" Type="http://schemas.openxmlformats.org/officeDocument/2006/relationships/hyperlink" Target="https://www.crrc.am/research/armenia-integrity-project-public-perception-of-corruption/" TargetMode="External"/><Relationship Id="rId25" Type="http://schemas.openxmlformats.org/officeDocument/2006/relationships/hyperlink" Target="https://assets.publishing.service.gov.uk/government/uploads/system/uploads/attachment_data/file/667221/6_3323_Anti-Corruption_Strategy_WEB.pdf" TargetMode="External"/><Relationship Id="rId33" Type="http://schemas.openxmlformats.org/officeDocument/2006/relationships/hyperlink" Target="https://transparency.am/files/statements/1548064401-49-259867.pdf" TargetMode="External"/><Relationship Id="rId38" Type="http://schemas.openxmlformats.org/officeDocument/2006/relationships/hyperlink" Target="https://www.cmi.no/publications/file/4171-how-to-monitor-and-evaluate-anti-corruption.pdf" TargetMode="External"/><Relationship Id="rId46" Type="http://schemas.openxmlformats.org/officeDocument/2006/relationships/hyperlink" Target="https://www.arlis.am/DocumentView.aspx?docid=173833" TargetMode="External"/><Relationship Id="rId2" Type="http://schemas.openxmlformats.org/officeDocument/2006/relationships/hyperlink" Target="https://moj.am/storage/files/pages/pg_7967694028641_AC_M-A_Report_final_2023-compressed_1_.pdf" TargetMode="External"/><Relationship Id="rId16" Type="http://schemas.openxmlformats.org/officeDocument/2006/relationships/hyperlink" Target="https://www.oecd-ilibrary.org/governance/anti-corruption-reforms-in-armenia_e56cafa9-en" TargetMode="External"/><Relationship Id="rId20" Type="http://schemas.openxmlformats.org/officeDocument/2006/relationships/hyperlink" Target="https://www.gov.am/files/docs/4586.pdf" TargetMode="External"/><Relationship Id="rId29" Type="http://schemas.openxmlformats.org/officeDocument/2006/relationships/hyperlink" Target="https://www.state.gov/reports/2022-investment-climate-statements/armenia/" TargetMode="External"/><Relationship Id="rId41" Type="http://schemas.openxmlformats.org/officeDocument/2006/relationships/hyperlink" Target="https://anti-corruption.gov.am/am/news_page?content.cid=135" TargetMode="External"/><Relationship Id="rId1" Type="http://schemas.openxmlformats.org/officeDocument/2006/relationships/hyperlink" Target="https://www.gov.am/files/docs/4586.pdf" TargetMode="External"/><Relationship Id="rId6" Type="http://schemas.openxmlformats.org/officeDocument/2006/relationships/hyperlink" Target="https://www.unodc.org/documents/treaties/UNCAC/WorkingGroups/ImplementationReviewGroup/14-18June2021/CAC-COSP-IRG-II-3-1-ADD.3/V2102056_E.pdf" TargetMode="External"/><Relationship Id="rId11" Type="http://schemas.openxmlformats.org/officeDocument/2006/relationships/hyperlink" Target="file:///C:\Users\DELL\Downloads\Armenia_Final-Presentation_08.05.2023_Arm.pdf" TargetMode="External"/><Relationship Id="rId24" Type="http://schemas.openxmlformats.org/officeDocument/2006/relationships/hyperlink" Target="https://www.cpib.gov.sg/files/research%20room_%20Annual%20Corruption%20Stats%202020%20Press%20Release.pdf" TargetMode="External"/><Relationship Id="rId32" Type="http://schemas.openxmlformats.org/officeDocument/2006/relationships/hyperlink" Target="https://www.unodc.org/documents/southeastasiaandpacific/2013/10/corruption/Kuala_Lumpur_Statement_on_Anti-Corruption_Strategies_Final_21-22_October_2013.pdf" TargetMode="External"/><Relationship Id="rId37" Type="http://schemas.openxmlformats.org/officeDocument/2006/relationships/hyperlink" Target="http://www.anti-corruption.org/wp-content/uploads/2017/04/RBAP-DG-2014-Anti-Corruption-Strategies.pdf" TargetMode="External"/><Relationship Id="rId40" Type="http://schemas.openxmlformats.org/officeDocument/2006/relationships/hyperlink" Target="https://www.oecd.org/corruption/acn/OECD-ACN-Armenia-4th-Round-Monitoring-Report-July-2018-ENG.pdf" TargetMode="External"/><Relationship Id="rId45" Type="http://schemas.openxmlformats.org/officeDocument/2006/relationships/hyperlink" Target="https://uic.am/?s=%D5%B0%D5%A1%D5%AF%D5%A1%D5%AF%D5%B8%D5%BC%D5%B8%D6%82%D5%BA%D6%81%D5%AB%D5%B8%D5%B6+%D5%BC%D5%A1%D5%A6%D5%B4%D5%A1%D5%BE%D5%A1%D6%80%D5%B8%D6%82%D5%A9%D5%B5%D5%A1%D5%B6" TargetMode="External"/><Relationship Id="rId5" Type="http://schemas.openxmlformats.org/officeDocument/2006/relationships/hyperlink" Target="https://www.coe.int/en/web/greco/evaluations/armenia" TargetMode="External"/><Relationship Id="rId15" Type="http://schemas.openxmlformats.org/officeDocument/2006/relationships/hyperlink" Target="http://parliament.am/draft_history.php?id=13534" TargetMode="External"/><Relationship Id="rId23" Type="http://schemas.openxmlformats.org/officeDocument/2006/relationships/hyperlink" Target="https://www.e-gov.am/u_files/file/decrees/varch/2022/820_1.pdf" TargetMode="External"/><Relationship Id="rId28" Type="http://schemas.openxmlformats.org/officeDocument/2006/relationships/hyperlink" Target="https://moj.am/page/583" TargetMode="External"/><Relationship Id="rId36" Type="http://schemas.openxmlformats.org/officeDocument/2006/relationships/hyperlink" Target="http://www.anti-corruption.org/wp-content/uploads/2017/04/RBAP-DG-2014-Anti-Corruption-Strategies.pdf" TargetMode="External"/><Relationship Id="rId10" Type="http://schemas.openxmlformats.org/officeDocument/2006/relationships/hyperlink" Target="https://www.unodc.org/documents/treaties/UNCAC/WorkingGroups/ImplementationReviewGroup/14-18June2021/CAC-COSP-IRG-II-3-1-ADD.3/V2102056_E.pdf" TargetMode="External"/><Relationship Id="rId19" Type="http://schemas.openxmlformats.org/officeDocument/2006/relationships/hyperlink" Target="http://cpcarmenia.am/files/legislation/657.pdf" TargetMode="External"/><Relationship Id="rId31" Type="http://schemas.openxmlformats.org/officeDocument/2006/relationships/hyperlink" Target="https://www.unodc.org/documents/corruption/Publications/2015/National_Anti-Corruption_Strategies_-_A_Practical_Guide_for_Development_and_Implementation_E.pdf" TargetMode="External"/><Relationship Id="rId44" Type="http://schemas.openxmlformats.org/officeDocument/2006/relationships/hyperlink" Target="https://armla.am/?s=%D5%80%D5%A1%D5%AF%D5%A1%D5%AF%D5%B8%D5%BC%D5%B8%D6%82%D5%BA%D6%81%D5%AB%D5%B8%D5%B6+%D5%BC%D5%A1%D5%A6%D5%B4%D5%A1%D5%BE%D5%A1%D6%80%D5%B8%D6%82%D5%A9%D5%B5%D5%A1%D5%B6+%D6%87+%D5%A4%D6%80%D5%A1+%D5%AB%D6%80%D5%A1%D5%AF%D5%A1%D5%B6%D5%A1%D6%81%D5%B4%D5%A1%D5%B6" TargetMode="External"/><Relationship Id="rId4" Type="http://schemas.openxmlformats.org/officeDocument/2006/relationships/hyperlink" Target="https://www.oecd.org/countries/armenia/anti-corruption-reforms-in-armenia-e56cafa9-en.htm" TargetMode="External"/><Relationship Id="rId9" Type="http://schemas.openxmlformats.org/officeDocument/2006/relationships/hyperlink" Target="https://www.e-draft.am/projects/4581/about" TargetMode="External"/><Relationship Id="rId14" Type="http://schemas.openxmlformats.org/officeDocument/2006/relationships/hyperlink" Target="https://transparency.am/hy/publication/pdf/244/1351" TargetMode="External"/><Relationship Id="rId22" Type="http://schemas.openxmlformats.org/officeDocument/2006/relationships/hyperlink" Target="https://www.oecd-ilibrary.org/docserver/e56cafa9-en.pdf?expires=1659340701&amp;id=id&amp;accname=guest&amp;checksum=8CEA3B50F068FEB1AF4FBBABA2A86A44" TargetMode="External"/><Relationship Id="rId27" Type="http://schemas.openxmlformats.org/officeDocument/2006/relationships/hyperlink" Target="https://www.oecd-ilibrary.org/docserver/e56cafa9-en.pdf?expires=1659340701&amp;id=id&amp;accname=guest&amp;checksum=8CEA3B50F068FEB1AF4FBBABA2A86A44" TargetMode="External"/><Relationship Id="rId30" Type="http://schemas.openxmlformats.org/officeDocument/2006/relationships/hyperlink" Target="https://www.u4.no/publications/armenia-overview-of-corruption-and-anti-corruption" TargetMode="External"/><Relationship Id="rId35" Type="http://schemas.openxmlformats.org/officeDocument/2006/relationships/hyperlink" Target="http://rai-see.org/wp-content/uploads/2015/05/Methodology_on_Monitoring_2015.pdf" TargetMode="External"/><Relationship Id="rId43" Type="http://schemas.openxmlformats.org/officeDocument/2006/relationships/hyperlink" Target="https://armla.am/490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14D5-998D-41AB-8760-8ED28F3F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85</Pages>
  <Words>27233</Words>
  <Characters>155231</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Petrosyan</dc:creator>
  <cp:keywords/>
  <dc:description/>
  <cp:lastModifiedBy>Եփրեմ Կարապետյան</cp:lastModifiedBy>
  <cp:revision>163</cp:revision>
  <dcterms:created xsi:type="dcterms:W3CDTF">2023-06-16T16:29:00Z</dcterms:created>
  <dcterms:modified xsi:type="dcterms:W3CDTF">2023-07-13T19:05:00Z</dcterms:modified>
</cp:coreProperties>
</file>