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8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"/>
      </w:tblGrid>
      <w:tr w:rsidR="00B5322E" w:rsidRPr="00B5322E" w:rsidTr="00B5322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B5322E" w:rsidRPr="00B5322E" w:rsidRDefault="00B5322E" w:rsidP="00B5322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7"/>
                <w:szCs w:val="17"/>
              </w:rPr>
            </w:pPr>
          </w:p>
        </w:tc>
      </w:tr>
    </w:tbl>
    <w:p w:rsidR="001932DD" w:rsidRPr="007B2384" w:rsidRDefault="00B5322E" w:rsidP="00114E10">
      <w:pPr>
        <w:shd w:val="clear" w:color="auto" w:fill="FFFFFF"/>
        <w:spacing w:after="0" w:line="240" w:lineRule="auto"/>
        <w:ind w:right="115" w:firstLine="346"/>
        <w:jc w:val="right"/>
        <w:rPr>
          <w:rFonts w:ascii="GHEA Grapalat" w:hAnsi="GHEA Grapalat"/>
          <w:b/>
        </w:rPr>
      </w:pPr>
      <w:r w:rsidRPr="007B2384">
        <w:rPr>
          <w:rFonts w:ascii="Sylfaen" w:eastAsia="Times New Roman" w:hAnsi="Sylfaen" w:cs="Times New Roman"/>
          <w:b/>
          <w:color w:val="000000"/>
          <w:sz w:val="17"/>
          <w:szCs w:val="17"/>
        </w:rPr>
        <w:t> </w:t>
      </w:r>
      <w:r w:rsidR="001932DD" w:rsidRPr="007B2384">
        <w:rPr>
          <w:rFonts w:ascii="GHEA Grapalat" w:hAnsi="GHEA Grapalat"/>
          <w:b/>
          <w:lang w:val="ru-RU"/>
        </w:rPr>
        <w:t>ՆԱԽԱԳԻԾ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right="115" w:firstLine="346"/>
        <w:jc w:val="both"/>
        <w:rPr>
          <w:rFonts w:ascii="GHEA Grapalat" w:hAnsi="GHEA Grapalat"/>
        </w:rPr>
      </w:pPr>
    </w:p>
    <w:p w:rsidR="007B2384" w:rsidRPr="007B2384" w:rsidRDefault="007B2384" w:rsidP="007B2384">
      <w:pPr>
        <w:shd w:val="clear" w:color="auto" w:fill="FFFFFF"/>
        <w:spacing w:after="0" w:line="360" w:lineRule="auto"/>
        <w:ind w:right="115" w:firstLine="346"/>
        <w:jc w:val="right"/>
        <w:rPr>
          <w:rFonts w:ascii="GHEA Grapalat" w:hAnsi="GHEA Grapalat"/>
          <w:b/>
          <w:lang w:val="hy-AM"/>
        </w:rPr>
      </w:pPr>
      <w:r w:rsidRPr="007B2384">
        <w:rPr>
          <w:rFonts w:ascii="GHEA Grapalat" w:hAnsi="GHEA Grapalat"/>
          <w:b/>
          <w:lang w:val="ru-RU"/>
        </w:rPr>
        <w:t xml:space="preserve">ՀՀ կառավարության </w:t>
      </w:r>
      <w:bookmarkStart w:id="0" w:name="_GoBack"/>
      <w:bookmarkEnd w:id="0"/>
      <w:r w:rsidRPr="007B2384">
        <w:rPr>
          <w:rFonts w:ascii="GHEA Grapalat" w:hAnsi="GHEA Grapalat"/>
          <w:b/>
          <w:lang w:val="ru-RU"/>
        </w:rPr>
        <w:t>2023 թվականի</w:t>
      </w:r>
    </w:p>
    <w:p w:rsidR="001932DD" w:rsidRPr="007B2384" w:rsidRDefault="00E949F5" w:rsidP="007B2384">
      <w:pPr>
        <w:shd w:val="clear" w:color="auto" w:fill="FFFFFF"/>
        <w:spacing w:after="0" w:line="360" w:lineRule="auto"/>
        <w:ind w:right="115" w:firstLine="346"/>
        <w:jc w:val="right"/>
        <w:rPr>
          <w:rFonts w:ascii="GHEA Grapalat" w:hAnsi="GHEA Grapalat"/>
          <w:b/>
          <w:lang w:val="ru-RU"/>
        </w:rPr>
      </w:pPr>
      <w:r>
        <w:rPr>
          <w:rFonts w:ascii="Cambria Math" w:hAnsi="Cambria Math"/>
          <w:b/>
          <w:lang w:val="hy-AM"/>
        </w:rPr>
        <w:t>․․․․․</w:t>
      </w:r>
      <w:r w:rsidR="007B2384" w:rsidRPr="007B2384">
        <w:rPr>
          <w:rFonts w:ascii="GHEA Grapalat" w:hAnsi="GHEA Grapalat"/>
          <w:b/>
          <w:lang w:val="ru-RU"/>
        </w:rPr>
        <w:t>-ի</w:t>
      </w:r>
      <w:r>
        <w:rPr>
          <w:rFonts w:ascii="GHEA Grapalat" w:hAnsi="GHEA Grapalat"/>
          <w:b/>
          <w:lang w:val="ru-RU"/>
        </w:rPr>
        <w:t xml:space="preserve"> N </w:t>
      </w:r>
      <w:r>
        <w:rPr>
          <w:rFonts w:ascii="Cambria Math" w:hAnsi="Cambria Math"/>
          <w:b/>
          <w:lang w:val="hy-AM"/>
        </w:rPr>
        <w:t>․․․․․</w:t>
      </w:r>
      <w:r w:rsidR="007B2384" w:rsidRPr="007B2384">
        <w:rPr>
          <w:rFonts w:ascii="GHEA Grapalat" w:hAnsi="GHEA Grapalat"/>
          <w:b/>
          <w:lang w:val="ru-RU"/>
        </w:rPr>
        <w:t>-Լ որոշման</w:t>
      </w:r>
    </w:p>
    <w:p w:rsidR="001932DD" w:rsidRDefault="001932DD" w:rsidP="001932DD">
      <w:pPr>
        <w:shd w:val="clear" w:color="auto" w:fill="FFFFFF"/>
        <w:spacing w:after="0" w:line="240" w:lineRule="auto"/>
        <w:ind w:right="115" w:firstLine="346"/>
        <w:jc w:val="right"/>
        <w:rPr>
          <w:rFonts w:ascii="GHEA Grapalat" w:hAnsi="GHEA Grapalat"/>
        </w:rPr>
      </w:pPr>
    </w:p>
    <w:p w:rsidR="00114E10" w:rsidRPr="00114E10" w:rsidRDefault="00114E10" w:rsidP="00114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4E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ՀԱՆՐԱՊԵՏՈՒԹՅՈՒՆՈՒՄ ԹՄՐԱՄՈԼՈՒԹՅԱՆ ԵՎ ԹՄՐԱՄԻՋՈՑՆԵՐԻ ԱՊՕՐԻՆ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Ի ՇՐՋԱՆԱՌՈՒԹՅԱՆ ԴԵՄ ՊԱՅՔԱՐԻ 2024</w:t>
      </w:r>
      <w:r w:rsidRPr="00114E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ԹՎԱԿԱՆԻ ՏԱՐԵԿԱՆ ԾՐԱԳԻՐԸ</w:t>
      </w:r>
    </w:p>
    <w:p w:rsidR="00114E10" w:rsidRPr="00114E10" w:rsidRDefault="00114E10" w:rsidP="00114E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114E10" w:rsidRPr="00114E10" w:rsidRDefault="00114E10" w:rsidP="00114E1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14E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1. ԾՐԱԳՐԻ ԿԱՏԱՐՄԱՆ ՍԿԶԲՈՒՆՔՆԵՐԸ ԵՎ ՆԱԽԱՏԵՍՎԱԾ ԱՇԽԱՏԱՆՔՆԵՐԻ ԻՐԱԿԱՆԱՑՄԱՆ ԱՌԱՋՆԱՀԵՐԹՈՒԹՅՈՒՆՆԵՐԸ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1. Թմրամիջոցների տարածման դեմ պայքարի պատմությունը տևում է արդեն մեկ դարից ավելի, իսկ մասնագետներն այն համարում են 21-րդ դարի գլոբալ խնդիրներից մեկը, քանի որ դրանց չարաշահումները լուրջ վտանգ են ներկայացնում ոչ միայն անհատի, այլև ամբողջ հասարակության և պետության համար: Ավելին, թմրամիջոցների, հոգեմետ (հոգեներգործուն) նյութերի և դրանց պրեկու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րսորների ապօրինի շրջանառությունը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սպառնում է պետության անվտանգությանն ու կայունությանը, աղետալի վնասներ է հասցնում երկրի տնտեսությանը, ազգի գենոֆոնդին: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2. Հայաստանի Հանրապետության ազգային անվտանգության ռազմավարության համաձայն` թմրամիջոցների տարածումն ու տարանցումն անմիջական սպառնալիք են ներկայացնում երկրի ազգային անվտանգության համար, իսկ Հայաստանի Հանրապետության մասնակցությունն անդրազգային հանցագործությունների, այդ թվում` թմրամիջոցների տարածման դեմ միջազգային պայքարին, հանդիսանում է պետության և ժողովրդի անվտանգության ոլորտում ազգային անվտանգության ապահովմանն ուղղված գործողություն: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Հայաստանի Հանրապետության անվտանգությունն ու կայուն զարգացումը, թմրամիջոցների, հոգեմետ (հոգեներգործուն) նյութերի և դրանց պրեկուրսորների ապօրինի շրջանառության դեմ պայքարում պետական իրավասու մարմինների կարողությունների զարգացումն ու դրանց գործունեության արդյունավետության բարձրացումը, ինչպես նաև թմրամոլության և թմրամիջոցների ապօրինի շրջանառության դեմ պայքարում ներպետական և միջազգային համագործակցությունն ամրապնդելու նպատակով Հայաստանի Հանրապետության </w:t>
      </w:r>
      <w:r w:rsidR="0006106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ՆԳՆ 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ոստիկանությունը համագործակցում է բոլոր շահագրգիռ մարմինների և կազմակերպությունների հետ: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4. Նշված ոլորտում միջգերատեսչական համագործակցությունն ակտիվացնելու նպատակով անհրաժեշտ է մշակել միջոցառումների տարեկան ծրագիր, որը նպատակաուղղված կլինի կանխելու, հայտնաբերելու թմրամոլության, թմրամիջոցների, հոգեմետ նյութերի և դրանց պրեկուրսորների ապօրինի շրջանառության հետ կապված հանցագործությունները: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Բազմաթիվ երկրներում անվտանգության հիմնական սպառնալիքը մնում են միջազգային ահաբեկչությունը, ծայրահեղականությունը, թրաֆիքինգը, ինչպես նաև կազմակերպված հանցավորության այլ տեսակները, որոնց ֆինանսավորման հիմնական աղբյուրը միջազգային «սև շուկաներում» թմրամիջոցների իրացումից ստացվող եկամուտներն են: Ընդ որում, չնայած Ադրբեջանի և Թուրքիայի կողմից Հայաստանի 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Հանրապետության շրջափակմամբ պայմանավորված, հարևան երկրների հետ սահմանային հաղորդակցության սահմանափակությանը, այնուամենայնիվ, Հայաստանի աշխարհագրական դիրքը կարող է գրավիչ լինել անդրազգային կազմակերպված հանցավոր խմբերի համար ինչպես թմրամիջոցների, հոգեմետ (հոգեներգործուն) նյութերի և դրանց պրեկուրսորների` Հայաստանի Հանրապետություն ապօրինի ներկրման, այնպես էլ Հայաստանի Հանրապետության տարածքն օգտագործելով՝ դրանց տարանցիկ տեղափոխման համար: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6. Թմրամիջոցների ապօրինի շրջանառությունը միջազգային հանրության անվտանգությանն ուղղված լուրջ սպառնալիք է, որի դեմ պայքարը պահանջում է մարդկային և ֆինանսական հսկայական միջոցներ և պետությունների համատեղ ջանքեր և թմրամիջոցների ապօրինի շրջանառության հակազդումը` կապված տարբեր երկրների ակտիվ քաղաքական, տնտեսական, մշակութային ինտեգրացման հետ, մեկ երկրի, առավել ևս մեկ ծառայության շրջանակներում` հնարավոր չէ լուծել: Անհրաժեշտ է մշակել և իրականացնել կանխարգելիչ համատեղ ծրագրեր` ուղղված թմրամիջոցների պահանջարկի նվազեցմանը, որը կբերի վերջինիս առաջարկի նվազեցմանը: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7. Թմրամիջոցների ապօրինի շրջանառությունը և թմրամոլությունը, որպես տարածական և խիստ հակահասարակական ուղղվածություն ունեցող երևույթներ, համաշխարհային հանրության ուշադրության կենտրոնում են: Այնքանով, որ իրենց ծավալներով և մասշտաբներով ներառել են բոլոր աշխարհամասերը, ժողովուրդներին` անկախ վերջիններիս ազգությունից, սեռից, դավանանքից և սոցիալական պատկանելիությունից: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8. Հայաստանի Հանրապետությունում թմրամիջոցների, հոգեմետ նյութերի և դրանց պրեկուրսորների ապօրինի շրջանառության դեմ տարվող պայքարն ակտիվացնելու, դրանց հակազդման գործընթացը պատշաճ մակարդակով կազմակերպելու նպատակով 2022 թվականի ընթացքում Հայաստանի Հանրապետության շահագրգիռ գերատեսչությունների կողմից իրականացվել են մի շարք օպերատիվ-կանխարգելիչ և կազմակերպչական բնույթի միջոցառումներ, որոնք նպատակաուղղված են եղել այդ երևույթների կանխարգելմանն ու հայտնաբերմանը: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16"/>
          <w:szCs w:val="16"/>
        </w:rPr>
      </w:pPr>
      <w:r w:rsidRPr="00114E1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114E10" w:rsidRPr="00114E10" w:rsidRDefault="00114E10" w:rsidP="00114E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2. ՀԱՅԱՍՏԱՆԻ ՀԱՆՐԱՊԵՏՈՒԹՅՈՒՆՈՒՄ ԹՄՐԱՄՈԼՈՒԹՅԱՆ ԵՎ ԹՄՐԱՄԻՋՈՑՆԵՐԻ ՈՒ ՀՈԳԵՄԵՏ (ՀՈԳԵՆԵՐԳՈՐԾՈՒՆ) ՆՅՈՒԹԵՐԻ ԱՊՕՐԻՆԻ ՇՐՋԱՆԱՌՈՒԹՅԱՆ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ՎԻՃԱԿԻ</w:t>
      </w:r>
      <w:r w:rsidRPr="00114E1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, ԻՆՉՊԵՍ ՆԱԵՎ ԲՆԱԿՉՈՒԹՅԱՆ ՇՐՋԱՆՈՒՄ ԹՄՐԱՄՈԼՈՒԹՅԱՆ ՏԱՐԱԾՄԱՆ ՔԱՆԱԿԱԿԱՆ ՈՒ ՈՐԱԿԱԿԱՆ ԲՆՈՒԹԱԳԻՐԸ, ԹՄՐԱՄԻՋՈՑՆԵՐԻ, ՀՈԳԵՄԵՏ (ՀՈԳԵՆԵՐԳՈՐԾՈՒՆ) ՆՅՈՒԹԵՐԻ ԱՊՕՐԻՆԻ ՇՐՋԱՆԱՌՈՒԹՅԱՆ ՀԵՏ ԿԱՊՎԱԾ ՀԱՆՑԱՎՈՐՈՒԹՅԱՆ ԿԱՌՈՒՑՎԱԾՔԻ ԵՎ ՇԱՐԺԻ ՎԵՐԼՈՒԾՈՒԹՅՈՒՆԸ</w:t>
      </w:r>
    </w:p>
    <w:p w:rsidR="00114E10" w:rsidRPr="00114E10" w:rsidRDefault="00114E10" w:rsidP="00114E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9. Հայաստանի Հանրապետությունում թմրամիջոցների, հոգեմետ նյութերի և դրանց պրեկուրսորների ապօրինի շրջանառության դեմ պայքարն ակտիվացնելու, դրանց հակազդման գործընթացը պատշաճ մակարդակով կազմակերպելու նպատակով 202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թ. ընթացքում Հայաստանի Հանրապետության</w:t>
      </w:r>
      <w:r w:rsidR="0006106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ՆԳՆ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ոստիկանության կողմից իրականացվել են մի շարք միջոցառումներ, որոնք նպատակաուղղված են եղել այդ երևույթների կանխարգելմանն ու բացահայտմանը: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10. 202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թ. </w:t>
      </w:r>
      <w:proofErr w:type="gramStart"/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gramEnd"/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հանրապետության իրավապահ մարմինների կողմից հայտնաբերվել է թմրամիջոցների, հոգեմետ (հոգեներգործուն) նյութերի և դրանց պրեկուրսորների ապօրինի շրջանառության հետ կապված հանցագործության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2266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դեպք, 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նախորդ տարվա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1544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 դիմաց: Գրանցվել է աճ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722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դեպքով կամ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46.8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%-ով: Բացահայտման տոկոսը կազմում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27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(202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թ.`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41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11. Հանցագործության դեպքերից 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1031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-ը վերաբերել են թմրամիջոցների, հոգեմետ (հոգեներգործուն) նյութերի և դրանց պրեկուրսորների ապօրինի իրացմանը, այդպիսով՝ 202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թ. </w:t>
      </w:r>
      <w:proofErr w:type="gramStart"/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նույն</w:t>
      </w:r>
      <w:proofErr w:type="gramEnd"/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ժամանակահատվածի համեմատ գրանցվել է 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աճ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502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իրացման դեպքով կամ 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94.9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տոկոսով (202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թ.` 5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29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12. Նույն ժամանակահատվածում գրանցվել է վարչական իրավախախտումների 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363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դեպք (նախորդ տարի` 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298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): Աճը կազմել է 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65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դեպք կամ 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21.8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տոկոս: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13. Չնայած այն հանգամանքին, որ հաշվետու ժամանակահատվածում թմրանյութերի հետ կապված հանցագործությունների դեմ պայքարի ցուցանիշներն աճել են, այնուամենայնիվ, պետք է հաշվի առնել մի շարք հանգամանքներ: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14. 202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-202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թթ. </w:t>
      </w:r>
      <w:proofErr w:type="gramStart"/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ընթացքում</w:t>
      </w:r>
      <w:proofErr w:type="gramEnd"/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հայտնաբերված թմրամիջոցների հետ կապված հանցագործությունների վերլուծությունը ցույց է տալիս, որ շարունակում է բարձր մնալ այս հանցատեսակի լատենտայնությունը, և հանցավորության ամբողջական պատկերը չի արտացոլվում գրանցված հանցագործությունների քանակական ցուցանիշներում: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15. 202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-202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թթ. </w:t>
      </w:r>
      <w:proofErr w:type="gramStart"/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gramEnd"/>
      <w:r w:rsidRPr="00114E10">
        <w:rPr>
          <w:rFonts w:ascii="GHEA Grapalat" w:eastAsia="Times New Roman" w:hAnsi="GHEA Grapalat" w:cs="Times New Roman"/>
          <w:color w:val="000000"/>
          <w:sz w:val="24"/>
          <w:szCs w:val="24"/>
        </w:rPr>
        <w:t>, հոգեմետ (հոգեներգործուն) նյութերի և դրանց պրեկուրսորների ապօրինի շրջանառության հետ կապված հանցագործությունների սխեմատիկ պատկերը հետևյալն է՝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16"/>
          <w:szCs w:val="16"/>
        </w:rPr>
      </w:pPr>
      <w:r w:rsidRPr="00114E1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8412" w:type="dxa"/>
        <w:jc w:val="center"/>
        <w:tblInd w:w="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490"/>
        <w:gridCol w:w="1843"/>
        <w:gridCol w:w="1843"/>
        <w:gridCol w:w="1473"/>
      </w:tblGrid>
      <w:tr w:rsidR="00446BFE" w:rsidRPr="00494A73" w:rsidTr="00983C7D">
        <w:trPr>
          <w:jc w:val="center"/>
        </w:trPr>
        <w:tc>
          <w:tcPr>
            <w:tcW w:w="3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6BFE" w:rsidRPr="00FF1FBC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ՀՀ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քր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. 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օր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>-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ի</w:t>
            </w:r>
            <w:r w:rsidRPr="00FF1FBC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 w:cs="Arial Armenian"/>
                <w:b/>
                <w:bCs/>
                <w:iCs/>
                <w:sz w:val="22"/>
                <w:szCs w:val="22"/>
              </w:rPr>
              <w:t>հոդվածներ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2021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թ</w:t>
            </w: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2022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թ</w:t>
            </w: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. 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6BFE" w:rsidRPr="00243B4B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դեպք +/</w:t>
            </w:r>
            <w:r w:rsidRPr="00243B4B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-</w:t>
            </w:r>
          </w:p>
        </w:tc>
      </w:tr>
      <w:tr w:rsidR="00446BFE" w:rsidRPr="00494A73" w:rsidTr="00983C7D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266-274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/393-404 հհ</w:t>
            </w: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1544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2266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243B4B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+722</w:t>
            </w:r>
          </w:p>
        </w:tc>
      </w:tr>
      <w:tr w:rsidR="00446BFE" w:rsidRPr="00494A73" w:rsidTr="00983C7D">
        <w:trPr>
          <w:jc w:val="center"/>
        </w:trPr>
        <w:tc>
          <w:tcPr>
            <w:tcW w:w="325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266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/393</w:t>
            </w:r>
            <w:r w:rsidRPr="00494A73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1031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243B4B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af-ZA"/>
              </w:rPr>
              <w:t>+502</w:t>
            </w:r>
          </w:p>
        </w:tc>
      </w:tr>
      <w:tr w:rsidR="00446BFE" w:rsidRPr="00D007F9" w:rsidTr="00983C7D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right="113"/>
              <w:jc w:val="center"/>
              <w:rPr>
                <w:rFonts w:ascii="GHEA Grapalat" w:hAnsi="GHEA Grapalat"/>
                <w:b/>
                <w:bCs/>
                <w:iCs/>
                <w:lang w:val="af-ZA"/>
              </w:rPr>
            </w:pPr>
            <w:r w:rsidRPr="006832EC">
              <w:rPr>
                <w:rFonts w:ascii="GHEA Grapalat" w:hAnsi="GHEA Grapalat" w:cs="Sylfaen"/>
                <w:b/>
                <w:bCs/>
                <w:iCs/>
                <w:shd w:val="pct5" w:color="000000" w:fill="FFFFFF"/>
              </w:rPr>
              <w:t>Այդ</w:t>
            </w:r>
            <w:r w:rsidRPr="006832EC">
              <w:rPr>
                <w:rFonts w:ascii="GHEA Grapalat" w:hAnsi="GHEA Grapalat" w:cs="Sylfaen"/>
                <w:b/>
                <w:bCs/>
                <w:iCs/>
                <w:shd w:val="pct5" w:color="000000" w:fill="FFFFFF"/>
                <w:lang w:val="af-ZA"/>
              </w:rPr>
              <w:t xml:space="preserve"> </w:t>
            </w:r>
            <w:r w:rsidRPr="006832EC">
              <w:rPr>
                <w:rFonts w:ascii="GHEA Grapalat" w:hAnsi="GHEA Grapalat" w:cs="Sylfaen"/>
                <w:b/>
                <w:bCs/>
                <w:iCs/>
                <w:shd w:val="pct5" w:color="000000" w:fill="FFFFFF"/>
              </w:rPr>
              <w:t>թվում՝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>266</w:t>
            </w:r>
            <w:r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>/393հ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1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և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2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մասեր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918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243B4B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af-ZA"/>
              </w:rPr>
              <w:t>+484</w:t>
            </w:r>
          </w:p>
        </w:tc>
      </w:tr>
      <w:tr w:rsidR="00446BFE" w:rsidRPr="00D007F9" w:rsidTr="00983C7D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494A73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>266</w:t>
            </w:r>
            <w:r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>/393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ոդ.</w:t>
            </w:r>
            <w:r w:rsidRPr="00494A73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3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մաս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106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+16</w:t>
            </w:r>
          </w:p>
        </w:tc>
      </w:tr>
      <w:tr w:rsidR="00446BFE" w:rsidRPr="00D007F9" w:rsidTr="00983C7D">
        <w:trPr>
          <w:cantSplit/>
          <w:trHeight w:val="209"/>
          <w:jc w:val="center"/>
        </w:trPr>
        <w:tc>
          <w:tcPr>
            <w:tcW w:w="76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266 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հ</w:t>
            </w:r>
            <w:r w:rsidRPr="00D007F9">
              <w:rPr>
                <w:rFonts w:ascii="GHEA Grapalat" w:hAnsi="GHEA Grapalat"/>
                <w:bCs/>
                <w:iCs/>
                <w:sz w:val="22"/>
                <w:szCs w:val="22"/>
                <w:lang w:val="af-ZA"/>
              </w:rPr>
              <w:t xml:space="preserve"> 4 </w:t>
            </w:r>
            <w:r w:rsidRPr="00773797">
              <w:rPr>
                <w:rFonts w:ascii="GHEA Grapalat" w:hAnsi="GHEA Grapalat"/>
                <w:bCs/>
                <w:iCs/>
                <w:sz w:val="22"/>
                <w:szCs w:val="22"/>
              </w:rPr>
              <w:t>մաս</w:t>
            </w:r>
            <w:r>
              <w:rPr>
                <w:rFonts w:ascii="GHEA Grapalat" w:hAnsi="GHEA Grapalat"/>
                <w:bCs/>
                <w:iCs/>
                <w:sz w:val="22"/>
                <w:szCs w:val="22"/>
              </w:rPr>
              <w:t>/394 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>+2</w:t>
            </w:r>
          </w:p>
        </w:tc>
      </w:tr>
      <w:tr w:rsidR="00446BFE" w:rsidRPr="00D007F9" w:rsidTr="00983C7D">
        <w:trPr>
          <w:cantSplit/>
          <w:trHeight w:val="209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267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/395 հոդված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-2</w:t>
            </w:r>
          </w:p>
        </w:tc>
      </w:tr>
      <w:tr w:rsidR="00446BFE" w:rsidRPr="00D007F9" w:rsidTr="00983C7D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267.1/399 </w:t>
            </w:r>
            <w:r w:rsidRPr="004B1B15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ված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386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-34</w:t>
            </w:r>
          </w:p>
        </w:tc>
      </w:tr>
      <w:tr w:rsidR="00446BFE" w:rsidRPr="00D007F9" w:rsidTr="00983C7D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268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/396</w:t>
            </w: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ոդված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686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+241</w:t>
            </w:r>
          </w:p>
        </w:tc>
      </w:tr>
      <w:tr w:rsidR="00446BFE" w:rsidRPr="00D007F9" w:rsidTr="00983C7D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269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/397-398</w:t>
            </w: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-3</w:t>
            </w:r>
          </w:p>
        </w:tc>
      </w:tr>
      <w:tr w:rsidR="00446BFE" w:rsidRPr="00D007F9" w:rsidTr="00983C7D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270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/401</w:t>
            </w: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ոդված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  <w:lang w:val="af-ZA"/>
              </w:rPr>
            </w:pPr>
            <w:r>
              <w:rPr>
                <w:rFonts w:ascii="GHEA Grapalat" w:hAnsi="GHEA Grapalat" w:cs="Arial"/>
                <w:b/>
                <w:lang w:val="af-ZA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ing1"/>
              <w:spacing w:line="276" w:lineRule="auto"/>
              <w:ind w:firstLine="0"/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af-ZA"/>
              </w:rPr>
              <w:t>-</w:t>
            </w:r>
          </w:p>
        </w:tc>
      </w:tr>
      <w:tr w:rsidR="00446BFE" w:rsidRPr="00773797" w:rsidTr="00983C7D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D007F9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</w:pP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272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>/402</w:t>
            </w:r>
            <w:r w:rsidRPr="00D007F9">
              <w:rPr>
                <w:rFonts w:ascii="GHEA Grapalat" w:hAnsi="GHEA Grapalat"/>
                <w:b/>
                <w:bCs/>
                <w:iCs/>
                <w:sz w:val="22"/>
                <w:szCs w:val="22"/>
                <w:lang w:val="af-ZA"/>
              </w:rPr>
              <w:t xml:space="preserve"> </w:t>
            </w: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ոդված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B178C3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B178C3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243B4B" w:rsidRDefault="00446BFE" w:rsidP="00983C7D">
            <w:pPr>
              <w:pStyle w:val="Heading1"/>
              <w:spacing w:line="276" w:lineRule="auto"/>
              <w:ind w:firstLine="0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-1</w:t>
            </w:r>
          </w:p>
        </w:tc>
      </w:tr>
      <w:tr w:rsidR="00446BFE" w:rsidRPr="00773797" w:rsidTr="00983C7D">
        <w:trPr>
          <w:cantSplit/>
          <w:trHeight w:val="314"/>
          <w:jc w:val="center"/>
        </w:trPr>
        <w:tc>
          <w:tcPr>
            <w:tcW w:w="7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46BFE" w:rsidRPr="00773797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773797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273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/404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 xml:space="preserve"> հ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ոդված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B178C3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B178C3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158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E" w:rsidRPr="00243B4B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+19</w:t>
            </w:r>
          </w:p>
        </w:tc>
      </w:tr>
      <w:tr w:rsidR="00446BFE" w:rsidRPr="00773797" w:rsidTr="00983C7D">
        <w:trPr>
          <w:cantSplit/>
          <w:jc w:val="center"/>
        </w:trPr>
        <w:tc>
          <w:tcPr>
            <w:tcW w:w="7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46BFE" w:rsidRPr="00773797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46BFE" w:rsidRPr="00773797" w:rsidRDefault="00446BFE" w:rsidP="00983C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</w:pP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274</w:t>
            </w:r>
            <w:r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>/403</w:t>
            </w:r>
            <w:r w:rsidRPr="00773797">
              <w:rPr>
                <w:rFonts w:ascii="GHEA Grapalat" w:hAnsi="GHEA Grapalat"/>
                <w:b/>
                <w:bCs/>
                <w:iCs/>
                <w:sz w:val="22"/>
                <w:szCs w:val="22"/>
              </w:rPr>
              <w:t xml:space="preserve"> </w:t>
            </w:r>
            <w:r w:rsidRPr="00773797"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հ</w:t>
            </w:r>
            <w:r>
              <w:rPr>
                <w:rFonts w:ascii="GHEA Grapalat" w:hAnsi="GHEA Grapalat" w:cs="Sylfaen"/>
                <w:b/>
                <w:bCs/>
                <w:iCs/>
                <w:sz w:val="22"/>
                <w:szCs w:val="22"/>
              </w:rPr>
              <w:t>ոդված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46BFE" w:rsidRPr="00B178C3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46BFE" w:rsidRPr="00B178C3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446BFE" w:rsidRPr="00243B4B" w:rsidRDefault="00446BFE" w:rsidP="00983C7D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-</w:t>
            </w:r>
          </w:p>
        </w:tc>
      </w:tr>
    </w:tbl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16"/>
          <w:szCs w:val="16"/>
        </w:rPr>
      </w:pPr>
      <w:r w:rsidRPr="00114E1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446BFE" w:rsidRPr="0002185B" w:rsidRDefault="00114E10" w:rsidP="00446BFE">
      <w:pPr>
        <w:spacing w:after="0" w:line="240" w:lineRule="auto"/>
        <w:ind w:firstLine="288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16. </w:t>
      </w:r>
      <w:r w:rsidR="00446BFE" w:rsidRPr="00654131">
        <w:rPr>
          <w:rFonts w:ascii="GHEA Grapalat" w:hAnsi="GHEA Grapalat"/>
          <w:sz w:val="24"/>
          <w:szCs w:val="24"/>
        </w:rPr>
        <w:t>Նշված</w:t>
      </w:r>
      <w:r w:rsidR="00446BFE" w:rsidRPr="00654131">
        <w:rPr>
          <w:rFonts w:ascii="GHEA Grapalat" w:hAnsi="GHEA Grapalat"/>
          <w:sz w:val="24"/>
          <w:szCs w:val="24"/>
          <w:lang w:val="af-ZA"/>
        </w:rPr>
        <w:t xml:space="preserve"> </w:t>
      </w:r>
      <w:r w:rsidR="00446BFE" w:rsidRPr="00654131">
        <w:rPr>
          <w:rFonts w:ascii="GHEA Grapalat" w:hAnsi="GHEA Grapalat"/>
          <w:sz w:val="24"/>
          <w:szCs w:val="24"/>
        </w:rPr>
        <w:t>դեպքերից</w:t>
      </w:r>
      <w:r w:rsidR="00446BFE" w:rsidRPr="00654131">
        <w:rPr>
          <w:rFonts w:ascii="GHEA Grapalat" w:hAnsi="GHEA Grapalat"/>
          <w:sz w:val="24"/>
          <w:szCs w:val="24"/>
          <w:lang w:val="af-ZA"/>
        </w:rPr>
        <w:t xml:space="preserve"> </w:t>
      </w:r>
      <w:r w:rsidR="00446BFE" w:rsidRPr="0056016C">
        <w:rPr>
          <w:rFonts w:ascii="GHEA Grapalat" w:hAnsi="GHEA Grapalat"/>
          <w:sz w:val="24"/>
          <w:szCs w:val="24"/>
        </w:rPr>
        <w:t>չբացահայտված</w:t>
      </w:r>
      <w:r w:rsidR="00446BFE" w:rsidRPr="0056016C">
        <w:rPr>
          <w:rFonts w:ascii="GHEA Grapalat" w:hAnsi="GHEA Grapalat"/>
          <w:sz w:val="24"/>
          <w:szCs w:val="24"/>
          <w:lang w:val="af-ZA"/>
        </w:rPr>
        <w:t xml:space="preserve"> </w:t>
      </w:r>
      <w:r w:rsidR="00446BFE" w:rsidRPr="0056016C">
        <w:rPr>
          <w:rFonts w:ascii="GHEA Grapalat" w:hAnsi="GHEA Grapalat"/>
          <w:sz w:val="24"/>
          <w:szCs w:val="24"/>
        </w:rPr>
        <w:t>են</w:t>
      </w:r>
      <w:r w:rsidR="00446BFE" w:rsidRPr="0056016C">
        <w:rPr>
          <w:rFonts w:ascii="GHEA Grapalat" w:hAnsi="GHEA Grapalat"/>
          <w:sz w:val="24"/>
          <w:szCs w:val="24"/>
          <w:lang w:val="af-ZA"/>
        </w:rPr>
        <w:t xml:space="preserve"> </w:t>
      </w:r>
      <w:r w:rsidR="00446BFE" w:rsidRPr="0056016C">
        <w:rPr>
          <w:rFonts w:ascii="GHEA Grapalat" w:hAnsi="GHEA Grapalat"/>
          <w:sz w:val="24"/>
          <w:szCs w:val="24"/>
        </w:rPr>
        <w:t>մնացել</w:t>
      </w:r>
      <w:r w:rsidR="00446BFE" w:rsidRPr="0056016C">
        <w:rPr>
          <w:rFonts w:ascii="GHEA Grapalat" w:hAnsi="GHEA Grapalat"/>
          <w:sz w:val="24"/>
          <w:szCs w:val="24"/>
          <w:lang w:val="af-ZA"/>
        </w:rPr>
        <w:t xml:space="preserve"> 221-</w:t>
      </w:r>
      <w:r w:rsidR="00446BFE" w:rsidRPr="0056016C">
        <w:rPr>
          <w:rFonts w:ascii="GHEA Grapalat" w:hAnsi="GHEA Grapalat"/>
          <w:sz w:val="24"/>
          <w:szCs w:val="24"/>
        </w:rPr>
        <w:t>ը</w:t>
      </w:r>
      <w:r w:rsidR="00446BFE" w:rsidRPr="0056016C">
        <w:rPr>
          <w:rFonts w:ascii="GHEA Grapalat" w:hAnsi="GHEA Grapalat"/>
          <w:sz w:val="24"/>
          <w:szCs w:val="24"/>
          <w:lang w:val="af-ZA"/>
        </w:rPr>
        <w:t xml:space="preserve"> /2021թ</w:t>
      </w:r>
      <w:proofErr w:type="gramStart"/>
      <w:r w:rsidR="00446BFE" w:rsidRPr="0056016C">
        <w:rPr>
          <w:rFonts w:ascii="GHEA Grapalat" w:hAnsi="GHEA Grapalat"/>
          <w:sz w:val="24"/>
          <w:szCs w:val="24"/>
          <w:lang w:val="af-ZA"/>
        </w:rPr>
        <w:t>.`</w:t>
      </w:r>
      <w:proofErr w:type="gramEnd"/>
      <w:r w:rsidR="00446BFE" w:rsidRPr="0056016C">
        <w:rPr>
          <w:rFonts w:ascii="GHEA Grapalat" w:hAnsi="GHEA Grapalat"/>
          <w:sz w:val="24"/>
          <w:szCs w:val="24"/>
          <w:lang w:val="af-ZA"/>
        </w:rPr>
        <w:t xml:space="preserve"> 555/, </w:t>
      </w:r>
      <w:r w:rsidR="00446BFE" w:rsidRPr="0056016C">
        <w:rPr>
          <w:rFonts w:ascii="GHEA Grapalat" w:hAnsi="GHEA Grapalat"/>
          <w:sz w:val="24"/>
          <w:szCs w:val="24"/>
        </w:rPr>
        <w:t>որից</w:t>
      </w:r>
      <w:r w:rsidR="00446BFE" w:rsidRPr="0056016C">
        <w:rPr>
          <w:rFonts w:ascii="GHEA Grapalat" w:hAnsi="GHEA Grapalat"/>
          <w:sz w:val="24"/>
          <w:szCs w:val="24"/>
          <w:lang w:val="af-ZA"/>
        </w:rPr>
        <w:t xml:space="preserve"> 153-</w:t>
      </w:r>
      <w:r w:rsidR="00446BFE" w:rsidRPr="0056016C">
        <w:rPr>
          <w:rFonts w:ascii="GHEA Grapalat" w:hAnsi="GHEA Grapalat"/>
          <w:sz w:val="24"/>
          <w:szCs w:val="24"/>
        </w:rPr>
        <w:t>ը</w:t>
      </w:r>
      <w:r w:rsidR="00446BFE" w:rsidRPr="0056016C">
        <w:rPr>
          <w:rFonts w:ascii="GHEA Grapalat" w:hAnsi="GHEA Grapalat"/>
          <w:sz w:val="24"/>
          <w:szCs w:val="24"/>
          <w:lang w:val="af-ZA"/>
        </w:rPr>
        <w:t xml:space="preserve">` </w:t>
      </w:r>
      <w:r w:rsidR="00446BFE" w:rsidRPr="0056016C">
        <w:rPr>
          <w:rFonts w:ascii="GHEA Grapalat" w:hAnsi="GHEA Grapalat"/>
          <w:sz w:val="24"/>
          <w:szCs w:val="24"/>
        </w:rPr>
        <w:t>իրացման դեպքեր են, 63-ը՝ մաքսանենգության,</w:t>
      </w:r>
      <w:r w:rsidR="00446BFE" w:rsidRPr="0056016C">
        <w:rPr>
          <w:rFonts w:ascii="GHEA Grapalat" w:hAnsi="GHEA Grapalat"/>
          <w:sz w:val="24"/>
          <w:szCs w:val="24"/>
          <w:lang w:val="af-ZA"/>
        </w:rPr>
        <w:t xml:space="preserve"> 4-</w:t>
      </w:r>
      <w:r w:rsidR="00446BFE" w:rsidRPr="0056016C">
        <w:rPr>
          <w:rFonts w:ascii="GHEA Grapalat" w:hAnsi="GHEA Grapalat"/>
          <w:sz w:val="24"/>
          <w:szCs w:val="24"/>
        </w:rPr>
        <w:t>ը</w:t>
      </w:r>
      <w:r w:rsidR="00446BFE" w:rsidRPr="0056016C">
        <w:rPr>
          <w:rFonts w:ascii="GHEA Grapalat" w:hAnsi="GHEA Grapalat"/>
          <w:sz w:val="24"/>
          <w:szCs w:val="24"/>
          <w:lang w:val="af-ZA"/>
        </w:rPr>
        <w:t xml:space="preserve">` առանց իրացման նպատակի թմրամիջոցներ պահելու, իսկ մնացածը՝ այլ հոդվածների </w:t>
      </w:r>
      <w:r w:rsidR="00446BFE" w:rsidRPr="0056016C">
        <w:rPr>
          <w:rFonts w:ascii="GHEA Grapalat" w:hAnsi="GHEA Grapalat"/>
          <w:sz w:val="24"/>
          <w:szCs w:val="24"/>
        </w:rPr>
        <w:t>հատկանիշներով</w:t>
      </w:r>
      <w:r w:rsidR="00446BFE" w:rsidRPr="0002185B">
        <w:rPr>
          <w:rFonts w:ascii="GHEA Grapalat" w:hAnsi="GHEA Grapalat"/>
          <w:sz w:val="24"/>
          <w:szCs w:val="24"/>
          <w:lang w:val="af-ZA"/>
        </w:rPr>
        <w:t>:</w:t>
      </w:r>
    </w:p>
    <w:p w:rsidR="00114E10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17. 202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-202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թթ.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, հոգեմետ (հոգեներգործուն) նյութերի և դրանց պրեկուրսորների ապօրինի շրջանառության հետ կապված հանցագործություններով պատասխանատվության ենթարկված անձանց սխեմատիկ պատկերը հետևյալն է՝</w:t>
      </w:r>
    </w:p>
    <w:p w:rsidR="00446BFE" w:rsidRDefault="00446BFE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446BFE" w:rsidRDefault="00446BFE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446BFE" w:rsidRDefault="00446BFE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446BFE" w:rsidRPr="004B4E2D" w:rsidRDefault="00446BFE" w:rsidP="00446BFE">
      <w:pPr>
        <w:pStyle w:val="Header"/>
        <w:tabs>
          <w:tab w:val="clear" w:pos="4320"/>
          <w:tab w:val="clear" w:pos="8640"/>
          <w:tab w:val="center" w:pos="5321"/>
        </w:tabs>
        <w:spacing w:line="276" w:lineRule="auto"/>
        <w:ind w:firstLine="720"/>
        <w:jc w:val="both"/>
        <w:rPr>
          <w:rFonts w:ascii="Sylfaen" w:hAnsi="Sylfaen"/>
          <w:bCs/>
          <w:iCs/>
          <w:sz w:val="22"/>
          <w:szCs w:val="22"/>
          <w:lang w:val="af-ZA"/>
        </w:rPr>
      </w:pPr>
      <w:r w:rsidRPr="00627BC5">
        <w:rPr>
          <w:rFonts w:ascii="Sylfaen" w:hAnsi="Sylfaen"/>
          <w:bCs/>
          <w:iCs/>
          <w:sz w:val="22"/>
          <w:szCs w:val="22"/>
          <w:lang w:val="af-ZA"/>
        </w:rPr>
        <w:t xml:space="preserve">                                                                        </w:t>
      </w:r>
      <w:r w:rsidRPr="008F639D">
        <w:rPr>
          <w:rFonts w:ascii="Sylfaen" w:hAnsi="Sylfaen"/>
          <w:bCs/>
          <w:iCs/>
          <w:sz w:val="22"/>
          <w:szCs w:val="22"/>
          <w:lang w:val="af-ZA"/>
        </w:rPr>
        <w:t xml:space="preserve">   </w:t>
      </w:r>
      <w:r w:rsidRPr="00627BC5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 w:rsidRPr="008F639D">
        <w:rPr>
          <w:rFonts w:ascii="Sylfaen" w:hAnsi="Sylfaen"/>
          <w:bCs/>
          <w:iCs/>
          <w:sz w:val="22"/>
          <w:szCs w:val="22"/>
          <w:lang w:val="af-ZA"/>
        </w:rPr>
        <w:t xml:space="preserve">      </w:t>
      </w:r>
      <w:r>
        <w:rPr>
          <w:rFonts w:ascii="Sylfaen" w:hAnsi="Sylfaen"/>
          <w:bCs/>
          <w:iCs/>
          <w:sz w:val="22"/>
          <w:szCs w:val="22"/>
          <w:lang w:val="af-ZA"/>
        </w:rPr>
        <w:tab/>
      </w:r>
      <w:r>
        <w:rPr>
          <w:rFonts w:ascii="Sylfaen" w:hAnsi="Sylfaen"/>
          <w:bCs/>
          <w:iCs/>
          <w:sz w:val="22"/>
          <w:szCs w:val="22"/>
          <w:lang w:val="af-ZA"/>
        </w:rPr>
        <w:tab/>
      </w:r>
      <w:r w:rsidRPr="008F639D">
        <w:rPr>
          <w:rFonts w:ascii="Sylfaen" w:hAnsi="Sylfaen"/>
          <w:bCs/>
          <w:iCs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bCs/>
          <w:iCs/>
          <w:sz w:val="22"/>
          <w:szCs w:val="22"/>
          <w:lang w:val="af-ZA"/>
        </w:rPr>
        <w:t>2021</w:t>
      </w:r>
      <w:r w:rsidRPr="00BF2DE4">
        <w:rPr>
          <w:rFonts w:ascii="Sylfaen" w:hAnsi="Sylfaen" w:cs="Sylfaen"/>
          <w:b/>
          <w:bCs/>
          <w:iCs/>
          <w:sz w:val="22"/>
          <w:szCs w:val="22"/>
        </w:rPr>
        <w:t>թ</w:t>
      </w:r>
      <w:r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 </w:t>
      </w:r>
      <w:r w:rsidRPr="004B4E2D">
        <w:rPr>
          <w:rFonts w:ascii="Sylfaen" w:hAnsi="Sylfaen" w:cs="Sylfaen"/>
          <w:b/>
          <w:bCs/>
          <w:iCs/>
          <w:sz w:val="22"/>
          <w:szCs w:val="22"/>
          <w:lang w:val="af-ZA"/>
        </w:rPr>
        <w:t xml:space="preserve">              </w:t>
      </w:r>
      <w:r>
        <w:rPr>
          <w:rFonts w:ascii="Sylfaen" w:hAnsi="Sylfaen" w:cs="Sylfaen"/>
          <w:b/>
          <w:bCs/>
          <w:iCs/>
          <w:sz w:val="22"/>
          <w:szCs w:val="22"/>
          <w:lang w:val="af-ZA"/>
        </w:rPr>
        <w:tab/>
      </w:r>
      <w:r w:rsidRPr="004B4E2D">
        <w:rPr>
          <w:rFonts w:ascii="Sylfaen" w:hAnsi="Sylfaen" w:cs="Sylfaen"/>
          <w:b/>
          <w:bCs/>
          <w:iCs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bCs/>
          <w:iCs/>
          <w:sz w:val="22"/>
          <w:szCs w:val="22"/>
          <w:lang w:val="af-ZA"/>
        </w:rPr>
        <w:t>2022</w:t>
      </w:r>
      <w:r w:rsidRPr="00BF2DE4">
        <w:rPr>
          <w:rFonts w:ascii="Sylfaen" w:hAnsi="Sylfaen" w:cs="Sylfaen"/>
          <w:b/>
          <w:bCs/>
          <w:iCs/>
          <w:sz w:val="22"/>
          <w:szCs w:val="22"/>
        </w:rPr>
        <w:t>թ</w:t>
      </w:r>
      <w:r>
        <w:rPr>
          <w:rFonts w:ascii="Sylfaen" w:hAnsi="Sylfaen" w:cs="Arial Armenian"/>
          <w:b/>
          <w:bCs/>
          <w:iCs/>
          <w:sz w:val="22"/>
          <w:szCs w:val="22"/>
          <w:lang w:val="af-ZA"/>
        </w:rPr>
        <w:t xml:space="preserve">. </w:t>
      </w:r>
      <w:r w:rsidRPr="004B4E2D">
        <w:rPr>
          <w:rFonts w:ascii="Sylfaen" w:hAnsi="Sylfaen"/>
          <w:b/>
          <w:bCs/>
          <w:iCs/>
          <w:sz w:val="22"/>
          <w:szCs w:val="22"/>
          <w:lang w:val="af-ZA"/>
        </w:rPr>
        <w:tab/>
      </w:r>
    </w:p>
    <w:tbl>
      <w:tblPr>
        <w:tblW w:w="9102" w:type="dxa"/>
        <w:jc w:val="center"/>
        <w:tblInd w:w="-850" w:type="dxa"/>
        <w:tblLook w:val="0000" w:firstRow="0" w:lastRow="0" w:firstColumn="0" w:lastColumn="0" w:noHBand="0" w:noVBand="0"/>
      </w:tblPr>
      <w:tblGrid>
        <w:gridCol w:w="1019"/>
        <w:gridCol w:w="3313"/>
        <w:gridCol w:w="1226"/>
        <w:gridCol w:w="1354"/>
        <w:gridCol w:w="1110"/>
        <w:gridCol w:w="1080"/>
      </w:tblGrid>
      <w:tr w:rsidR="00446BFE" w:rsidRPr="00C5579F" w:rsidTr="00983C7D">
        <w:trPr>
          <w:trHeight w:val="300"/>
          <w:jc w:val="center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Sylfaen"/>
                <w:lang w:val="ru-RU" w:eastAsia="ru-RU"/>
              </w:rPr>
              <w:t>անձին</w:t>
            </w:r>
            <w:r w:rsidRPr="00C5579F"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Sylfaen"/>
                <w:lang w:val="ru-RU" w:eastAsia="ru-RU"/>
              </w:rPr>
              <w:t>տոկոս</w:t>
            </w:r>
            <w:r w:rsidRPr="00C5579F">
              <w:rPr>
                <w:rFonts w:ascii="Sylfaen" w:hAnsi="Sylfaen" w:cs="Arial"/>
                <w:lang w:val="ru-RU" w:eastAsia="ru-RU"/>
              </w:rPr>
              <w:t>ը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Sylfaen"/>
                <w:lang w:val="ru-RU" w:eastAsia="ru-RU"/>
              </w:rPr>
              <w:t>անձին</w:t>
            </w:r>
            <w:r w:rsidRPr="00C5579F">
              <w:rPr>
                <w:rFonts w:ascii="Sylfaen" w:hAnsi="Sylfaen" w:cs="Arial"/>
                <w:lang w:val="ru-RU" w:eastAsia="ru-RU"/>
              </w:rPr>
              <w:t>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Sylfaen"/>
                <w:lang w:val="ru-RU" w:eastAsia="ru-RU"/>
              </w:rPr>
              <w:t>տոկոս</w:t>
            </w:r>
            <w:r w:rsidRPr="00C5579F">
              <w:rPr>
                <w:rFonts w:ascii="Sylfaen" w:hAnsi="Sylfaen" w:cs="Arial"/>
                <w:lang w:val="ru-RU" w:eastAsia="ru-RU"/>
              </w:rPr>
              <w:t>ը</w:t>
            </w:r>
          </w:p>
        </w:tc>
      </w:tr>
      <w:tr w:rsidR="00446BFE" w:rsidRPr="00C5579F" w:rsidTr="00983C7D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b/>
                <w:i/>
                <w:lang w:val="af-ZA" w:eastAsia="ru-RU"/>
              </w:rPr>
            </w:pPr>
            <w:r w:rsidRPr="00C5579F">
              <w:rPr>
                <w:rFonts w:ascii="Sylfaen" w:hAnsi="Sylfaen" w:cs="Sylfaen"/>
                <w:b/>
                <w:i/>
                <w:lang w:val="ru-RU" w:eastAsia="ru-RU"/>
              </w:rPr>
              <w:t>Ընդամեն</w:t>
            </w:r>
            <w:r w:rsidRPr="00C5579F">
              <w:rPr>
                <w:rFonts w:ascii="Sylfaen" w:hAnsi="Sylfaen" w:cs="Arial"/>
                <w:b/>
                <w:i/>
                <w:lang w:val="ru-RU" w:eastAsia="ru-RU"/>
              </w:rPr>
              <w:t>ը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>
              <w:rPr>
                <w:rFonts w:ascii="Sylfaen" w:hAnsi="Sylfaen" w:cs="Arial"/>
                <w:b/>
                <w:lang w:val="af-ZA" w:eastAsia="ru-RU"/>
              </w:rPr>
              <w:t>595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>
              <w:rPr>
                <w:rFonts w:ascii="Sylfaen" w:hAnsi="Sylfaen" w:cs="Arial"/>
                <w:b/>
                <w:lang w:val="af-ZA" w:eastAsia="ru-RU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t>X</w:t>
            </w:r>
          </w:p>
        </w:tc>
      </w:tr>
      <w:tr w:rsidR="00446BFE" w:rsidRPr="00C5579F" w:rsidTr="00983C7D">
        <w:trPr>
          <w:trHeight w:val="300"/>
          <w:jc w:val="center"/>
        </w:trPr>
        <w:tc>
          <w:tcPr>
            <w:tcW w:w="1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46BFE" w:rsidRPr="00C5579F" w:rsidRDefault="00446BFE" w:rsidP="00983C7D">
            <w:pPr>
              <w:ind w:left="113" w:right="113"/>
              <w:jc w:val="center"/>
              <w:rPr>
                <w:rFonts w:ascii="Sylfaen" w:hAnsi="Sylfaen" w:cs="Arial"/>
                <w:b/>
                <w:lang w:val="af-ZA" w:eastAsia="ru-RU"/>
              </w:rPr>
            </w:pPr>
            <w:r w:rsidRPr="00C5579F">
              <w:rPr>
                <w:rFonts w:ascii="Sylfaen" w:hAnsi="Sylfaen" w:cs="Arial"/>
                <w:b/>
                <w:lang w:eastAsia="ru-RU"/>
              </w:rPr>
              <w:t>Այդ</w:t>
            </w:r>
            <w:r w:rsidRPr="00C5579F">
              <w:rPr>
                <w:rFonts w:ascii="Sylfaen" w:hAnsi="Sylfaen" w:cs="Arial"/>
                <w:b/>
                <w:lang w:val="af-ZA" w:eastAsia="ru-RU"/>
              </w:rPr>
              <w:t xml:space="preserve"> </w:t>
            </w:r>
            <w:r w:rsidRPr="00C5579F">
              <w:rPr>
                <w:rFonts w:ascii="Sylfaen" w:hAnsi="Sylfaen" w:cs="Arial"/>
                <w:b/>
                <w:lang w:eastAsia="ru-RU"/>
              </w:rPr>
              <w:t>թվում՝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 w:rsidRPr="00C5579F">
              <w:rPr>
                <w:rFonts w:ascii="Sylfaen" w:hAnsi="Sylfaen" w:cs="Sylfaen"/>
                <w:i/>
                <w:lang w:val="ru-RU" w:eastAsia="ru-RU"/>
              </w:rPr>
              <w:t>կի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t>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t>4.9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4.3</w:t>
            </w:r>
          </w:p>
        </w:tc>
      </w:tr>
      <w:tr w:rsidR="00446BFE" w:rsidRPr="00C5579F" w:rsidTr="00983C7D">
        <w:trPr>
          <w:trHeight w:val="300"/>
          <w:jc w:val="center"/>
        </w:trPr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  <w:r w:rsidRPr="00C5579F">
              <w:rPr>
                <w:rFonts w:ascii="Sylfaen" w:hAnsi="Sylfaen" w:cs="Sylfaen"/>
                <w:i/>
                <w:lang w:val="ru-RU" w:eastAsia="ru-RU"/>
              </w:rPr>
              <w:t>Օտարերկրաց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ի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 w:rsidRPr="00C5579F">
              <w:rPr>
                <w:rFonts w:ascii="Sylfaen" w:hAnsi="Sylfaen" w:cs="Arial"/>
                <w:lang w:val="af-ZA" w:eastAsia="ru-RU"/>
              </w:rPr>
              <w:t>3.5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val="af-ZA" w:eastAsia="ru-RU"/>
              </w:rPr>
            </w:pPr>
            <w:r>
              <w:rPr>
                <w:rFonts w:ascii="Sylfaen" w:hAnsi="Sylfaen" w:cs="Arial"/>
                <w:lang w:val="af-ZA" w:eastAsia="ru-RU"/>
              </w:rPr>
              <w:t>4.2</w:t>
            </w:r>
          </w:p>
        </w:tc>
      </w:tr>
      <w:tr w:rsidR="00446BFE" w:rsidRPr="00C5579F" w:rsidTr="00983C7D">
        <w:trPr>
          <w:trHeight w:val="300"/>
          <w:jc w:val="center"/>
        </w:trPr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i/>
                <w:lang w:val="af-ZA" w:eastAsia="ru-RU"/>
              </w:rPr>
            </w:pP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BFE" w:rsidRPr="00C5579F" w:rsidRDefault="00446BFE" w:rsidP="00983C7D">
            <w:pPr>
              <w:rPr>
                <w:rFonts w:ascii="Sylfaen" w:hAnsi="Sylfaen" w:cs="Arial"/>
                <w:i/>
                <w:lang w:eastAsia="ru-RU"/>
              </w:rPr>
            </w:pPr>
            <w:r w:rsidRPr="00C5579F">
              <w:rPr>
                <w:rFonts w:ascii="Sylfaen" w:hAnsi="Sylfaen" w:cs="Arial"/>
                <w:i/>
                <w:lang w:eastAsia="ru-RU"/>
              </w:rPr>
              <w:t>Նախկինում</w:t>
            </w:r>
            <w:r w:rsidRPr="00C5579F">
              <w:rPr>
                <w:rFonts w:ascii="Sylfaen" w:hAnsi="Sylfaen" w:cs="Arial"/>
                <w:i/>
                <w:lang w:val="af-ZA" w:eastAsia="ru-RU"/>
              </w:rPr>
              <w:t xml:space="preserve"> </w:t>
            </w:r>
            <w:r w:rsidRPr="00C5579F">
              <w:rPr>
                <w:rFonts w:ascii="Sylfaen" w:hAnsi="Sylfaen" w:cs="Arial"/>
                <w:i/>
                <w:lang w:eastAsia="ru-RU"/>
              </w:rPr>
              <w:t>դատապարտված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2.8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6.9</w:t>
            </w:r>
          </w:p>
        </w:tc>
      </w:tr>
      <w:tr w:rsidR="00446BFE" w:rsidRPr="00C5579F" w:rsidTr="00983C7D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C5579F">
              <w:rPr>
                <w:rFonts w:ascii="Sylfaen" w:hAnsi="Sylfaen" w:cs="Sylfaen"/>
                <w:i/>
                <w:lang w:val="ru-RU" w:eastAsia="ru-RU"/>
              </w:rPr>
              <w:t>Անչափահա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1.1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0.8</w:t>
            </w:r>
          </w:p>
        </w:tc>
      </w:tr>
      <w:tr w:rsidR="00446BFE" w:rsidRPr="00C5579F" w:rsidTr="00983C7D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C5579F">
              <w:rPr>
                <w:rFonts w:ascii="Sylfaen" w:hAnsi="Sylfaen" w:cs="Arial"/>
                <w:i/>
                <w:lang w:eastAsia="ru-RU"/>
              </w:rPr>
              <w:t>18-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C5579F">
              <w:rPr>
                <w:rFonts w:ascii="Sylfaen" w:hAnsi="Sylfaen" w:cs="Arial Armenian"/>
                <w:i/>
                <w:lang w:eastAsia="ru-RU"/>
              </w:rPr>
              <w:t xml:space="preserve"> 24 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49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8.2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11.6</w:t>
            </w:r>
          </w:p>
        </w:tc>
      </w:tr>
      <w:tr w:rsidR="00446BFE" w:rsidRPr="00C5579F" w:rsidTr="00983C7D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i/>
                <w:lang w:eastAsia="ru-RU"/>
              </w:rPr>
            </w:pPr>
            <w:r w:rsidRPr="00C5579F">
              <w:rPr>
                <w:rFonts w:ascii="Sylfaen" w:hAnsi="Sylfaen" w:cs="Arial"/>
                <w:i/>
                <w:lang w:eastAsia="ru-RU"/>
              </w:rPr>
              <w:t>25-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C5579F">
              <w:rPr>
                <w:rFonts w:ascii="Sylfaen" w:hAnsi="Sylfaen" w:cs="Arial Armenian"/>
                <w:i/>
                <w:lang w:eastAsia="ru-RU"/>
              </w:rPr>
              <w:t xml:space="preserve"> 29 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68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11.4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15.5</w:t>
            </w:r>
          </w:p>
        </w:tc>
      </w:tr>
      <w:tr w:rsidR="00446BFE" w:rsidRPr="00C5579F" w:rsidTr="00983C7D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 w:rsidRPr="00C5579F">
              <w:rPr>
                <w:rFonts w:ascii="Sylfaen" w:hAnsi="Sylfaen" w:cs="Arial"/>
                <w:i/>
                <w:lang w:val="ru-RU" w:eastAsia="ru-RU"/>
              </w:rPr>
              <w:t>30-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C5579F">
              <w:rPr>
                <w:rFonts w:ascii="Sylfaen" w:hAnsi="Sylfaen" w:cs="Arial Armenian"/>
                <w:i/>
                <w:lang w:val="ru-RU" w:eastAsia="ru-RU"/>
              </w:rPr>
              <w:t xml:space="preserve"> 49 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տարեկա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ն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294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49.5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39.9</w:t>
            </w:r>
          </w:p>
        </w:tc>
      </w:tr>
      <w:tr w:rsidR="00446BFE" w:rsidRPr="00C5579F" w:rsidTr="00983C7D">
        <w:trPr>
          <w:trHeight w:val="300"/>
          <w:jc w:val="center"/>
        </w:trPr>
        <w:tc>
          <w:tcPr>
            <w:tcW w:w="4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i/>
                <w:lang w:val="ru-RU" w:eastAsia="ru-RU"/>
              </w:rPr>
            </w:pPr>
            <w:r w:rsidRPr="00C5579F">
              <w:rPr>
                <w:rFonts w:ascii="Sylfaen" w:hAnsi="Sylfaen" w:cs="Arial"/>
                <w:i/>
                <w:lang w:val="ru-RU" w:eastAsia="ru-RU"/>
              </w:rPr>
              <w:t>49-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ից</w:t>
            </w:r>
            <w:r w:rsidRPr="00C5579F">
              <w:rPr>
                <w:rFonts w:ascii="Sylfaen" w:hAnsi="Sylfaen" w:cs="Arial Armenian"/>
                <w:i/>
                <w:lang w:val="ru-RU" w:eastAsia="ru-RU"/>
              </w:rPr>
              <w:t xml:space="preserve"> </w:t>
            </w:r>
            <w:r w:rsidRPr="00C5579F">
              <w:rPr>
                <w:rFonts w:ascii="Sylfaen" w:hAnsi="Sylfaen" w:cs="Sylfaen"/>
                <w:i/>
                <w:lang w:val="ru-RU" w:eastAsia="ru-RU"/>
              </w:rPr>
              <w:t>բարձ</w:t>
            </w:r>
            <w:r w:rsidRPr="00C5579F">
              <w:rPr>
                <w:rFonts w:ascii="Sylfaen" w:hAnsi="Sylfaen" w:cs="Arial"/>
                <w:i/>
                <w:lang w:val="ru-RU" w:eastAsia="ru-RU"/>
              </w:rPr>
              <w:t>ր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177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 w:rsidRPr="00C5579F">
              <w:rPr>
                <w:rFonts w:ascii="Sylfaen" w:hAnsi="Sylfaen" w:cs="Arial"/>
                <w:lang w:eastAsia="ru-RU"/>
              </w:rPr>
              <w:t>29.8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BFE" w:rsidRPr="00C5579F" w:rsidRDefault="00446BFE" w:rsidP="00983C7D">
            <w:pPr>
              <w:jc w:val="center"/>
              <w:rPr>
                <w:rFonts w:ascii="Sylfaen" w:hAnsi="Sylfaen" w:cs="Arial"/>
                <w:lang w:eastAsia="ru-RU"/>
              </w:rPr>
            </w:pPr>
            <w:r>
              <w:rPr>
                <w:rFonts w:ascii="Sylfaen" w:hAnsi="Sylfaen" w:cs="Arial"/>
                <w:lang w:eastAsia="ru-RU"/>
              </w:rPr>
              <w:t>32.2</w:t>
            </w:r>
          </w:p>
        </w:tc>
      </w:tr>
    </w:tbl>
    <w:p w:rsidR="00114E10" w:rsidRPr="00114E10" w:rsidRDefault="00114E10" w:rsidP="00446BF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6"/>
          <w:szCs w:val="16"/>
        </w:rPr>
      </w:pPr>
    </w:p>
    <w:p w:rsidR="00446BFE" w:rsidRDefault="00114E10" w:rsidP="00446BFE">
      <w:pPr>
        <w:pStyle w:val="Header"/>
        <w:tabs>
          <w:tab w:val="clear" w:pos="4320"/>
          <w:tab w:val="clear" w:pos="8640"/>
        </w:tabs>
        <w:ind w:right="-72" w:firstLine="288"/>
        <w:jc w:val="both"/>
        <w:rPr>
          <w:rFonts w:ascii="GHEA Grapalat" w:hAnsi="GHEA Grapalat" w:cs="Sylfaen"/>
          <w:bCs/>
          <w:szCs w:val="24"/>
        </w:rPr>
      </w:pPr>
      <w:r w:rsidRPr="00446BFE">
        <w:rPr>
          <w:rFonts w:ascii="GHEA Grapalat" w:hAnsi="GHEA Grapalat"/>
          <w:color w:val="000000"/>
          <w:szCs w:val="24"/>
        </w:rPr>
        <w:t>1</w:t>
      </w:r>
      <w:r w:rsidR="00446BFE">
        <w:rPr>
          <w:rFonts w:ascii="GHEA Grapalat" w:hAnsi="GHEA Grapalat"/>
          <w:color w:val="000000"/>
          <w:szCs w:val="24"/>
        </w:rPr>
        <w:t>8</w:t>
      </w:r>
      <w:r w:rsidRPr="00446BFE">
        <w:rPr>
          <w:rFonts w:ascii="GHEA Grapalat" w:hAnsi="GHEA Grapalat"/>
          <w:color w:val="000000"/>
          <w:szCs w:val="24"/>
        </w:rPr>
        <w:t xml:space="preserve">. </w:t>
      </w:r>
      <w:r w:rsidR="00446BFE" w:rsidRPr="002D1FBE">
        <w:rPr>
          <w:rFonts w:ascii="GHEA Grapalat" w:hAnsi="GHEA Grapalat"/>
          <w:bCs/>
          <w:szCs w:val="24"/>
          <w:lang w:val="ru-RU"/>
        </w:rPr>
        <w:t>Հ</w:t>
      </w:r>
      <w:r w:rsidR="00446BFE" w:rsidRPr="002D1FBE">
        <w:rPr>
          <w:rFonts w:ascii="GHEA Grapalat" w:hAnsi="GHEA Grapalat"/>
          <w:bCs/>
          <w:szCs w:val="24"/>
        </w:rPr>
        <w:t>ամաձայն</w:t>
      </w:r>
      <w:r w:rsidR="00446BFE" w:rsidRPr="002D1FBE">
        <w:rPr>
          <w:rFonts w:ascii="GHEA Grapalat" w:hAnsi="GHEA Grapalat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</w:rPr>
        <w:t>ՀՀ</w:t>
      </w:r>
      <w:r w:rsidR="00446BFE" w:rsidRPr="002D1FBE">
        <w:rPr>
          <w:rFonts w:ascii="GHEA Grapalat" w:hAnsi="GHEA Grapalat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</w:rPr>
        <w:t>առողջապահության</w:t>
      </w:r>
      <w:r w:rsidR="00446BFE" w:rsidRPr="002D1FBE">
        <w:rPr>
          <w:rFonts w:ascii="GHEA Grapalat" w:hAnsi="GHEA Grapalat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</w:rPr>
        <w:t>նախարարության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&lt;&lt;</w:t>
      </w:r>
      <w:r w:rsidR="00446BFE" w:rsidRPr="002D1FBE">
        <w:rPr>
          <w:rFonts w:ascii="GHEA Grapalat" w:hAnsi="GHEA Grapalat" w:cs="Sylfaen"/>
          <w:bCs/>
          <w:szCs w:val="24"/>
          <w:lang w:val="ru-RU"/>
        </w:rPr>
        <w:t>Կախվածությունների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  <w:lang w:val="ru-RU"/>
        </w:rPr>
        <w:t>բուժման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  <w:lang w:val="ru-RU"/>
        </w:rPr>
        <w:t>ազգային</w:t>
      </w:r>
      <w:r w:rsidR="00446BFE" w:rsidRPr="002D1FBE">
        <w:rPr>
          <w:rFonts w:ascii="GHEA Grapalat" w:hAnsi="GHEA Grapalat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</w:rPr>
        <w:t>կենտրոն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>&gt;&gt;</w:t>
      </w:r>
      <w:r w:rsidR="00446BFE" w:rsidRPr="002D1FBE">
        <w:rPr>
          <w:rFonts w:ascii="GHEA Grapalat" w:hAnsi="GHEA Grapalat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</w:rPr>
        <w:t>ՓԲԸ</w:t>
      </w:r>
      <w:r w:rsidR="00446BFE" w:rsidRPr="002D1FBE">
        <w:rPr>
          <w:rFonts w:ascii="GHEA Grapalat" w:hAnsi="GHEA Grapalat" w:cs="Arial Armenian"/>
          <w:bCs/>
          <w:szCs w:val="24"/>
          <w:lang w:val="af-ZA"/>
        </w:rPr>
        <w:t>-</w:t>
      </w:r>
      <w:r w:rsidR="00446BFE" w:rsidRPr="002D1FBE">
        <w:rPr>
          <w:rFonts w:ascii="GHEA Grapalat" w:hAnsi="GHEA Grapalat" w:cs="Sylfaen"/>
          <w:bCs/>
          <w:szCs w:val="24"/>
        </w:rPr>
        <w:t>ի</w:t>
      </w:r>
      <w:r w:rsidR="00446BFE" w:rsidRPr="002D1FBE">
        <w:rPr>
          <w:rFonts w:ascii="GHEA Grapalat" w:hAnsi="GHEA Grapalat" w:cs="Arial Armenian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</w:rPr>
        <w:t>կողմից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</w:rPr>
        <w:t>ներկայաց</w:t>
      </w:r>
      <w:r w:rsidR="00446BFE" w:rsidRPr="002D1FBE">
        <w:rPr>
          <w:rFonts w:ascii="GHEA Grapalat" w:hAnsi="GHEA Grapalat" w:cs="Sylfaen"/>
          <w:bCs/>
          <w:szCs w:val="24"/>
          <w:lang w:val="ru-RU"/>
        </w:rPr>
        <w:t>ր</w:t>
      </w:r>
      <w:r w:rsidR="00446BFE" w:rsidRPr="002D1FBE">
        <w:rPr>
          <w:rFonts w:ascii="GHEA Grapalat" w:hAnsi="GHEA Grapalat" w:cs="Sylfaen"/>
          <w:bCs/>
          <w:szCs w:val="24"/>
        </w:rPr>
        <w:t>ած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</w:rPr>
        <w:t>տվյալների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446BFE">
        <w:rPr>
          <w:rFonts w:ascii="GHEA Grapalat" w:hAnsi="GHEA Grapalat" w:cs="Sylfaen"/>
          <w:bCs/>
          <w:szCs w:val="24"/>
          <w:lang w:val="af-ZA"/>
        </w:rPr>
        <w:t>01.01.2022</w:t>
      </w:r>
      <w:r w:rsidR="00446BFE" w:rsidRPr="002D1FBE">
        <w:rPr>
          <w:rFonts w:ascii="GHEA Grapalat" w:hAnsi="GHEA Grapalat" w:cs="Sylfaen"/>
          <w:bCs/>
          <w:szCs w:val="24"/>
        </w:rPr>
        <w:t>թ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. </w:t>
      </w:r>
      <w:proofErr w:type="gramStart"/>
      <w:r w:rsidR="00446BFE" w:rsidRPr="002D1FBE">
        <w:rPr>
          <w:rFonts w:ascii="GHEA Grapalat" w:hAnsi="GHEA Grapalat" w:cs="Sylfaen"/>
          <w:bCs/>
          <w:szCs w:val="24"/>
        </w:rPr>
        <w:t>դրությամբ</w:t>
      </w:r>
      <w:proofErr w:type="gramEnd"/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&lt;&lt;</w:t>
      </w:r>
      <w:r w:rsidR="00446BFE" w:rsidRPr="002D1FBE">
        <w:rPr>
          <w:rFonts w:ascii="GHEA Grapalat" w:hAnsi="GHEA Grapalat" w:cs="Sylfaen"/>
          <w:bCs/>
          <w:szCs w:val="24"/>
        </w:rPr>
        <w:t>թմրամոլ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&gt;&gt; </w:t>
      </w:r>
      <w:r w:rsidR="00446BFE" w:rsidRPr="002D1FBE">
        <w:rPr>
          <w:rFonts w:ascii="GHEA Grapalat" w:hAnsi="GHEA Grapalat" w:cs="Sylfaen"/>
          <w:bCs/>
          <w:szCs w:val="24"/>
        </w:rPr>
        <w:t>ախտորոշմամբ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</w:rPr>
        <w:t>հաշվառման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</w:rPr>
        <w:t>մեջ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</w:rPr>
        <w:t>են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7</w:t>
      </w:r>
      <w:r w:rsidR="00446BFE">
        <w:rPr>
          <w:rFonts w:ascii="GHEA Grapalat" w:hAnsi="GHEA Grapalat" w:cs="Sylfaen"/>
          <w:bCs/>
          <w:szCs w:val="24"/>
          <w:lang w:val="af-ZA"/>
        </w:rPr>
        <w:t>570</w:t>
      </w:r>
      <w:r w:rsidR="00446BFE" w:rsidRPr="002D1FBE">
        <w:rPr>
          <w:rFonts w:ascii="GHEA Grapalat" w:hAnsi="GHEA Grapalat" w:cs="Sylfaen"/>
          <w:bCs/>
          <w:szCs w:val="24"/>
          <w:lang w:val="af-ZA"/>
        </w:rPr>
        <w:t xml:space="preserve"> </w:t>
      </w:r>
      <w:r w:rsidR="00446BFE" w:rsidRPr="002D1FBE">
        <w:rPr>
          <w:rFonts w:ascii="GHEA Grapalat" w:hAnsi="GHEA Grapalat" w:cs="Sylfaen"/>
          <w:bCs/>
          <w:szCs w:val="24"/>
          <w:lang w:val="ru-RU"/>
        </w:rPr>
        <w:t>անձ</w:t>
      </w:r>
      <w:r w:rsidR="00446BFE">
        <w:rPr>
          <w:rFonts w:ascii="GHEA Grapalat" w:hAnsi="GHEA Grapalat" w:cs="Sylfaen"/>
          <w:bCs/>
          <w:szCs w:val="24"/>
        </w:rPr>
        <w:t>:</w:t>
      </w:r>
    </w:p>
    <w:p w:rsidR="00446BFE" w:rsidRPr="0057102B" w:rsidRDefault="00446BFE" w:rsidP="00446BFE">
      <w:pPr>
        <w:pStyle w:val="Header"/>
        <w:tabs>
          <w:tab w:val="clear" w:pos="4320"/>
          <w:tab w:val="clear" w:pos="8640"/>
        </w:tabs>
        <w:ind w:right="-72" w:firstLine="288"/>
        <w:jc w:val="both"/>
        <w:rPr>
          <w:rFonts w:ascii="GHEA Grapalat" w:hAnsi="GHEA Grapalat" w:cs="Sylfaen"/>
          <w:bCs/>
          <w:szCs w:val="24"/>
        </w:rPr>
      </w:pPr>
    </w:p>
    <w:p w:rsidR="00114E10" w:rsidRPr="00114E10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Arial Unicode" w:eastAsia="Times New Roman" w:hAnsi="Arial Unicode" w:cs="Times New Roman"/>
          <w:color w:val="000000"/>
          <w:sz w:val="16"/>
          <w:szCs w:val="16"/>
        </w:rPr>
      </w:pPr>
      <w:r w:rsidRPr="00114E1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3. ԾՐԱԳՐԻ ՀԻՄՆԱԿԱՆ ԽՆԴԻՐՆԵՐԸ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14E10" w:rsidRPr="00446BFE" w:rsidRDefault="00446BFE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19</w:t>
      </w:r>
      <w:r w:rsidR="00114E10"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. Սույն ծրագրով սահմանված են բազմապիսի նպատակներ, որոնք հասցեագրված են թմրամոլության և թմրամիջոցների ապօրինի շրջանառության դեմ պայքարի բոլոր ոլորտներին և ներառում են նախորդ տարեկան ծրագրերով սահմանված ուղղությունները:</w:t>
      </w:r>
    </w:p>
    <w:p w:rsidR="00114E10" w:rsidRPr="00446BFE" w:rsidRDefault="00446BFE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="00114E10"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. Սույն ծրագրում ներկայացված գործողություններն ուղղված են Հայաստանի Հանրապետությունում թմրամոլության և թմրամիջոցների ապօրինի շրջանառության դեմ պայքարի արդյունավետ կազմակերպմանը և իրականացվում են՝ պահպանելով «Թմրամիջոցների և հոգեմետ (հոգեներգործուն) նյութերի մասին» օրենքի 6-րդ հոդվածով սահմանված սկզբունքները:</w:t>
      </w:r>
    </w:p>
    <w:p w:rsidR="00114E10" w:rsidRPr="00446BFE" w:rsidRDefault="00446BFE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21</w:t>
      </w:r>
      <w:r w:rsidR="00114E10"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. Ելնելով Հայաստանի Հանրապետությունում թմրամոլության և թմրամիջոցների ապօրինի շրջանառության դեմ պայքարի ազգային ռազմավարության դրույթներից` Հայաստանի Հանրապետությունում թմրամոլության և թմրամիջոցների ապօրինի շրջանառության դեմ պայքարի 202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114E10"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 ծրագրի հիմնական նպատակներ են`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, հոգեմետ նյութերի և դրանց պրեկուրսորների ապօրինի շրջանառության հետ կապված հանցավորության նվազեցման համար անհրաժեշտ պայմանների ստեղծումը.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թմրամոլության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, թմրամիջոցների հոգեմետ (հոգեներգործուն) նյութերի և դրանց պրեկուրսորների ապօրինի շրջանառությանը նպաստող պայմանների և ծնող պատճառների վերացումը.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թմրամոլության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թմրամիջոցների ապօրինի շրջանառության նախականխումն ու բացահայտումը, այդ նպատակով իրավապահ մարմինների և այլ կազմակերպությունների համակարգված գործունեության ապահովումը.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4)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նվազեցնել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արդյունքում բացառել անչափահասների և երիտասարդության շրջանում թմրամիջոցների գործածումը:</w:t>
      </w:r>
    </w:p>
    <w:p w:rsidR="00114E10" w:rsidRPr="00446BFE" w:rsidRDefault="00446BFE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22</w:t>
      </w:r>
      <w:r w:rsidR="00114E10"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. Ծրագրի հիմնական խնդիրներն են`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, հոգեմետ նյութերի և դրանց պրեկուրսորների ապօրինի շրջանառության և դրա հետ կապված հանցագործությունների նախականխման և բացահայտման ուղղությամբ պետական մարմինների համագործակցության արդյունավետության բարձրացում.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օրենսդրական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դաշտի կատարելագործում և կիրառելիության ապահովում, մասնավորապես, թմրամոլության և թմրամիջոցների ապօրինի շրջանառության դեմ պայքարը կանոնակարգող Հայաստանի Հանրապետության օրենքների և այլ իրավական ակտերի համակողմանի վերլուծություն, դրանց կատարելագործում, համապատասխանեցում Հայաստանի Հանրապետության միջազգային պայմանագրերի պահանջներին.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թմրամոլության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առաջնային կանխարգելում, թմրամոլության նվազեցում` դրա կանխման և արդյունավետ բուժման իրականացման միջոցով.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, հոգեմետ (հոգեներգործուն) նյութերի և դրանց պրեկուրսորների ապօրինի շրջանառության ծավալի նվազեցում.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թմրամիջոցներից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կախում ունեցող անձանց բուժման արդյունավետ կազմակերպում, նարկոլոգիական ծառայության արդիականացում և սոցիալական վերականգնման համակարգի ներդրում.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թմրամոլության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թմրամիջոցների ապօրինի շրջանառության դեմ պայքարի ոլորտում միջազգային, ինչպես նաև միջգերատեսչական համագործակցության զարգացում և ամրապնդում.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հոգեմետ (հոգեներգործուն) նյութերի ապօրինի օգտագործման վտանգի վերաբերյալ բնակչության իրազեկվածության բարձրացում.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պրեկուրսորների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մեծածախ առևտրի նկատմամբ վերահսկողության, ապօրինի առևտրի կամ ընդհատակյա լաբորատորիաների հայտնաբերմանն ուղղված քայլերի ապահովում.</w:t>
      </w:r>
    </w:p>
    <w:p w:rsidR="00114E10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9) </w:t>
      </w:r>
      <w:proofErr w:type="gramStart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թմրամոլության</w:t>
      </w:r>
      <w:proofErr w:type="gramEnd"/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դրա հասցրած վնասի մասին անչափահասների իրազեկվածության բարձրացում, քանի որ աշխարհի բազում երկրներում որպես ապօրինի թմրամիջոցների և հոգեմետ նյութերի սպառող օգտագործվում են երեխաները, ինչն իրե</w:t>
      </w:r>
      <w:r w:rsidR="00446BFE">
        <w:rPr>
          <w:rFonts w:ascii="GHEA Grapalat" w:eastAsia="Times New Roman" w:hAnsi="GHEA Grapalat" w:cs="Times New Roman"/>
          <w:color w:val="000000"/>
          <w:sz w:val="24"/>
          <w:szCs w:val="24"/>
        </w:rPr>
        <w:t>նից ահռելի վտանգ է ներկայացնում.</w:t>
      </w:r>
    </w:p>
    <w:p w:rsidR="00446BFE" w:rsidRDefault="00446BFE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10</w:t>
      </w: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համացանցի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միջոցով թմրամիջոցների անօրինական շրջանառության դեմ պայքարի արդյունավետության բարձրացում.</w:t>
      </w:r>
    </w:p>
    <w:p w:rsidR="00446BFE" w:rsidRPr="00446BFE" w:rsidRDefault="00446BFE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11</w:t>
      </w: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բնակչության</w:t>
      </w:r>
      <w:proofErr w:type="gram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առողջության</w:t>
      </w:r>
      <w:r w:rsid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համար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առավել վտանգ </w:t>
      </w:r>
      <w:r w:rsid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ներկայացնող՝ սինթետիկ թմրամիջոցների </w:t>
      </w:r>
      <w:r w:rsidR="00EB54C1"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ապօրինի շրջանառության ծավալի նվազեցում.</w:t>
      </w:r>
    </w:p>
    <w:p w:rsidR="00114E10" w:rsidRPr="00446BFE" w:rsidRDefault="00446BFE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23</w:t>
      </w:r>
      <w:r w:rsidR="00114E10"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. Սույն ծրագրով սահմանված նպատակներից և խնդիրներից ելնելով` Հայաստանի Հանրապետության իրավապահ մարմիններն ակտիվորեն մասնակցում և իրականացնում են տարբեր միջոցառումներ: Մասնավորապես`</w:t>
      </w:r>
    </w:p>
    <w:p w:rsidR="00114E10" w:rsidRPr="00446BFE" w:rsidRDefault="00114E10" w:rsidP="00446BFE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Հայաստանի Հանրապետության տարածք մաքսանենգ ճանապարհով թմրամիջոցների, հոգեմետ նյութերի և դրանց պրեկուրսորների ներմուծումը կանխելու և հայտնաբերելու նպատակով Հայաստանի Հանրապետության իրավապահ մարմիններն ակտիվորեն մասնակցում են «Հավաքական անվտանգության </w:t>
      </w:r>
      <w:r w:rsidR="00EB54C1"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պայմանագրի կազմակերպության</w:t>
      </w: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» անդամ պետությունների շրջանակներում մշտապես անցկացվող «Կանալ» հակաթմրանյութային գործողությանը.</w:t>
      </w:r>
    </w:p>
    <w:p w:rsidR="00114E10" w:rsidRPr="00446BFE" w:rsidRDefault="00114E10" w:rsidP="00EB54C1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2) յուրաքանչյուր տարի Հայաստանի Հանրապետության ամբողջ տարածքում իրականացվում է նաև «</w:t>
      </w:r>
      <w:r w:rsidR="00EB54C1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անեփ-կակաչ» համալիր օպերատիվ-կանխարգելիչ միջոցառումը, որին ներգրավվում են Հայաստանի Հանրապետության </w:t>
      </w:r>
      <w:r w:rsidR="0006106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ՆԳՆ </w:t>
      </w: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ոստիկանության,</w:t>
      </w:r>
      <w:r w:rsid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46BF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 Հանրապետության պաշտպանության նախարարության ստորաբաժանումների ծառայողները, տեղական ինքնակառավարման մարմինների և զանգվածային լրատվության միջոցների ներկայացուցիչները: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16"/>
          <w:szCs w:val="16"/>
        </w:rPr>
      </w:pPr>
      <w:r w:rsidRPr="00114E1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114E10" w:rsidRPr="00EB54C1" w:rsidRDefault="00114E10" w:rsidP="00EB54C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B54C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4. ԲՆԱԿՉՈՒԹՅԱՆ ՇՐՋԱՆՈՒՄ (ՀԱՏԿԱՊԵՍ ԵՐԻՏԱՍԱՐԴՆԵՐԻ ԵՎ ԴԵՌԱՀԱՍՆԵՐԻ ՇՐՋԱՆՈՒՄ) ԹՄՐԱՄՈԼՈՒԹՅԱՆ ԴԵՄ ՊԱՅՔԱՐԻ, ԹՄՐԱՄՈԼՈՒԹՅԱՆ ԿԱՆԽԱՐԳԵԼՄԱՆ, ՀԱԿԱԹՄՐԱՄՈԼԱՅԻՆ ՔԱՐՈԶՉՈՒԹՅԱՆ ԻՐԱԿԱՆԱՑՄԱՆ ՈՒՂՂՈՒԹՅԱՄԲ ՆԱԽԱՏԵՍՎՈՂ ՄԻՋՈՑԱՌՈՒՄՆԵՐԸ</w:t>
      </w:r>
    </w:p>
    <w:p w:rsidR="00114E10" w:rsidRPr="00EB54C1" w:rsidRDefault="00114E10" w:rsidP="00EB54C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B54C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14E10" w:rsidRPr="00EB54C1" w:rsidRDefault="00EB54C1" w:rsidP="00EB54C1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24</w:t>
      </w:r>
      <w:r w:rsidR="00114E10"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. Թմրամոլության, թմրամիջոցների, հոգեմետ նյութերի և դրանց պրեկուրսորների ապօրինի շրջանառության դեմ պայքարն առավել արդյունավետ կազմակերպելու նպատակով 202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="00114E10"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թվականի ընթացքում նպատակահարմար է իրականացնել մի շարք միջոցառումներ՝ հետևյալ ուղղություններով`</w:t>
      </w:r>
    </w:p>
    <w:p w:rsidR="00114E10" w:rsidRPr="00EB54C1" w:rsidRDefault="00114E10" w:rsidP="00EB54C1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կատարելագործել</w:t>
      </w:r>
      <w:proofErr w:type="gramEnd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Հայաստանի Հանրապետության ներպետական իրավական ակտերը և դրանք համապատասխանեցնել միջազգային պայմանագրերին` միաժամանակ ապահովելով դրանց կիրառելիությունը: Այս նպատակով անհրաժեշտ է իրականացնել Հայաստանի Հանրապետության ներպետական իրավական ակտերի համակարգային շարունակական վերլուծություն, անհրաժեշտության դեպքում, դրանցում փոփոխություններ և լրացումներ կատարելու վերաբերյալ առաջարկությունների ն</w:t>
      </w:r>
      <w:r w:rsidR="00EB54C1">
        <w:rPr>
          <w:rFonts w:ascii="GHEA Grapalat" w:eastAsia="Times New Roman" w:hAnsi="GHEA Grapalat" w:cs="Times New Roman"/>
          <w:color w:val="000000"/>
          <w:sz w:val="24"/>
          <w:szCs w:val="24"/>
        </w:rPr>
        <w:t>երկայացում` ՄԱԿ-ի 1961թ., 1971թ., և 1988</w:t>
      </w:r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թ. կոնվենցիաների և միջազգային փաստաթղթերի դրույթներին համապատասխան.</w:t>
      </w:r>
    </w:p>
    <w:p w:rsidR="00114E10" w:rsidRPr="00EB54C1" w:rsidRDefault="00114E10" w:rsidP="00EB54C1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թմրամոլության</w:t>
      </w:r>
      <w:proofErr w:type="gramEnd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, թմրամիջոցների, հոգեմետ նյութերի և դրանց պրեկուրսորների դեմ պայքարում անցկացնել օպերատիվ-կանխարգելիչ և հատուկ միջոցառումներ: Այս ուղղությամբ անհրաժեշտ է Հայաստանի Հանրապետության պետական սահմանի անցակետերում և մաքսային հսկողության գոտիներում ուժեղացնել հսկողությունը թմրամիջոցների, հոգեմետ նյութերի և դրանց պրեկուրսորների՝ մաքսանենգ ճանապարհով փոխադրումների նկատմամբ, ապահովել սահմանային արդյունավետ վերահսկողություն.</w:t>
      </w:r>
    </w:p>
    <w:p w:rsidR="00114E10" w:rsidRPr="00EB54C1" w:rsidRDefault="00114E10" w:rsidP="00EB54C1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3) </w:t>
      </w:r>
      <w:proofErr w:type="gramStart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զարգացնել</w:t>
      </w:r>
      <w:proofErr w:type="gramEnd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զինվորականների շրջանում թմրամոլության դեմ պայքարի արդյունավետությունը` համագործակցել զինվորականների շրջանում թմրամիջոցի</w:t>
      </w:r>
      <w:r w:rsid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հայտնաբերման յուրաքանչյուր դեպքի համակողմանի և ամբողջական բացահայտման աշխատանքներում.</w:t>
      </w:r>
    </w:p>
    <w:p w:rsidR="00114E10" w:rsidRPr="00EB54C1" w:rsidRDefault="00114E10" w:rsidP="00EB54C1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ինտենսիվացնել</w:t>
      </w:r>
      <w:proofErr w:type="gramEnd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լրատվամիջոցներով թմրամոլության հասցրած վնասների և հետևանքների վերաբերյալ հաղորդումները, դրանց մասնակից դարձնել համապատասխան մասնագետների` բժիշկների, հոգեբանների, մանկավարժների.</w:t>
      </w:r>
    </w:p>
    <w:p w:rsidR="00114E10" w:rsidRPr="00EB54C1" w:rsidRDefault="00114E10" w:rsidP="00EB54C1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բարձրացնել</w:t>
      </w:r>
      <w:proofErr w:type="gramEnd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բնակչության իրազեկվածությունը թմրամոլության և թմրամիջոցների ապօրինի շրջանառության հետ կապված հասցրած վնասի վերաբերյալ: Այս ուղղությամբ անհրաժեշտ է շարունակել բնակչությանն իրազեկման և տեղեկացվածության բարձրացման աշխատանքները թմրամոլության և թմրամիջոցների ապօրինի շրջանառության դեմ պայքարի վերաբերյալ` հատկապես ռիսկային խմբերում.</w:t>
      </w:r>
    </w:p>
    <w:p w:rsidR="00114E10" w:rsidRPr="00EB54C1" w:rsidRDefault="00114E10" w:rsidP="00EB54C1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ուսումնասիրել</w:t>
      </w:r>
      <w:proofErr w:type="gramEnd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թմրամիջոցների տարածման դեմ պայքարի առաջավոր միջազգային փորձը, այդ թվում` կազմակերպել տվյալ ոլորտում ներգրավված ծառայողների մասնագիտական վերապատրաստում Անկախ պետությունների համագործակցության </w:t>
      </w:r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մասնակից, Հավաքական անվտանգության պայմանագրի կազմակերպության անդամ և եվրոպական այլ պետությունների իրավապահ մարմինների ուսումնական հաստատություններում, Հայաստանի Հանրապետությունում միջազգային փորձը ներդնելու նպատակով անցկացնել սեմինարներ, խորհրդակցություններ.</w:t>
      </w:r>
    </w:p>
    <w:p w:rsidR="00114E10" w:rsidRPr="00EB54C1" w:rsidRDefault="00114E10" w:rsidP="00EB54C1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իրականացնել</w:t>
      </w:r>
      <w:proofErr w:type="gramEnd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թմրամիջոցներ կամ հոգեմետ նյութեր գործածող անձանց բուժման և վերականգնողական միջոցառումներ. </w:t>
      </w:r>
      <w:proofErr w:type="gramStart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այս</w:t>
      </w:r>
      <w:proofErr w:type="gramEnd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ուղղությամբ նպատակային կլինի արդիականացնել նարկոլոգիական ծառայությունները, ապահովել բնակչության և թմրամիջոցներ գործածող անձանց շրջանում կանխարգելման ծրագրեր իրականացնող հասարակական կազմակերպությունների և նարկոլոգիական բժշկական օգնություն և սպասարկում իրականացնող բժշկական հաստատությունների միջև սերտ համագործակցությունը, ապահովել արտահիվանդանոցային նարկոլոգիական ծառայություններ մատուցող բժշկական հաստատություններում հաշվառված և դադարի (ռեմիսիայի) շրջանում գտնվող անձանց զբաղվածությունը.</w:t>
      </w:r>
    </w:p>
    <w:p w:rsidR="00114E10" w:rsidRPr="00EB54C1" w:rsidRDefault="00114E10" w:rsidP="00EB54C1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gramStart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անչափահասների</w:t>
      </w:r>
      <w:proofErr w:type="gramEnd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երիտասարդության շրջանում իրականացնել առողջ ապրելակերպին նվիրված միջոցառումներ. </w:t>
      </w:r>
      <w:proofErr w:type="gramStart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>այս</w:t>
      </w:r>
      <w:proofErr w:type="gramEnd"/>
      <w:r w:rsidRPr="00EB54C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նպատակով անհրաժեշտ կլինի կազմակերպել և անցկացնել սպորտային-առողջարարական և զանգվածային մարզական միջոցառումներ, թմրամոլության դեմ պայքարի թեմաներով սեմինարներ, էլեկտրոնային և զանգվածային լրատվական միջոցներով իրականացնել քարոզչություն` անչափահասների զբաղվածությունն ապահովվելու և նրանց կողմից թմրամիջոցների կամ հոգեմետ նյութերի հավանական գործածումը կանխելու նպատակով: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16"/>
          <w:szCs w:val="16"/>
        </w:rPr>
      </w:pPr>
      <w:r w:rsidRPr="00114E1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114E10" w:rsidRPr="00644484" w:rsidRDefault="00114E10" w:rsidP="00644484">
      <w:pPr>
        <w:shd w:val="clear" w:color="auto" w:fill="FFFFFF"/>
        <w:spacing w:after="0" w:line="240" w:lineRule="auto"/>
        <w:ind w:firstLine="288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444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5. ԾՐԱԳՐԻ ՖԻՆԱՆՍԱՎՈՐՈՒՄԸ</w:t>
      </w:r>
    </w:p>
    <w:p w:rsidR="00114E10" w:rsidRPr="00644484" w:rsidRDefault="00114E10" w:rsidP="00644484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4448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14E10" w:rsidRPr="00644484" w:rsidRDefault="00644484" w:rsidP="00644484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25</w:t>
      </w:r>
      <w:r w:rsidR="00114E10" w:rsidRPr="00644484">
        <w:rPr>
          <w:rFonts w:ascii="GHEA Grapalat" w:eastAsia="Times New Roman" w:hAnsi="GHEA Grapalat" w:cs="Times New Roman"/>
          <w:color w:val="000000"/>
          <w:sz w:val="24"/>
          <w:szCs w:val="24"/>
        </w:rPr>
        <w:t>. Ծրագրով նախատեսված միջոցառումների իրագործման համար պահանջվող ֆինանսական ծախսերը նախատեսվում է իրականացնել հետևյալ աղբյուրներից`</w:t>
      </w:r>
    </w:p>
    <w:p w:rsidR="00114E10" w:rsidRPr="00644484" w:rsidRDefault="00114E10" w:rsidP="00644484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44484">
        <w:rPr>
          <w:rFonts w:ascii="GHEA Grapalat" w:eastAsia="Times New Roman" w:hAnsi="GHEA Grapalat" w:cs="Times New Roman"/>
          <w:color w:val="000000"/>
          <w:sz w:val="24"/>
          <w:szCs w:val="24"/>
        </w:rPr>
        <w:t>1) Հայաստանի Հանրապետության պետական բյուջեով համապատասխան պետական մարմնին տվյալ տարվա համար հատկացված գումարներ.</w:t>
      </w:r>
    </w:p>
    <w:p w:rsidR="00114E10" w:rsidRPr="00644484" w:rsidRDefault="00114E10" w:rsidP="00644484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4448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644484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proofErr w:type="gramEnd"/>
      <w:r w:rsidRPr="0064448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կազմակերպությունների, ինչպես նաև տեխնիկական և խորհրդատվական գծով դոնոր-պետությունների միջոցներ.</w:t>
      </w:r>
    </w:p>
    <w:p w:rsidR="00114E10" w:rsidRPr="00644484" w:rsidRDefault="00114E10" w:rsidP="00644484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44484">
        <w:rPr>
          <w:rFonts w:ascii="GHEA Grapalat" w:eastAsia="Times New Roman" w:hAnsi="GHEA Grapalat" w:cs="Times New Roman"/>
          <w:color w:val="000000"/>
          <w:sz w:val="24"/>
          <w:szCs w:val="24"/>
        </w:rPr>
        <w:t>3) Հայաստանի Հանրապետության օրենսդրությամբ չարգելված միջոցներ:</w:t>
      </w:r>
    </w:p>
    <w:p w:rsidR="00114E10" w:rsidRPr="00644484" w:rsidRDefault="00114E10" w:rsidP="00644484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4448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14E10" w:rsidRPr="00C031D3" w:rsidRDefault="00114E10" w:rsidP="00C031D3">
      <w:pPr>
        <w:shd w:val="clear" w:color="auto" w:fill="FFFFFF"/>
        <w:spacing w:after="0" w:line="240" w:lineRule="auto"/>
        <w:ind w:firstLine="288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031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6. ԾՐԱԳՐԻ ԻՐԱԳՈՐԾՈՒՄԻՑ ԱԿՆԿԱԼՎՈՂ ԱՐԴՅՈՒՆՔՆԵՐԸ</w:t>
      </w:r>
    </w:p>
    <w:p w:rsidR="00114E10" w:rsidRPr="00C031D3" w:rsidRDefault="00114E10" w:rsidP="00C031D3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031D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14E10" w:rsidRPr="00C031D3" w:rsidRDefault="00C031D3" w:rsidP="00C031D3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26</w:t>
      </w:r>
      <w:r w:rsidR="00114E10"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>. Ծրագրի շրջանակներում իրականացվելիք միջոցառումներն իրենց դրական անդրադարձը կունենան թմրամոլության և թմրամիջոցների ապօրինի շրջանառության կանխարգելման գործում: Մասնավորապես, ծրագրի իրագործումից ակնկալվող արդյունքներն են`</w:t>
      </w:r>
    </w:p>
    <w:p w:rsidR="00114E10" w:rsidRPr="00C031D3" w:rsidRDefault="00114E10" w:rsidP="00C031D3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gramStart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>թմրամոլության</w:t>
      </w:r>
      <w:proofErr w:type="gramEnd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թմրամիջոցների ապօրինի շրջանառության դեմ պայքարի համար անհրաժեշտ օրենսդրական բազայի կատարելագործումը` այն համապատասխանեցնելով Հայաստանի Հանրապետության միջազգային հանձնառություններին.</w:t>
      </w:r>
    </w:p>
    <w:p w:rsidR="00114E10" w:rsidRPr="00C031D3" w:rsidRDefault="00114E10" w:rsidP="00C031D3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gramStart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>բնակչության</w:t>
      </w:r>
      <w:proofErr w:type="gramEnd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շրջանում թմրամոլության և թմրամիջոցների ապօրինի շրջանառության հետ կապված՝ հասցրած վնասի վերաբերյալ տեղեկատվության մակարդակի բարձրացումը, դրա դեմ պայքարելու հնարավորությունների մասին իրազեկվածությունը.</w:t>
      </w:r>
    </w:p>
    <w:p w:rsidR="00114E10" w:rsidRPr="00C031D3" w:rsidRDefault="00114E10" w:rsidP="00C031D3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3) </w:t>
      </w:r>
      <w:proofErr w:type="gramStart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>թմրամոլության</w:t>
      </w:r>
      <w:proofErr w:type="gramEnd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թմրամիջոցների ապօրինի շրջանառության դեմ պայքարի, այդ թվում` սահմանային մաքսակետերով թմրամիջոցների, հոգեմետ (հոգեներգործուն) նյութերի և դրանց պրեկուրսորների` մաքսանենգությունների նկատմամբ հսկողության ուժեղացումը.</w:t>
      </w:r>
    </w:p>
    <w:p w:rsidR="00114E10" w:rsidRPr="00C031D3" w:rsidRDefault="00114E10" w:rsidP="00C031D3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4) </w:t>
      </w:r>
      <w:proofErr w:type="gramStart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>միջազգային</w:t>
      </w:r>
      <w:proofErr w:type="gramEnd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համագործակցության ամրապնդում և կապերի սերտացում.</w:t>
      </w:r>
    </w:p>
    <w:p w:rsidR="00114E10" w:rsidRPr="00C031D3" w:rsidRDefault="00114E10" w:rsidP="00C031D3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5) </w:t>
      </w:r>
      <w:proofErr w:type="gramStart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>թմրամիջոցների</w:t>
      </w:r>
      <w:proofErr w:type="gramEnd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>, հոգեմետ նյութերի և դրանց պրեկուրսորների առաջարկի և պահանջարկի նվազեցումը.</w:t>
      </w:r>
    </w:p>
    <w:p w:rsidR="00114E10" w:rsidRPr="00C031D3" w:rsidRDefault="00114E10" w:rsidP="00C031D3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6) </w:t>
      </w:r>
      <w:proofErr w:type="gramStart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>թմրամոլությամբ</w:t>
      </w:r>
      <w:proofErr w:type="gramEnd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հիվանդների բուժման որակի և արդյունավետության բարձրացումը.</w:t>
      </w:r>
    </w:p>
    <w:p w:rsidR="00114E10" w:rsidRPr="00C031D3" w:rsidRDefault="00114E10" w:rsidP="00C031D3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7) </w:t>
      </w:r>
      <w:proofErr w:type="gramStart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>թմրամոլության</w:t>
      </w:r>
      <w:proofErr w:type="gramEnd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թմրամիջոցների ապօրինի շրջանառության դեմ պայքարի ոլորտում իրավապահ մարմինների գործունեության և համագործակցության արդյունավետության բարձրացումն ու ամրապնդումը.</w:t>
      </w:r>
    </w:p>
    <w:p w:rsidR="00114E10" w:rsidRPr="00C031D3" w:rsidRDefault="00114E10" w:rsidP="00541378">
      <w:pPr>
        <w:shd w:val="clear" w:color="auto" w:fill="FFFFFF"/>
        <w:spacing w:after="0" w:line="240" w:lineRule="auto"/>
        <w:ind w:firstLine="28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8) </w:t>
      </w:r>
      <w:proofErr w:type="gramStart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>նյութատեխնիկական</w:t>
      </w:r>
      <w:proofErr w:type="gramEnd"/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բազայի վերազինումը կնպաստի ի հայտ եկած նոր թմրամիջոցների, հոգեմետ (հոգեներգործուն) նյութերի և դրանց պրեկուրսորների հետազոտմա</w:t>
      </w:r>
      <w:r w:rsidR="00541378">
        <w:rPr>
          <w:rFonts w:ascii="GHEA Grapalat" w:eastAsia="Times New Roman" w:hAnsi="GHEA Grapalat" w:cs="Times New Roman"/>
          <w:color w:val="000000"/>
          <w:sz w:val="24"/>
          <w:szCs w:val="24"/>
        </w:rPr>
        <w:t>ն և նույնացման օպերատիվությանը</w:t>
      </w:r>
      <w:r w:rsidRPr="00C031D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114E10" w:rsidRPr="00114E10" w:rsidRDefault="00114E10" w:rsidP="00114E10">
      <w:pPr>
        <w:shd w:val="clear" w:color="auto" w:fill="FFFFFF"/>
        <w:spacing w:after="0" w:line="240" w:lineRule="auto"/>
        <w:ind w:firstLine="288"/>
        <w:rPr>
          <w:rFonts w:ascii="Arial Unicode" w:eastAsia="Times New Roman" w:hAnsi="Arial Unicode" w:cs="Times New Roman"/>
          <w:color w:val="000000"/>
          <w:sz w:val="16"/>
          <w:szCs w:val="16"/>
        </w:rPr>
      </w:pPr>
      <w:r w:rsidRPr="00114E10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W w:w="10218" w:type="dxa"/>
        <w:jc w:val="center"/>
        <w:tblCellSpacing w:w="0" w:type="dxa"/>
        <w:tblInd w:w="-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2827"/>
        <w:gridCol w:w="2387"/>
        <w:gridCol w:w="2097"/>
        <w:gridCol w:w="976"/>
        <w:gridCol w:w="1617"/>
      </w:tblGrid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NN</w:t>
            </w:r>
          </w:p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ը/կ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Միջոցառման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Ակնկալվող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Կատարող մարմինը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Կատարման</w:t>
            </w:r>
          </w:p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ժամկետը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Ֆինանսավորման</w:t>
            </w:r>
          </w:p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աղբյուրը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102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</w:rPr>
              <w:t>1. Թմրամոլության և թմրամիջոցների ապօրինի շրջանառության դեմ պայքարի ոլորտը կանոնակարգող՝ Հայաստանի Հանրապետության ներպետական իրավական ակտերի կատարելագործումը և դրանց համապատասխանեցումը միջազգային պայմանագրերին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Թմրամոլության և թմրամիջոցների ապօրինի շրջանառության դեմ պայքարի ոլորտը կանոնակարգող՝ ՀՀ ներպետական իրավական ակտերի համակարգային վերլուծության իրականացում և, անհրաժեշտության դեպքում, փոփոխություններ և լրացումներ կատարելու վերաբերյալ առաջարկություններ ներկայացնելը՝ ՄԱԿ-ի կոնվենցիաների և միջազգային փաստաթղթերի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դրույթներին համապատասխան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գործող օրենսդրության կատարելագործում և համապատասխանեցում ՀՀ միջազգային հանձնառություններին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8F5E7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առողջապահության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արդարադատության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եկամուտների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541378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Ֆինանսավորում չի պահանջվում: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541378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2023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թ. իրականացված աշխատանքների արդյունքների հիման վրա ՀՀ-ում թմրամոլության և թմրամիջոցների ապօրինի շրջանառության դեմ տարվող պայքարին վերաբերող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դիդակտիկ նյութերի և դրանց կից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նկարագրական զեկույցների նախապատրաստում (հայերեն, ռուսերեն, անգլերեն)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Հնարավորություն կտա ներկայացնելու հանրապետությունում թմրամիջոցների ապօրինի շրջանառության դեմ պայքարի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ուղղությամբ իրականացված աշխատանքները միջազգային հանդիպումներում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8F5E7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ազգային անվտանգության ծառայություն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առողջապահության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եկամուտների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541378" w:rsidP="0054137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թ. փետրվարի 3-րդ տասնօրյակ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Ֆինանսավորում չի պահանջվում: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ՄԱԿ-ի Թմրամիջոցների միջազգային վերահսկման գրասենյակի կողմից տրամադրված, ինչպես նաև Հայաստանի Հանրապետության տարածքում ի հայտ եկած նոր թմրամիջոցների, հոգեմետ (հոգեներգործուն) նյութերի և դրանց պրեկուրսորների ընդգրկումը ՀՀ-ում հսկման ենթակա նյութերի ցանկում, համապատասխան փոփոխությունների և լրացումների կատարումը դրանց չափերը սահմանող ենթաօրենսդրա-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կան ակտերում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Կնվազեցնի թմրամիջոցների, հոգեմետ (հոգեներգործուն) նյութերի և դրանց պրեկուրսորների ապօրինի շրջանառությունը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8F5E7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ազգային անվտանգության ծառայություն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առողջապահության նախարարություն</w:t>
            </w:r>
          </w:p>
          <w:p w:rsidR="00114E10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եկամուտների կոմիտե</w:t>
            </w:r>
          </w:p>
          <w:p w:rsidR="00541378" w:rsidRPr="00541378" w:rsidRDefault="00541378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արդարադատության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8F5E7C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Ֆինանսավորում չի պահանջվում: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102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</w:rPr>
              <w:t>2. Թմրամոլության և թմրամիջոցների ապօրինի շրջանառության դեմ պայքարում օպերատիվ-կանխարգելիչ և հատուկ միջոցառումների անցկացում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Թմրամոլության և թմրամիջոցների ապօրինի շրջանառության դեմ պայքարում Հայաստանի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Հանրապետության կողմից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վավերացված միջպետական համաձայնագրերի, միջազգային ծրագրերի դրույթների իրականացում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Թմրամիջոցների, հոգեմետ (հոգեներգործուն) նյութերի և դրանց պրեկուրսորների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ապօրինի շրջանառության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դեմ պայքարում միջազգային համագործակցության ամրապնդում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8F5E7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ազգային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անվտանգության ծառայություն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պաշտպանության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առողջապահության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եկամուտների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8F5E7C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բյուջե և ՀՀ օրենսդրությամբ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5.1. ՀՀ պետական սահմանի անցման կետերում և մաքսային հսկողության գոտիներում հսկողության ապահովման կատարելագործում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5.2. ՀՀ </w:t>
            </w:r>
            <w:r w:rsidR="008F5E7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ոստիկանության և ՀՀ պետական եկամուտների կոմիտեի կինոլոգիական կենտրոնների նյութատեխնիկական բազայի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ընդլայնում և հզորացում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մաքսային սահմաններով ապօրինի տեղափոխվող թմրամիջոցների, հոգեմետ (հոգեներգործուն) նյութերի և դրանց պրեկուրսորների հայտնաբերում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եկամուտների կոմիտե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8F5E7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8F5E7C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8F5E7C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պետական բյուջե և ՀՀ 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օրենսդրությամբ 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«Կանալ» տարածաշրջանային օպերատիվ-կանխարգելիչ համալիր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միջոցառմանը մասնակցության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ապահովում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Տարածաշրջանային համագործակցության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ամրապնդում,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թմրամիջոցների, հոգեմետ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(հոգեներգործուն) նյութերի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և դրանց պրեկուրսորների`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մաքսանենգ ճանապարհով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Հայաստանի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Հանրապետություն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ներմուծման կանխում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ՆԳՆ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 ՀՀ ազգային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անվտանգության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ծառայություն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եկամուտների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3A493A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բյուջե և ՀՀ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օրենսդրությամբ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չարգելված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Զինծառայողների շրջանում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թմրամոլության դեմ պայքարի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արդյունավետության բարձրացում և այդ գործընթացում իրավապահ մարմինների հետ համագործակցության ապահովում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Զինծառայողների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շրջանում թմրամիջոցների,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հոգեմետ նյութերի գործածման կանխարգելում և դրանց գործածման դեպքերի բացահայտում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պաշտպանության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 ՀՀ ազգային անվտանգության ծառայություն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առողջապահության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3A493A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բյուջե և ՀՀ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օրենսդրությամբ 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102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</w:rPr>
              <w:t>3. Թմրամոլության և թմրամիջոցների ապօրինի շրջանառության հետ կապված՝ հասցրած վնասի վերաբերյալ բնակչությանն իրազեկության բարձրացում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8.1. Հանրային և մասնավոր հեռուս-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տաընկերությունների հետ համատեղ հատուկ հաղորդումների, թեմատիկ ֆիլմերի և սոցիալական տեսահոլովակների պատրաստում և ցուցադրում, ինչպես նաև զետե-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ղում վարկանիշային էլեկտրոնային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լրատվամիջոցների կայքերում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8.2. Թմրամոլության կանխարգելման նպատակով քարոզչական աշխատանքների կազմակերպում և անհրաժեշտ տեղեկատվության տարածում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Թմրամոլության և դրա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հասցրած վնասի մասին բնակչության իրազեկվածության բարձրացում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պաշտպանության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առողջապահության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կրթության, գիտության, մշակույթի և սպորտի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ԶԼՄ-ներ (համաձայնությամբ)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3A493A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բյուջե և ՀՀ օրենսդրությամբ 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Ուսումնական հաստատություն-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ներում սովորողների, ուսուցիչների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և ծնողների շրջանում թմրամիջոցների ապօրինի շրջանառության և թմրամոլության դեմ պայքարի թեմաներով զեկույցների և սեմինարների անցկացում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Ուսումնական հաստատու-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թյուններում սովորողների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շրջանում թմրամիջոցների և հոգեմետ (հոգեներգործուն) նյութերի գործածման կանխարգելում, թմրամոլության և դրա հասցրած վնասի մասին անչափահասների իրազեկվածության բարձրացում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կրթության, գիտության, մշակույթի և սպորտի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մարզպետարաններ, համայնքապետարաններ (համաձայնությամբ) Երևանի քաղաքապետարան (համաձայնությամբ)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ԶԼՄ-ներ (համաձայնությամբ)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4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բյուջե և ՀՀ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օրենսդրությամբ 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102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</w:rPr>
              <w:t>4. Թմրամոլության և թմրամիջոցների ապօրինի շրջանառության դեմ պայքարում ոլորտի ծառայողների մասնագիտական գիտելիքների կատարելագործում, միջազգային համագործակցության զարգացում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ԱՊՀ մասնակից և ՀԱՊԿ անդամ պետությունների իրավապահ մարմինների ուսումնական հաստատություններում հանրապետության իրավապահ մարմինների իրավասու ստորաբաժանումների ծառայողների վերապատրաստման կամ գիտելիքների կատարելագործման այլ ծրագրերին ներգրավում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Համապատասխան աշխատակիցների մասնագիտական գիտելիքների կատարելագործում, փորձի փոխանակում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ազգային անվտանգության ծառայություն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արդարադատության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պաշտպանության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եկամուտների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3A49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4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բյուջե և ՀՀ օրենսդրությամբ 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</w:t>
            </w:r>
            <w:r w:rsidR="00A5400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24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-202</w:t>
            </w:r>
            <w:r w:rsidR="00A5400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8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թթ. համար հանցավո-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րության դեմ պայքարում համատեղ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միջոցների միջպետական ծրագրի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իրագործման ուղղությամբ ԱՊՀ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մասնակից պետությունների ղեկա-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վարների խորհրդի որոշման կետերի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շարունակական իրականացում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Համատեղ օպերատիվ-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կանխարգելիչ միջոցառում-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ների անցկացման արդյուն-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քում թմրամիջոցների, հո-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գեմետ (հոգեներգործուն)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նյութերի իրացման հետ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կապված հանցագործու-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թյունների նախականխում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և հայտնաբերում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3A493A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բյուջե և ՀՀ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օրենսդրությամբ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չարգելված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12.1. Թմրամոլության և թմրամիջոցների ապօրինի շրջանառության դեմ պայքարում ՀՀ-ում միջազգային փորձի ներդրման նպատակով խորհրդակցություններին, սեմինարներին մասնակցության ապահովում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12.2. Փորձագիտական և աշխատանքային խմբերում ակտիվ մասնակցություն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Օտարերկրյա պետությունների իրավասու մարմինների հետ համագործակցության ամրապնդում, ծառայողների տեսական գիտելիքների և գործնական հմտությունների բարձրացում, առաջավոր գիտական փորձի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փոխառում ու ներդրում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ազգային անվտանգության ծառայություն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եկամուտների կոմիտե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արդարադատության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պաշտպանության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3A493A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բյուջե և ՀՀ օրենսդրությամբ 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ոստիկանության, ՀՀ արդարադատության նախարարության քրեակատարողական հիմնարկների, ՀՀ պետական եկամուտների կոմիտեի իրավասու ստորաբաժանումների նյութատեխնիկական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վերազինման ապահովում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Իրավասու ստորաբաժանումների առկա տեխնիկական միջոցների բարելավում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արդարադատության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եկամուտների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3A493A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բյուջե և ՀՀ օրենսդրությամբ 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տարածքում գործող քիմիական ոլորտի կազմակերպությունների և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այլ տնտեսավարող սուբյեկտների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կողմից իրենց արտադրական կարիքների համար օգտագործվող և շրջանառության մեջ գտնվող ՄԱԿ-ի 1988 թ. կոնվենցիայի ցուցակներով հսկվող նյութերի շարժի նկատմամբ հսկողության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ապահովում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Պրեկուրսորների մեծածախ առևտրի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նկատմամբ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վերահսկողության, ապօրինի առևտրի կամ ընդհատակյա լաբորատորիաների հայտնաբերմանն ուղղված քայլերի ապահովում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ՀՀ 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ՆԳՆ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ոստիկանություն ՀՀ առողջապահության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եկամուտների կոմիտե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3A49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4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բյուջե և ՀՀ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օրենսդրությամբ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102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</w:rPr>
              <w:t>5. Թմրամիջոցներ կամ հոգեմետ նյութեր գործածող անձանց վերականգնողական միջոցառումներ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15.1. Թմրամիջոցների կամ հոգեմետ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նյութերի գործածումը դադարեցրած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անձանց վերականգնողական աշխատանքների իրականացնող ծառայությունների կարիքների ուսումնասիրություն և առաջարկությունների ներկայացում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15.2. Նարկոլոգիական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ծառայությունում հաշվառված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անձանց, որոնք գտնվում են դադարի (ռեմիսիայի) շրջանում կամ հաջողությամբ ավարտել են բուժման կուրսը, պետական զբաղվածության կարգավորման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ծրագրերում ընդգրկելը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Թմրամիջոցների կամ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հոգեմետ նյութերի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գործածումը դադարեցրած, ռեմիսիայի շրջանում գտնվող, բուժման կուրսն ավարտած անձանց ինտեգրումը հասարակություն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աշխատանքի և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սոցիալական հարցերի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առողջապահության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մարզպետարաններ, համայնքապետարաններ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(համաձայնությամբ)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Երևանի քաղաքապետարան (համաձայնությամբ)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3A493A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բյուջե և ՀՀ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օրենսդրությամբ 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Բնակչության և թմրամիջոցներ գործածող անձանց շրջանում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>կանխարգելման ծրագրեր իրականացնող հասարակական կազմակերպությունների և նարկոլոգիական բժշկական օգնություն և ծառայություններ մատուցող բժշկական հաստատությունների, մարզային,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համայնքային սոցիալական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ծառայությունների միջև սերտ համագործակցության ապահովում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 xml:space="preserve">Կանխարգելման ծրագրերի արդյունավետության 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>բարձրացում, նարկոլոգիական բժշկական օգնության և ծառայության առավել մատչելիության ապահովում, սոցիալական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դեպքի վարման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շրջանակներում ռիսկային գործոնների բացահայտում և համապատասխան կառույցների հետ համատեղ կանխարգելիչ միջոցառումների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կազմակերպում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>ՀՀ առողջապահության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>ՀՀ աշխատանքի և սոցիալական հարցերի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մարզպետարաններ, համայնքապետարաններ (համաձայնությամբ)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Երևանի քաղաքապետարան (համաձայնությամբ)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3A493A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>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>Ֆինանսավորում չի պահանջվում: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Սոցիալական ծառայությունների շրջանակում` թմրամոլության հակում ունեցող անձանց սոցիալական կարիքների ամբողջական գնահատում և դրանց համարժեք սոցիալական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ծառայությունների փաթեթի տրամադրում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Սոցիալական ծրագրերում թմրամոլության հակում ունեցող անձանց սոցիալվերականգնողական անհրաժեշտ օգնության ցուցաբերում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աշխատանքի և սոցիալական հարցերի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մարզպետարաններ, համայնքապետարաններ (համաձայնությամբ)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Երևանի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քաղաքապետարան (համաձայնությամբ)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3A493A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բյուջե և ՀՀ օրենսդրությամբ 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1021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</w:rPr>
              <w:t>6. Անչափահասների և երիտասարդության շրջանում առողջ ապրելակերպի միջոցառումներ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Նախնական մասնագիտական (արհեստագործական) և միջին մասնագիտական ուսումնական հաստատություններում «Առողջ ապրելակերպի» դասավանդման ընթացքում թմրամոլության կանխարգելման վերաբերյալ թեմաների ուսուցում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Անչափահասների և երիտասարդների շրջանում թմրամիջոցների գործածման նկատմամբ սոցիալական անձեռնմխելիության խթանում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կրթության, գիտության, մշակույթի և սպորտի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մարզպետարաններ, համայնքապետարաններ (համաձայնությամբ)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3A493A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Ֆինանսավորում չի պահանջվում: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19.1. Ֆիզիկական պատրաստականության,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առողջարարական և զանգվածային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մարզական միջոցառումների կազմակերպման և անցկացման ապահովում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19.2. Ֆիզիկական պատրաստականության, առողջարարական և մարզական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զանգվածային քարոզչություն`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տպագիր, էլեկտրոնային և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զանգվածային լրատվական միջոցներով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Բնակչության ակտիվ հանգստի կազմակերպում,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առողջ կենսակերպի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արմատավորում, հանրությանն իրազեկում, բնակչության լայն խավերին սպորտի պարապմունքներում ներգրավում, բնակչության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բազմակողմանի ու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ներդաշնակ զարգացում,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առողջության ամրապնդում, ֆիզիկական պատրաստականության և սպորտի դերի բարձրացում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կրթության, գիտության, մշակույթի և սպորտի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տարածքային կառավարման և ենթակառուցվածքների նախարարություն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Երևանի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քաղաքապետարան,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մարզպետարաններ, համայնքապետարաններ, մարզական հասարակական կազմակերպություններ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(համաձայնությամբ)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3A493A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2024</w:t>
            </w:r>
            <w:r w:rsidR="00114E10"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 բյուջե և ՀՀ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օրենսդրությամբ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չարգելված միջոցներ</w:t>
            </w:r>
          </w:p>
        </w:tc>
      </w:tr>
      <w:tr w:rsidR="00114E10" w:rsidRPr="00541378" w:rsidTr="00541378">
        <w:trPr>
          <w:tblCellSpacing w:w="0" w:type="dxa"/>
          <w:jc w:val="center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Ըստ բնակության վայրերի՝ պարզ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տիպի խաղահրապարակների ստեղծում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Համայնքների բակերում և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հանգստի գոտիներում (զբոսայգիներ, պուրակ-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ներ) խաղահրապարակների ստեղծում` հագեցած պարզ տիպի մարզասարքերով (պտտաձողեր, ճոճանակներ, զուգափայտեր, սահելու, մագլցման և ձգումների համակցված հարմարանքներ ու սարքեր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և այլն)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տարածքային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կառավարման և ենթակառուցվածքների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նախարարություն (Երևանի քաղաքապետա-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րան, ՀՀ մարզպետարաններ, համայնքապետարաններ)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3A49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202</w:t>
            </w:r>
            <w:r w:rsidR="003A493A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4</w:t>
            </w: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 xml:space="preserve"> թվականի ընթացքում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ՀՀ պետական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բյուջե և ՀՀ օրենսդրությամբ</w:t>
            </w:r>
          </w:p>
          <w:p w:rsidR="00114E10" w:rsidRPr="00541378" w:rsidRDefault="00114E10" w:rsidP="00114E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541378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չարգելված միջոցներ</w:t>
            </w:r>
          </w:p>
        </w:tc>
      </w:tr>
    </w:tbl>
    <w:p w:rsidR="00F72065" w:rsidRPr="00B5322E" w:rsidRDefault="00F72065" w:rsidP="00114E10">
      <w:pPr>
        <w:shd w:val="clear" w:color="auto" w:fill="FFFFFF"/>
        <w:spacing w:after="0" w:line="240" w:lineRule="auto"/>
        <w:ind w:right="115" w:firstLine="346"/>
        <w:jc w:val="center"/>
        <w:rPr>
          <w:rFonts w:ascii="GHEA Grapalat" w:hAnsi="GHEA Grapalat"/>
        </w:rPr>
      </w:pPr>
    </w:p>
    <w:sectPr w:rsidR="00F72065" w:rsidRPr="00B5322E" w:rsidSect="005B0D08">
      <w:pgSz w:w="12240" w:h="15840"/>
      <w:pgMar w:top="630" w:right="85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2E"/>
    <w:rsid w:val="00061067"/>
    <w:rsid w:val="000C7B2B"/>
    <w:rsid w:val="00114E10"/>
    <w:rsid w:val="0015169D"/>
    <w:rsid w:val="001932DD"/>
    <w:rsid w:val="0021201B"/>
    <w:rsid w:val="002425A6"/>
    <w:rsid w:val="00367C45"/>
    <w:rsid w:val="003758D8"/>
    <w:rsid w:val="003A493A"/>
    <w:rsid w:val="00446BFE"/>
    <w:rsid w:val="004E1A60"/>
    <w:rsid w:val="00522022"/>
    <w:rsid w:val="00522291"/>
    <w:rsid w:val="00541378"/>
    <w:rsid w:val="00576920"/>
    <w:rsid w:val="00592830"/>
    <w:rsid w:val="005B0D08"/>
    <w:rsid w:val="00644484"/>
    <w:rsid w:val="00646226"/>
    <w:rsid w:val="0065181E"/>
    <w:rsid w:val="006C4189"/>
    <w:rsid w:val="0070248A"/>
    <w:rsid w:val="00742E08"/>
    <w:rsid w:val="007B2384"/>
    <w:rsid w:val="007C1900"/>
    <w:rsid w:val="007E491A"/>
    <w:rsid w:val="00856980"/>
    <w:rsid w:val="008F5E7C"/>
    <w:rsid w:val="00912285"/>
    <w:rsid w:val="00A019AC"/>
    <w:rsid w:val="00A54008"/>
    <w:rsid w:val="00AF6C68"/>
    <w:rsid w:val="00B5322E"/>
    <w:rsid w:val="00BD23F6"/>
    <w:rsid w:val="00C031D3"/>
    <w:rsid w:val="00CA1DEE"/>
    <w:rsid w:val="00CD7A90"/>
    <w:rsid w:val="00D13F5E"/>
    <w:rsid w:val="00D410FA"/>
    <w:rsid w:val="00DC36B0"/>
    <w:rsid w:val="00DE6355"/>
    <w:rsid w:val="00E01691"/>
    <w:rsid w:val="00E114B4"/>
    <w:rsid w:val="00E949F5"/>
    <w:rsid w:val="00EB54C1"/>
    <w:rsid w:val="00F110C0"/>
    <w:rsid w:val="00F21538"/>
    <w:rsid w:val="00F43C98"/>
    <w:rsid w:val="00F72065"/>
    <w:rsid w:val="00F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7A90"/>
    <w:pPr>
      <w:keepNext/>
      <w:spacing w:after="0" w:line="360" w:lineRule="auto"/>
      <w:ind w:firstLine="720"/>
      <w:jc w:val="both"/>
      <w:outlineLvl w:val="0"/>
    </w:pPr>
    <w:rPr>
      <w:rFonts w:ascii="Times Armenian" w:eastAsia="Times New Roman" w:hAnsi="Times Armeni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2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322E"/>
    <w:rPr>
      <w:color w:val="0000FF"/>
      <w:u w:val="single"/>
    </w:rPr>
  </w:style>
  <w:style w:type="paragraph" w:customStyle="1" w:styleId="tablestyle">
    <w:name w:val="tablestyle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2E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7A90"/>
    <w:rPr>
      <w:rFonts w:ascii="Times Armenian" w:eastAsia="Times New Roman" w:hAnsi="Times Armeni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CD7A90"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D7A90"/>
    <w:rPr>
      <w:rFonts w:ascii="Desdemona" w:eastAsia="Times New Roman" w:hAnsi="Desdemon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nhideWhenUsed/>
    <w:rsid w:val="003758D8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3758D8"/>
    <w:rPr>
      <w:rFonts w:ascii="Times Armenian" w:eastAsia="Times New Roman" w:hAnsi="Times Armeni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7A90"/>
    <w:pPr>
      <w:keepNext/>
      <w:spacing w:after="0" w:line="360" w:lineRule="auto"/>
      <w:ind w:firstLine="720"/>
      <w:jc w:val="both"/>
      <w:outlineLvl w:val="0"/>
    </w:pPr>
    <w:rPr>
      <w:rFonts w:ascii="Times Armenian" w:eastAsia="Times New Roman" w:hAnsi="Times Armeni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k">
    <w:name w:val="bc6k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32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322E"/>
    <w:rPr>
      <w:color w:val="0000FF"/>
      <w:u w:val="single"/>
    </w:rPr>
  </w:style>
  <w:style w:type="paragraph" w:customStyle="1" w:styleId="tablestyle">
    <w:name w:val="tablestyle"/>
    <w:basedOn w:val="Normal"/>
    <w:rsid w:val="00B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2E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D7A90"/>
    <w:rPr>
      <w:rFonts w:ascii="Times Armenian" w:eastAsia="Times New Roman" w:hAnsi="Times Armenian" w:cs="Times New Roman"/>
      <w:b/>
      <w:sz w:val="24"/>
      <w:szCs w:val="20"/>
    </w:rPr>
  </w:style>
  <w:style w:type="paragraph" w:styleId="Header">
    <w:name w:val="header"/>
    <w:basedOn w:val="Normal"/>
    <w:link w:val="HeaderChar"/>
    <w:unhideWhenUsed/>
    <w:rsid w:val="00CD7A90"/>
    <w:pPr>
      <w:tabs>
        <w:tab w:val="center" w:pos="4320"/>
        <w:tab w:val="right" w:pos="8640"/>
      </w:tabs>
      <w:spacing w:after="0" w:line="240" w:lineRule="auto"/>
    </w:pPr>
    <w:rPr>
      <w:rFonts w:ascii="Desdemona" w:eastAsia="Times New Roman" w:hAnsi="Desdemon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D7A90"/>
    <w:rPr>
      <w:rFonts w:ascii="Desdemona" w:eastAsia="Times New Roman" w:hAnsi="Desdemona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nhideWhenUsed/>
    <w:rsid w:val="003758D8"/>
    <w:pPr>
      <w:spacing w:after="0" w:line="360" w:lineRule="auto"/>
      <w:ind w:firstLine="720"/>
      <w:jc w:val="both"/>
    </w:pPr>
    <w:rPr>
      <w:rFonts w:ascii="Times Armenian" w:eastAsia="Times New Roman" w:hAnsi="Times Armenian" w:cs="Times New Roman"/>
      <w:b/>
      <w:sz w:val="24"/>
      <w:szCs w:val="20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3758D8"/>
    <w:rPr>
      <w:rFonts w:ascii="Times Armenian" w:eastAsia="Times New Roman" w:hAnsi="Times Armeni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KHDPGV</dc:creator>
  <cp:keywords>https:/mul2-police.gov.am/tasks/1929051/oneclick/fea5cbd27cc091f34e5e01cb8210686c2c57a4831a4729584c49ef44fcb05608.docx?token=1b323b341d1a7cfeac5fbf37439e4138</cp:keywords>
  <cp:lastModifiedBy>User</cp:lastModifiedBy>
  <cp:revision>4</cp:revision>
  <dcterms:created xsi:type="dcterms:W3CDTF">2023-06-19T06:35:00Z</dcterms:created>
  <dcterms:modified xsi:type="dcterms:W3CDTF">2023-06-19T10:46:00Z</dcterms:modified>
</cp:coreProperties>
</file>