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CC" w:rsidRPr="00413CCC" w:rsidRDefault="00413CCC" w:rsidP="00413CC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13CCC">
        <w:rPr>
          <w:rFonts w:ascii="GHEA Grapalat" w:hAnsi="GHEA Grapalat"/>
          <w:sz w:val="24"/>
          <w:szCs w:val="24"/>
          <w:lang w:val="hy-AM"/>
        </w:rPr>
        <w:t>Հավելված</w:t>
      </w:r>
      <w:r w:rsidRPr="00413CCC">
        <w:rPr>
          <w:rFonts w:ascii="GHEA Grapalat" w:hAnsi="GHEA Grapalat"/>
          <w:sz w:val="24"/>
          <w:szCs w:val="24"/>
        </w:rPr>
        <w:t xml:space="preserve"> 1 </w:t>
      </w:r>
      <w:r w:rsidRPr="00413CCC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2E258D" w:rsidRDefault="00413CCC" w:rsidP="00413CCC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413CCC">
        <w:rPr>
          <w:rFonts w:ascii="GHEA Grapalat" w:hAnsi="GHEA Grapalat"/>
          <w:sz w:val="24"/>
          <w:szCs w:val="24"/>
          <w:lang w:val="hy-AM"/>
        </w:rPr>
        <w:t xml:space="preserve">  Սևան համայնքի ավագանու</w:t>
      </w:r>
      <w:r w:rsidR="002E258D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413CCC" w:rsidRPr="00413CCC" w:rsidRDefault="002E258D" w:rsidP="00413CC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«___»____________</w:t>
      </w:r>
      <w:r w:rsidR="00413CCC">
        <w:rPr>
          <w:rFonts w:ascii="GHEA Grapalat" w:hAnsi="GHEA Grapalat"/>
          <w:sz w:val="24"/>
          <w:szCs w:val="24"/>
          <w:lang w:val="hy-AM"/>
        </w:rPr>
        <w:t>թվական</w:t>
      </w:r>
      <w:r>
        <w:rPr>
          <w:rFonts w:ascii="GHEA Grapalat" w:hAnsi="GHEA Grapalat"/>
          <w:sz w:val="24"/>
          <w:szCs w:val="24"/>
        </w:rPr>
        <w:t>ի</w:t>
      </w:r>
      <w:r w:rsidR="00413CCC" w:rsidRPr="00413CC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CCC" w:rsidRPr="00413CCC">
        <w:rPr>
          <w:rFonts w:ascii="GHEA Grapalat" w:hAnsi="GHEA Grapalat" w:cs="GHEA Grapalat"/>
          <w:sz w:val="24"/>
          <w:szCs w:val="24"/>
          <w:lang w:val="fr-FR"/>
        </w:rPr>
        <w:t>N   -Ն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ո</w:t>
      </w:r>
      <w:r w:rsidR="00413CCC" w:rsidRPr="00413CCC">
        <w:rPr>
          <w:rFonts w:ascii="GHEA Grapalat" w:hAnsi="GHEA Grapalat" w:cs="GHEA Grapalat"/>
          <w:sz w:val="24"/>
          <w:szCs w:val="24"/>
          <w:lang w:val="fr-FR"/>
        </w:rPr>
        <w:t>րոշման</w:t>
      </w:r>
    </w:p>
    <w:p w:rsidR="00413CCC" w:rsidRPr="00413CCC" w:rsidRDefault="00413CCC" w:rsidP="00413CCC">
      <w:pPr>
        <w:pStyle w:val="ListParagraph"/>
        <w:shd w:val="clear" w:color="auto" w:fill="FFFFFF"/>
        <w:spacing w:after="0" w:line="240" w:lineRule="auto"/>
        <w:ind w:left="360"/>
        <w:jc w:val="center"/>
        <w:textAlignment w:val="baseline"/>
        <w:rPr>
          <w:rFonts w:ascii="GHEA Grapalat" w:hAnsi="GHEA Grapalat"/>
          <w:b/>
          <w:sz w:val="24"/>
          <w:szCs w:val="24"/>
          <w:lang w:val="en-US"/>
        </w:rPr>
      </w:pPr>
    </w:p>
    <w:p w:rsidR="00413CCC" w:rsidRPr="00413CCC" w:rsidRDefault="00413CCC" w:rsidP="00413CCC">
      <w:pPr>
        <w:pStyle w:val="ListParagraph"/>
        <w:shd w:val="clear" w:color="auto" w:fill="FFFFFF"/>
        <w:spacing w:after="0" w:line="240" w:lineRule="auto"/>
        <w:ind w:left="360"/>
        <w:jc w:val="center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413CC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ԳԵՂԱՐՔՈՒՆԻՔԻ ՄԱՐԶԻ </w:t>
      </w:r>
      <w:r w:rsidRPr="00413CCC">
        <w:rPr>
          <w:rFonts w:ascii="GHEA Grapalat" w:hAnsi="GHEA Grapalat"/>
          <w:b/>
          <w:sz w:val="24"/>
          <w:szCs w:val="24"/>
          <w:lang w:val="en-US"/>
        </w:rPr>
        <w:br/>
      </w:r>
      <w:r w:rsidRPr="00413CCC">
        <w:rPr>
          <w:rFonts w:ascii="GHEA Grapalat" w:hAnsi="GHEA Grapalat"/>
          <w:b/>
          <w:sz w:val="24"/>
          <w:szCs w:val="24"/>
          <w:lang w:val="hy-AM"/>
        </w:rPr>
        <w:t>Ս</w:t>
      </w:r>
      <w:r w:rsidRPr="00413CCC">
        <w:rPr>
          <w:rFonts w:ascii="GHEA Grapalat" w:hAnsi="GHEA Grapalat"/>
          <w:b/>
          <w:sz w:val="24"/>
          <w:szCs w:val="24"/>
          <w:lang w:val="en-US"/>
        </w:rPr>
        <w:t>ԵՎ</w:t>
      </w:r>
      <w:r w:rsidRPr="00413CCC">
        <w:rPr>
          <w:rFonts w:ascii="GHEA Grapalat" w:hAnsi="GHEA Grapalat"/>
          <w:b/>
          <w:sz w:val="24"/>
          <w:szCs w:val="24"/>
          <w:lang w:val="hy-AM"/>
        </w:rPr>
        <w:t xml:space="preserve">ԱՆ ՀԱՄԱՅՆՔԻ 2024-2026 ԹՎԱԿԱՆՆԵՐԻ </w:t>
      </w:r>
      <w:r w:rsidRPr="00413CCC">
        <w:rPr>
          <w:rFonts w:ascii="GHEA Grapalat" w:hAnsi="GHEA Grapalat"/>
          <w:b/>
          <w:sz w:val="24"/>
          <w:szCs w:val="24"/>
          <w:lang w:val="en-US"/>
        </w:rPr>
        <w:br/>
      </w:r>
      <w:r w:rsidRPr="00413CCC">
        <w:rPr>
          <w:rFonts w:ascii="GHEA Grapalat" w:hAnsi="GHEA Grapalat"/>
          <w:b/>
          <w:sz w:val="24"/>
          <w:szCs w:val="24"/>
          <w:lang w:val="hy-AM"/>
        </w:rPr>
        <w:t>ՄԻՋՆԱԺԱՄԿԵՏ ԾԱԽՍԵՐԻ ԾՐԱԳԻՐԸ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ՀՀ Գեղարքունիքի մարզի Սևան համայնքի 2024-2026</w:t>
      </w:r>
      <w:r>
        <w:rPr>
          <w:rFonts w:ascii="GHEA Grapalat" w:hAnsi="GHEA Grapalat"/>
          <w:lang w:val="hy-AM"/>
        </w:rPr>
        <w:t>թվականների</w:t>
      </w:r>
      <w:r w:rsidRPr="00413CCC">
        <w:rPr>
          <w:rFonts w:ascii="GHEA Grapalat" w:hAnsi="GHEA Grapalat"/>
          <w:lang w:val="hy-AM"/>
        </w:rPr>
        <w:t xml:space="preserve"> միջնաժամկետ ծախսերի ծրագիրը /այսուհետ` ՄԺԾԾ/ հանդիսանում է Սևան համայնքի զարգացման հեռանկարի թվային արտացոլումը և համայնքի միջնաժամկետ կտրվածքով գլխավոր ֆինանսական փաստաթուղթը, որը և ելակետ է` նախագծելու համապատասխան տարվան հաջորդող տարեկան բյուջեն: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ՄԺԾԾ-ով ներկայացվում են Սևան համայնքի` կանխատեսվող հաջորդ 3 տարիների եկամուտները, դեֆիցիտի ֆինանսավորման աղբյուրները, ծախսային ուղղությունները ըստ ոլորտների, որոնք բերելու են Սևան համայնքի կայուն և համաչափ զարգացմանը, ինչպես նաև կընձեռեն հնարավորություն համայնքին առավել արդյունավետ գեներացնելու եկամուտները, մասնավորապես` միջնաժամկետ կտրվածքով կմշակվեն մեխանիզմներ դրանք ավելացնելու ուղղությամբ, որն իր հերթին կբերի համայնքի զարգացմանը միտված ծախսերի ավելացմանը: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ՄԺԾԾ-ն կնպաստի ավելի լայն և հեռանկարային ծախսերի քաղաքականության մշակմանը, որի շնորհիվ համայնքի զարգացման հեռանկարը կստանա բյուջետային ձևաչափ և որը, ըստ էության, հասանելի կդարձնի բոլորին, այդ թվում` քաղաքացիներին, ուսումնասիրելու միջնաժամկետ կտրվածքով համայնքի կողմից նախատեսվող ծախսերի բաշխումը ըստ ոլորտների` թվային տեսքով, ընդ որում` սույն ֆինանսական փաստաթղթով առավել կընդգծվեն բյուջետային ծրագրերի շարունակականության ապահովման ֆինանսական մեխանիզմները: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Սևան համայնքի 2024-2026</w:t>
      </w:r>
      <w:r>
        <w:rPr>
          <w:rFonts w:ascii="GHEA Grapalat" w:hAnsi="GHEA Grapalat"/>
          <w:lang w:val="hy-AM"/>
        </w:rPr>
        <w:t>թվականների</w:t>
      </w:r>
      <w:r w:rsidRPr="00413CCC">
        <w:rPr>
          <w:rFonts w:ascii="GHEA Grapalat" w:hAnsi="GHEA Grapalat"/>
          <w:lang w:val="hy-AM"/>
        </w:rPr>
        <w:t xml:space="preserve"> միջնաժամկետ ծախսերի ծրագիրը նախագծվել է` ղեկավարվելով «Հայաստանի Հանրապետության բյուջետային համակարգի մասին» և «Տեղական ինքնակառավարման մասին» ՀՀ օրենքներով: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  <w:lang w:val="hy-AM"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  <w:r w:rsidRPr="00413CCC">
        <w:rPr>
          <w:rFonts w:ascii="GHEA Grapalat" w:hAnsi="GHEA Grapalat"/>
          <w:b/>
        </w:rPr>
        <w:t xml:space="preserve">1. </w:t>
      </w:r>
      <w:r w:rsidRPr="00413CCC">
        <w:rPr>
          <w:rFonts w:ascii="GHEA Grapalat" w:hAnsi="GHEA Grapalat"/>
          <w:b/>
          <w:lang w:val="hy-AM"/>
        </w:rPr>
        <w:t>Զարգացման հիմնական ուղղությունները և սկզբունքները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 xml:space="preserve">      Սևան համայնքի  2024-2026</w:t>
      </w:r>
      <w:r>
        <w:rPr>
          <w:rFonts w:ascii="GHEA Grapalat" w:hAnsi="GHEA Grapalat"/>
          <w:lang w:val="hy-AM"/>
        </w:rPr>
        <w:t>թվականների</w:t>
      </w:r>
      <w:r w:rsidRPr="00413CCC">
        <w:rPr>
          <w:rFonts w:ascii="GHEA Grapalat" w:hAnsi="GHEA Grapalat"/>
          <w:lang w:val="hy-AM"/>
        </w:rPr>
        <w:t xml:space="preserve"> համար նախանշված ծրագրերի իրականացումը խարսխվելու է համաչափ և կայուն զարգացման սկզբունքի վրա, որի նպատակային իրագործման համար առաջնահերթ և գերակա են համարվելու`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Կառավարման արդյունավետության բարձրացումը, համայնքապետարանի գործունեության թափանցիկությունը և բնակչությանը լիարժեք հաշվետու լինելը: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Հանրային տարածքների, շրջակա միջավայրի և պատմամշակութային ժառանգության պաշտպանությունը: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Մարդու իրավունքների պաշտպանության գերակա սկզբունքներով որոշումների կայացումը: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  <w:lang w:val="hy-AM"/>
        </w:rPr>
      </w:pPr>
      <w:r w:rsidRPr="00413CCC">
        <w:rPr>
          <w:rFonts w:ascii="GHEA Grapalat" w:hAnsi="GHEA Grapalat"/>
          <w:lang w:val="hy-AM"/>
        </w:rPr>
        <w:t>Համայնքի մասնակցային կառավարման մշակույթի ձևավորումը` բնակչությանը մասնակից դարձնելով հանրային նշանակություն ունեցող և բնակչությանը հուզող որոշումների կայացմանը` հարցումների, քննարկումների և քվեարկությունների միջոցով: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Համայնքի կառավարման ներառականության բարելավումը: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Իրավահավասար ու ներդաշնակ համակեցության մշակույթի ձևավորումը: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lastRenderedPageBreak/>
        <w:t>Անվտանգ, առողջ ու հարմարավետ ապրելու և գործելու կենսամիջավայրի ստեղծումը: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Աղբահանության կազմակերպման և կարգավորման և աղբի վերամշակման գործարանի ստեղծման մեկնարկի ապահովումը: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Երիտասարդական և սպորտային ծրագրերի միջոցով բնակիչների շրջանում առողջ ապրելակերպի գաղափարի խթանումը: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Զբոսաշրջության ենթակառուցվածքների զարգացման խթանումը և Սևանի զբոսաշրջային միջավայրի բարելավումը: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Բազմաբնակարան շենքերի տանիքների հիմնանորոգման շարունակությ</w:t>
      </w:r>
      <w:r w:rsidRPr="00413CCC">
        <w:rPr>
          <w:rFonts w:ascii="GHEA Grapalat" w:hAnsi="GHEA Grapalat"/>
          <w:lang w:val="hy-AM"/>
        </w:rPr>
        <w:t>ան ապահովում</w:t>
      </w:r>
      <w:r w:rsidRPr="00413CCC">
        <w:rPr>
          <w:rFonts w:ascii="GHEA Grapalat" w:hAnsi="GHEA Grapalat"/>
        </w:rPr>
        <w:t>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Նախադպրոցական հաստատությունների ներառականության հնարավորությունների ապահովումը: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Հնարավորությունների դեպքում նախադպրոցական և արտադպրոցական կազմակերպությունների հիմնանորոգումը: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Մշակույթի ոլորտի ենթակառուցվածքների զարգացում, մշակութային ծառայություններից օգտվելու ներառականության ապահովումը, ինչպես նաև ընթացիկ ու կապիտալ նորոգումների հետ կապված  խնդիրների լուծում: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Փողոցային լուսավորության համակարգի արդիականացում, էներգախնայող համակարգերի ներդրում, վերգետնյա մալուխային ցանցի անցկացում, համակարգի անվտանգության և հուսալիության աստիճանի բարձրացում: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Գործարարության և ներդրումների համար բարենպաստ միջավայրի ապահովումը, համայնքի և գործարար միջավայրի միջև փոխշահավետ համագործակցության խթանումը:</w:t>
      </w:r>
    </w:p>
    <w:p w:rsidR="00413CCC" w:rsidRP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Երեխաների իրավունքների պաշտպանությունն ու անչափահասների հետ տարվող աշխատանքների բարելավումը:</w:t>
      </w:r>
    </w:p>
    <w:p w:rsidR="00413CCC" w:rsidRDefault="00413CCC" w:rsidP="00413CC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Բնակիչների սոցիալական պաշտպանվածության ապահովումն ու այդ նպատակով հաշմանդամություն ունեցող անձանց, ծնողազուրկ երեխաների, բազմազավակ և անապահով ընտանիքների կենսական ապահովմանն ուղղված սոցիալական ծրագրերի արդյունավետ իրականացումը:</w:t>
      </w:r>
    </w:p>
    <w:p w:rsidR="00413CCC" w:rsidRDefault="00413CCC" w:rsidP="00413CCC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</w:p>
    <w:p w:rsidR="00413CCC" w:rsidRDefault="00413CCC" w:rsidP="00413CCC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</w:p>
    <w:p w:rsidR="00413CCC" w:rsidRPr="00413CCC" w:rsidRDefault="00413CCC" w:rsidP="00413CCC">
      <w:pPr>
        <w:pStyle w:val="NormalWeb"/>
        <w:spacing w:before="0" w:beforeAutospacing="0" w:after="0" w:afterAutospacing="0"/>
        <w:jc w:val="both"/>
        <w:rPr>
          <w:rFonts w:ascii="GHEA Grapalat" w:hAnsi="GHEA Grapalat"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  <w:r w:rsidRPr="00413CCC">
        <w:rPr>
          <w:rFonts w:ascii="GHEA Grapalat" w:hAnsi="GHEA Grapalat"/>
          <w:b/>
        </w:rPr>
        <w:t xml:space="preserve">2. </w:t>
      </w:r>
      <w:r w:rsidRPr="00413CCC">
        <w:rPr>
          <w:rFonts w:ascii="GHEA Grapalat" w:hAnsi="GHEA Grapalat"/>
          <w:b/>
          <w:lang w:val="hy-AM"/>
        </w:rPr>
        <w:t>Սևան հ</w:t>
      </w:r>
      <w:r w:rsidRPr="00413CCC">
        <w:rPr>
          <w:rFonts w:ascii="GHEA Grapalat" w:hAnsi="GHEA Grapalat"/>
          <w:b/>
        </w:rPr>
        <w:t>ամայնքի 2024-2026</w:t>
      </w:r>
      <w:r>
        <w:rPr>
          <w:rFonts w:ascii="GHEA Grapalat" w:hAnsi="GHEA Grapalat"/>
          <w:b/>
        </w:rPr>
        <w:t>թվականների</w:t>
      </w:r>
      <w:r w:rsidR="002E258D">
        <w:rPr>
          <w:rFonts w:ascii="GHEA Grapalat" w:hAnsi="GHEA Grapalat"/>
          <w:b/>
        </w:rPr>
        <w:t>ն</w:t>
      </w:r>
      <w:r w:rsidRPr="00413CCC">
        <w:rPr>
          <w:rFonts w:ascii="GHEA Grapalat" w:hAnsi="GHEA Grapalat"/>
          <w:b/>
        </w:rPr>
        <w:t xml:space="preserve"> կանխատեսվող եկամուտները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Ելնելով Սևան միավորված համայնքի առաջին տարվա՝ 2022</w:t>
      </w:r>
      <w:r w:rsidR="002E258D">
        <w:rPr>
          <w:rFonts w:ascii="GHEA Grapalat" w:hAnsi="GHEA Grapalat"/>
        </w:rPr>
        <w:t>թվականի</w:t>
      </w:r>
      <w:r w:rsidRPr="00413CCC">
        <w:rPr>
          <w:rFonts w:ascii="GHEA Grapalat" w:hAnsi="GHEA Grapalat"/>
        </w:rPr>
        <w:t xml:space="preserve"> կատարված բյուջեի հնարավորություններից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վերանայվել է</w:t>
      </w:r>
      <w:r w:rsidRPr="00413CCC">
        <w:rPr>
          <w:rFonts w:ascii="GHEA Grapalat" w:hAnsi="GHEA Grapalat"/>
          <w:lang w:val="hy-AM"/>
        </w:rPr>
        <w:t xml:space="preserve"> </w:t>
      </w:r>
      <w:r w:rsidRPr="00413CCC">
        <w:rPr>
          <w:rFonts w:ascii="GHEA Grapalat" w:hAnsi="GHEA Grapalat"/>
        </w:rPr>
        <w:t>նախորդ եկամուտների կանխատեսումները և 2024-2026</w:t>
      </w:r>
      <w:r>
        <w:rPr>
          <w:rFonts w:ascii="GHEA Grapalat" w:hAnsi="GHEA Grapalat"/>
        </w:rPr>
        <w:t>թվականների</w:t>
      </w:r>
      <w:r w:rsidRPr="00413CCC">
        <w:rPr>
          <w:rFonts w:ascii="GHEA Grapalat" w:hAnsi="GHEA Grapalat"/>
        </w:rPr>
        <w:t xml:space="preserve"> եկամուտները կանխատեսվել են  մի փոքր նվազեցված 2024</w:t>
      </w:r>
      <w:r>
        <w:rPr>
          <w:rFonts w:ascii="GHEA Grapalat" w:hAnsi="GHEA Grapalat"/>
        </w:rPr>
        <w:t>թվականից</w:t>
      </w:r>
      <w:r w:rsidRPr="00413CCC">
        <w:rPr>
          <w:rFonts w:ascii="GHEA Grapalat" w:hAnsi="GHEA Grapalat"/>
        </w:rPr>
        <w:t xml:space="preserve"> 2026</w:t>
      </w:r>
      <w:r>
        <w:rPr>
          <w:rFonts w:ascii="GHEA Grapalat" w:hAnsi="GHEA Grapalat"/>
        </w:rPr>
        <w:t>թվականի</w:t>
      </w:r>
      <w:r w:rsidRPr="00413CCC">
        <w:rPr>
          <w:rFonts w:ascii="GHEA Grapalat" w:hAnsi="GHEA Grapalat"/>
        </w:rPr>
        <w:t xml:space="preserve">   վարչական մասով յուրաքանչյուր  տարին  1500.0 մլն. դրամի չափով</w:t>
      </w:r>
      <w:r w:rsidRPr="00413CCC">
        <w:rPr>
          <w:rFonts w:ascii="GHEA Grapalat" w:hAnsi="GHEA Grapalat"/>
          <w:lang w:val="hy-AM"/>
        </w:rPr>
        <w:t>,</w:t>
      </w:r>
      <w:r w:rsidRPr="00413CCC">
        <w:rPr>
          <w:rFonts w:ascii="GHEA Grapalat" w:hAnsi="GHEA Grapalat"/>
        </w:rPr>
        <w:t xml:space="preserve"> իսկ  ֆոնդային բյուջեի եկամուտների մասով՝ 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 1000.0  մլն. դրամ, 2025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1100.0 մլն. դրամ, 2026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1150.0 մլն. դրամի չափով: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Հատկանշական է, որ ընդամենը եկամուտների կազմում աճ է նախատեսվում գրեթե բոլոր բյուջետային բաժիններում և խմբերում, մասնավորապես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հարկ է նկատել Սևան համայնքի սեփական եկամուտների դինամիկան, որը հիմնականում պայմանավորված է ՀՀ Հարկային օրենսգրքի 233-րդ հոդվածի 7-րդ մասով սահմանված դրույթների կիրառմամբ, որի արդյունքում միջնաժամկետ կտրվածով սեփական եկամուտների կազմում հիմնական աճը նախատեսվում է հարկ անշարժ գույքի մասով եկամտատեսակից:</w:t>
      </w:r>
    </w:p>
    <w:p w:rsidR="0021192D" w:rsidRDefault="0021192D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  <w:r w:rsidRPr="00413CCC">
        <w:rPr>
          <w:rFonts w:ascii="GHEA Grapalat" w:hAnsi="GHEA Grapalat"/>
          <w:b/>
        </w:rPr>
        <w:lastRenderedPageBreak/>
        <w:t>3. Եկամուտների վերծանում</w:t>
      </w:r>
      <w:r w:rsidRPr="00413CCC">
        <w:rPr>
          <w:rFonts w:ascii="GHEA Grapalat" w:hAnsi="GHEA Grapalat"/>
          <w:b/>
          <w:lang w:val="hy-AM"/>
        </w:rPr>
        <w:t>ն</w:t>
      </w:r>
      <w:r w:rsidRPr="00413CCC">
        <w:rPr>
          <w:rFonts w:ascii="GHEA Grapalat" w:hAnsi="GHEA Grapalat"/>
          <w:b/>
        </w:rPr>
        <w:t xml:space="preserve"> ըստ առանձին տեսակների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Սևան համայնքի 2024-2026</w:t>
      </w:r>
      <w:r>
        <w:rPr>
          <w:rFonts w:ascii="GHEA Grapalat" w:hAnsi="GHEA Grapalat"/>
        </w:rPr>
        <w:t>թվականների</w:t>
      </w:r>
      <w:r w:rsidRPr="00413CCC">
        <w:rPr>
          <w:rFonts w:ascii="GHEA Grapalat" w:hAnsi="GHEA Grapalat"/>
        </w:rPr>
        <w:t xml:space="preserve"> եկամուտների կազմում սեփական եկամուտների ցուցանիշը համապատասխանաբար կազմում է 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480.0մլն. դրամ, 2025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500.0 մլն. դրամ, 2026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520.0 մլն. դրամ, կամ աճը կանխատեսվում է անշարժ գույքի հարկի և փոխադրամիջոցների գույքահարկի աճերով: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Միջ</w:t>
      </w:r>
      <w:r w:rsidRPr="00413CCC">
        <w:rPr>
          <w:rFonts w:ascii="GHEA Grapalat" w:hAnsi="GHEA Grapalat"/>
          <w:lang w:val="hy-AM"/>
        </w:rPr>
        <w:t>նա</w:t>
      </w:r>
      <w:r w:rsidRPr="00413CCC">
        <w:rPr>
          <w:rFonts w:ascii="GHEA Grapalat" w:hAnsi="GHEA Grapalat"/>
        </w:rPr>
        <w:t>ժամկետ ծախսային ծրագրերի իրականացման համար աճ է կանխատեսվում նաև պաշտոնական դրամաշնորհների</w:t>
      </w:r>
      <w:r w:rsidRPr="00413CCC">
        <w:rPr>
          <w:rFonts w:ascii="GHEA Grapalat" w:hAnsi="GHEA Grapalat"/>
          <w:lang w:val="hy-AM"/>
        </w:rPr>
        <w:t>,</w:t>
      </w:r>
      <w:r w:rsidRPr="00413CCC">
        <w:rPr>
          <w:rFonts w:ascii="GHEA Grapalat" w:hAnsi="GHEA Grapalat"/>
        </w:rPr>
        <w:t xml:space="preserve"> մասնավորապես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համահարթեցման դոտացիաների միայն 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2023</w:t>
      </w:r>
      <w:r>
        <w:rPr>
          <w:rFonts w:ascii="GHEA Grapalat" w:hAnsi="GHEA Grapalat"/>
        </w:rPr>
        <w:t>թվականի</w:t>
      </w:r>
      <w:r w:rsidRPr="00413CCC">
        <w:rPr>
          <w:rFonts w:ascii="GHEA Grapalat" w:hAnsi="GHEA Grapalat"/>
        </w:rPr>
        <w:t xml:space="preserve"> համեմատ և սուբվենցիաների գծով 2024-2026</w:t>
      </w:r>
      <w:r>
        <w:rPr>
          <w:rFonts w:ascii="GHEA Grapalat" w:hAnsi="GHEA Grapalat"/>
        </w:rPr>
        <w:t>թվական</w:t>
      </w:r>
      <w:r w:rsidRPr="00413CCC">
        <w:rPr>
          <w:rFonts w:ascii="GHEA Grapalat" w:hAnsi="GHEA Grapalat"/>
        </w:rPr>
        <w:t xml:space="preserve"> համար, այլ կերպ ասած պետական աջակցության միջոցների՝ սուբվենցիայի հաշվին այն դինամիկայով ինչ չափով հնարավորություն կստեղծվի ապահովել համայնքայի բյուջեով նախատեսնված ներդրում ապահովումը: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պաշտոնական դրամաշնորհները կանխատեսվում են երեք տարվա միջինով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995.4 մլն. դրամ: Սուբվենցիա 500.0 մլն. դրամ 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>, 672.0 և 775.0 մլն. դրամի չափով համապատասխանաբար  2025-2026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>: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  <w:r w:rsidRPr="00413CCC">
        <w:rPr>
          <w:rFonts w:ascii="GHEA Grapalat" w:hAnsi="GHEA Grapalat"/>
          <w:b/>
        </w:rPr>
        <w:t>4. Համայնքի 2024-2026</w:t>
      </w:r>
      <w:r>
        <w:rPr>
          <w:rFonts w:ascii="GHEA Grapalat" w:hAnsi="GHEA Grapalat"/>
          <w:b/>
        </w:rPr>
        <w:t>թվականների</w:t>
      </w:r>
      <w:r w:rsidR="002E258D">
        <w:rPr>
          <w:rFonts w:ascii="GHEA Grapalat" w:hAnsi="GHEA Grapalat"/>
          <w:b/>
        </w:rPr>
        <w:t>ն</w:t>
      </w:r>
      <w:r w:rsidRPr="00413CCC">
        <w:rPr>
          <w:rFonts w:ascii="GHEA Grapalat" w:hAnsi="GHEA Grapalat"/>
          <w:b/>
        </w:rPr>
        <w:t xml:space="preserve"> կանխատեսվող ծախսերը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Համայնքի 2024-2026</w:t>
      </w:r>
      <w:r>
        <w:rPr>
          <w:rFonts w:ascii="GHEA Grapalat" w:hAnsi="GHEA Grapalat"/>
        </w:rPr>
        <w:t>թվականների</w:t>
      </w:r>
      <w:r w:rsidRPr="00413CCC">
        <w:rPr>
          <w:rFonts w:ascii="GHEA Grapalat" w:hAnsi="GHEA Grapalat"/>
        </w:rPr>
        <w:t xml:space="preserve"> ծախսերը կանխատեսվում են համապատասխանաբար` 2024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 xml:space="preserve"> 2500.0 մլն. դրամ, 2025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>` 2600.0 մլն. դրամ, 2026</w:t>
      </w:r>
      <w:r>
        <w:rPr>
          <w:rFonts w:ascii="GHEA Grapalat" w:hAnsi="GHEA Grapalat"/>
        </w:rPr>
        <w:t>թվականին</w:t>
      </w:r>
      <w:r w:rsidRPr="00413CCC">
        <w:rPr>
          <w:rFonts w:ascii="GHEA Grapalat" w:hAnsi="GHEA Grapalat"/>
        </w:rPr>
        <w:t>` 2700.0 մլն. դրամ: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  <w:lang w:val="hy-AM"/>
        </w:rPr>
        <w:t>Մ</w:t>
      </w:r>
      <w:r w:rsidRPr="00413CCC">
        <w:rPr>
          <w:rFonts w:ascii="GHEA Grapalat" w:hAnsi="GHEA Grapalat"/>
        </w:rPr>
        <w:t>ԺԾԾ ծախսերը կանխատեսվում են եկամուտների համամասնորեն և միտված են համայնքի համաչափ և կայուն զարգացմանը: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Ծախսերը նախագծվել են</w:t>
      </w:r>
      <w:r w:rsidRPr="00413CCC">
        <w:rPr>
          <w:rFonts w:ascii="GHEA Grapalat" w:hAnsi="GHEA Grapalat"/>
          <w:lang w:val="hy-AM"/>
        </w:rPr>
        <w:t>`</w:t>
      </w:r>
      <w:r w:rsidRPr="00413CCC">
        <w:rPr>
          <w:rFonts w:ascii="GHEA Grapalat" w:hAnsi="GHEA Grapalat"/>
        </w:rPr>
        <w:t xml:space="preserve"> հետևելով բյուջետային հաշվեկշռվածության սկզբունքին` ապահովելով բյուջեների կառուցման ստանդարտները և ներկայացնելով այն ըստ բյուջետային գործառնական և տնտեսագիտական դասակարգումների, ինչպես նաև ըստ առանձին ծրագրերի:</w:t>
      </w:r>
    </w:p>
    <w:p w:rsidR="00413CCC" w:rsidRPr="00413CCC" w:rsidRDefault="00413CCC" w:rsidP="00413CCC">
      <w:pPr>
        <w:pStyle w:val="NormalWeb"/>
        <w:spacing w:before="0" w:beforeAutospacing="0" w:after="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Ընդհանուր ծախսերը ըստ բյուջետային տնտեսագիտական դասակարգման բնույթների կարելի է նկարագրել հետևյալ խմբերով`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ab/>
      </w:r>
      <w:r w:rsidRPr="00413CCC">
        <w:rPr>
          <w:rFonts w:ascii="GHEA Grapalat" w:hAnsi="GHEA Grapalat"/>
          <w:lang w:val="hy-AM"/>
        </w:rPr>
        <w:t xml:space="preserve">        </w:t>
      </w:r>
      <w:r w:rsidRPr="00413CCC">
        <w:rPr>
          <w:rFonts w:ascii="GHEA Grapalat" w:hAnsi="GHEA Grapalat"/>
        </w:rPr>
        <w:t>մլն. 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3969"/>
        <w:gridCol w:w="1712"/>
        <w:gridCol w:w="1718"/>
        <w:gridCol w:w="1725"/>
      </w:tblGrid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Հ/Հ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Ծախսերի անվանումը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2024</w:t>
            </w:r>
            <w:r>
              <w:rPr>
                <w:rFonts w:ascii="GHEA Grapalat" w:hAnsi="GHEA Grapalat"/>
              </w:rPr>
              <w:t>թվական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2025</w:t>
            </w:r>
            <w:r>
              <w:rPr>
                <w:rFonts w:ascii="GHEA Grapalat" w:hAnsi="GHEA Grapalat"/>
              </w:rPr>
              <w:t>թվական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2026</w:t>
            </w:r>
            <w:r>
              <w:rPr>
                <w:rFonts w:ascii="GHEA Grapalat" w:hAnsi="GHEA Grapalat"/>
              </w:rPr>
              <w:t>թվական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Աշխատանքի վարձատրություն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275.0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280.0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290.0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1192D">
            <w:pPr>
              <w:pStyle w:val="NormalWeb"/>
              <w:spacing w:before="0" w:beforeAutospacing="0" w:after="150" w:afterAutospacing="0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Ծառայությունների և ապրանքների գնում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89.0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110.0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3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Սուբսիդիաներ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710.0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700.0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720.0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Դրամաշնորհներ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5.0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5.0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5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Նպաստներ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24.0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25.0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25.0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6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Այլ ծախսեր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120.0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Հիմնական միջոցներ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1000.0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1100.0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1150.0</w:t>
            </w:r>
          </w:p>
        </w:tc>
      </w:tr>
      <w:tr w:rsidR="00413CCC" w:rsidRPr="00413CCC" w:rsidTr="002B4B99">
        <w:tc>
          <w:tcPr>
            <w:tcW w:w="82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8</w:t>
            </w:r>
          </w:p>
        </w:tc>
        <w:tc>
          <w:tcPr>
            <w:tcW w:w="423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Ոչ ֆինանսական ակտիվների իրացումից մուտքեր</w:t>
            </w:r>
          </w:p>
        </w:tc>
        <w:tc>
          <w:tcPr>
            <w:tcW w:w="150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278.0</w:t>
            </w:r>
          </w:p>
        </w:tc>
        <w:tc>
          <w:tcPr>
            <w:tcW w:w="1620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290.0</w:t>
            </w:r>
          </w:p>
        </w:tc>
        <w:tc>
          <w:tcPr>
            <w:tcW w:w="137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300.0</w:t>
            </w:r>
          </w:p>
        </w:tc>
      </w:tr>
    </w:tbl>
    <w:p w:rsid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</w:p>
    <w:p w:rsidR="002E258D" w:rsidRPr="00413CCC" w:rsidRDefault="002E258D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jc w:val="center"/>
        <w:rPr>
          <w:rFonts w:ascii="GHEA Grapalat" w:hAnsi="GHEA Grapalat"/>
          <w:b/>
        </w:rPr>
      </w:pPr>
      <w:r w:rsidRPr="00413CCC">
        <w:rPr>
          <w:rFonts w:ascii="GHEA Grapalat" w:hAnsi="GHEA Grapalat"/>
          <w:b/>
        </w:rPr>
        <w:lastRenderedPageBreak/>
        <w:t>5. Բյուջետային ծախսերի կանխատեսումը ըստ ոլորտների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</w:rPr>
      </w:pPr>
    </w:p>
    <w:p w:rsidR="00413CCC" w:rsidRPr="00413CCC" w:rsidRDefault="00413CCC" w:rsidP="00413CC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413CCC">
        <w:rPr>
          <w:rFonts w:ascii="GHEA Grapalat" w:hAnsi="GHEA Grapalat"/>
        </w:rPr>
        <w:t>Կանխատեսվող բյուջետային ծախսերի բաշխման ոլորտային սկզբունքները</w:t>
      </w:r>
      <w:r w:rsidRPr="00413CCC">
        <w:rPr>
          <w:rFonts w:ascii="GHEA Grapalat" w:hAnsi="GHEA Grapalat"/>
          <w:lang w:val="hy-AM"/>
        </w:rPr>
        <w:t xml:space="preserve">  պայմանավորված են </w:t>
      </w:r>
      <w:r w:rsidRPr="00413CCC">
        <w:rPr>
          <w:rFonts w:ascii="GHEA Grapalat" w:hAnsi="GHEA Grapalat"/>
        </w:rPr>
        <w:t xml:space="preserve">Սևան համայնքի համաչափ զարգացման և ոլորտային ուսումնասիրությունների արդյունքում հանգած խնդիրների լուծման տեսլականներով: Այն առավել մատչելի ձևով ներկայացված է բյուջետային դասակարգման գործառնական խմբերում և բաշխված </w:t>
      </w:r>
      <w:r w:rsidRPr="00413CCC">
        <w:rPr>
          <w:rFonts w:ascii="GHEA Grapalat" w:hAnsi="GHEA Grapalat"/>
          <w:lang w:val="hy-AM"/>
        </w:rPr>
        <w:t xml:space="preserve">է </w:t>
      </w:r>
      <w:r w:rsidRPr="00413CCC">
        <w:rPr>
          <w:rFonts w:ascii="GHEA Grapalat" w:hAnsi="GHEA Grapalat"/>
        </w:rPr>
        <w:t xml:space="preserve">հետևալ կերպ: </w:t>
      </w:r>
    </w:p>
    <w:p w:rsidR="00413CCC" w:rsidRPr="00413CCC" w:rsidRDefault="00413CCC" w:rsidP="00413CCC">
      <w:pPr>
        <w:pStyle w:val="NormalWeb"/>
        <w:spacing w:before="0" w:beforeAutospacing="0" w:after="150" w:afterAutospacing="0"/>
        <w:ind w:left="56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Pr="00413CCC">
        <w:rPr>
          <w:rFonts w:ascii="GHEA Grapalat" w:hAnsi="GHEA Grapalat"/>
        </w:rPr>
        <w:t>մլն. դրամ</w:t>
      </w:r>
    </w:p>
    <w:tbl>
      <w:tblPr>
        <w:tblW w:w="96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3878"/>
        <w:gridCol w:w="1712"/>
        <w:gridCol w:w="1718"/>
        <w:gridCol w:w="1725"/>
      </w:tblGrid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Հ/Հ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Ծախսերի անվանումը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2024</w:t>
            </w:r>
            <w:r>
              <w:rPr>
                <w:rFonts w:ascii="GHEA Grapalat" w:hAnsi="GHEA Grapalat"/>
              </w:rPr>
              <w:t>թվական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2025</w:t>
            </w:r>
            <w:r>
              <w:rPr>
                <w:rFonts w:ascii="GHEA Grapalat" w:hAnsi="GHEA Grapalat"/>
              </w:rPr>
              <w:t>թվական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2026</w:t>
            </w:r>
            <w:r>
              <w:rPr>
                <w:rFonts w:ascii="GHEA Grapalat" w:hAnsi="GHEA Grapalat"/>
              </w:rPr>
              <w:t>թվական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Ընդհանուր բնույթի հանրային ծառայություններ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460.0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460.0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480.0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Տնտեսական հարաբերություններ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900.0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990.0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1040.0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Շրջակա միջավայրի պաշտպանություն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230.0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230.0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235.0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Բնակարանային տնտեսություն և կոմունալ ծառայություններ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110.0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100.0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5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Մշակույթ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60.0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65.0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70.0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6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Կրթություն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438.0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440.0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450.0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7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Սոցիալական պաշտպանություն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24.0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25.0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25.0</w:t>
            </w:r>
          </w:p>
        </w:tc>
      </w:tr>
      <w:tr w:rsidR="00413CCC" w:rsidRPr="00413CCC" w:rsidTr="00413CCC">
        <w:tc>
          <w:tcPr>
            <w:tcW w:w="65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8</w:t>
            </w:r>
          </w:p>
        </w:tc>
        <w:tc>
          <w:tcPr>
            <w:tcW w:w="387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Հիմնական բաժիններին չդասվող պահուստային միջոցներ, որից հատկացումներ ֆոնդային բյուջե</w:t>
            </w:r>
          </w:p>
        </w:tc>
        <w:tc>
          <w:tcPr>
            <w:tcW w:w="1712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278.0</w:t>
            </w:r>
          </w:p>
        </w:tc>
        <w:tc>
          <w:tcPr>
            <w:tcW w:w="1718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290.0</w:t>
            </w:r>
          </w:p>
        </w:tc>
        <w:tc>
          <w:tcPr>
            <w:tcW w:w="1725" w:type="dxa"/>
            <w:shd w:val="clear" w:color="auto" w:fill="auto"/>
          </w:tcPr>
          <w:p w:rsidR="00413CCC" w:rsidRPr="00413CCC" w:rsidRDefault="00413CCC" w:rsidP="002B4B99">
            <w:pPr>
              <w:pStyle w:val="NormalWeb"/>
              <w:spacing w:before="0" w:beforeAutospacing="0" w:after="150" w:afterAutospacing="0"/>
              <w:jc w:val="both"/>
              <w:rPr>
                <w:rFonts w:ascii="GHEA Grapalat" w:hAnsi="GHEA Grapalat"/>
              </w:rPr>
            </w:pPr>
            <w:r w:rsidRPr="00413CCC">
              <w:rPr>
                <w:rFonts w:ascii="GHEA Grapalat" w:hAnsi="GHEA Grapalat"/>
              </w:rPr>
              <w:t>300.0</w:t>
            </w:r>
          </w:p>
        </w:tc>
      </w:tr>
    </w:tbl>
    <w:p w:rsidR="00413CCC" w:rsidRPr="00413CCC" w:rsidRDefault="00413CCC" w:rsidP="00413CCC">
      <w:pPr>
        <w:pStyle w:val="NormalWeb"/>
        <w:spacing w:before="0" w:beforeAutospacing="0" w:after="150" w:afterAutospacing="0"/>
        <w:jc w:val="both"/>
        <w:rPr>
          <w:rFonts w:ascii="GHEA Grapalat" w:hAnsi="GHEA Grapalat"/>
        </w:rPr>
      </w:pPr>
    </w:p>
    <w:p w:rsidR="00413CCC" w:rsidRPr="00413CCC" w:rsidRDefault="00413CCC" w:rsidP="00413C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3CCC">
        <w:rPr>
          <w:rFonts w:ascii="GHEA Grapalat" w:hAnsi="GHEA Grapalat"/>
          <w:b/>
          <w:sz w:val="24"/>
          <w:szCs w:val="24"/>
        </w:rPr>
        <w:t>6.</w:t>
      </w:r>
      <w:r w:rsidR="0021192D">
        <w:rPr>
          <w:rFonts w:ascii="GHEA Grapalat" w:hAnsi="GHEA Grapalat"/>
          <w:b/>
          <w:sz w:val="24"/>
          <w:szCs w:val="24"/>
        </w:rPr>
        <w:t xml:space="preserve"> </w:t>
      </w:r>
      <w:r w:rsidRPr="00413CCC">
        <w:rPr>
          <w:rFonts w:ascii="GHEA Grapalat" w:hAnsi="GHEA Grapalat"/>
          <w:b/>
          <w:sz w:val="24"/>
          <w:szCs w:val="24"/>
          <w:lang w:val="hy-AM"/>
        </w:rPr>
        <w:t>Համայնքի բյուջեի 2024-2025</w:t>
      </w:r>
      <w:r>
        <w:rPr>
          <w:rFonts w:ascii="GHEA Grapalat" w:hAnsi="GHEA Grapalat"/>
          <w:b/>
          <w:sz w:val="24"/>
          <w:szCs w:val="24"/>
          <w:lang w:val="hy-AM"/>
        </w:rPr>
        <w:t>թվականների</w:t>
      </w:r>
      <w:r w:rsidR="002E258D">
        <w:rPr>
          <w:rFonts w:ascii="GHEA Grapalat" w:hAnsi="GHEA Grapalat"/>
          <w:b/>
          <w:sz w:val="24"/>
          <w:szCs w:val="24"/>
        </w:rPr>
        <w:t>ն</w:t>
      </w:r>
      <w:r w:rsidRPr="00413CCC">
        <w:rPr>
          <w:rFonts w:ascii="GHEA Grapalat" w:hAnsi="GHEA Grapalat"/>
          <w:b/>
          <w:sz w:val="24"/>
          <w:szCs w:val="24"/>
          <w:lang w:val="hy-AM"/>
        </w:rPr>
        <w:t xml:space="preserve"> կանխատեսվող դեֆիցիտը</w:t>
      </w:r>
    </w:p>
    <w:p w:rsidR="00413CCC" w:rsidRPr="00413CCC" w:rsidRDefault="00413CCC" w:rsidP="00413CC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13CCC">
        <w:rPr>
          <w:rFonts w:ascii="GHEA Grapalat" w:hAnsi="GHEA Grapalat"/>
          <w:sz w:val="24"/>
          <w:szCs w:val="24"/>
          <w:lang w:val="hy-AM"/>
        </w:rPr>
        <w:t>Սևան համայնքի 2024-2026</w:t>
      </w:r>
      <w:r>
        <w:rPr>
          <w:rFonts w:ascii="GHEA Grapalat" w:hAnsi="GHEA Grapalat"/>
          <w:sz w:val="24"/>
          <w:szCs w:val="24"/>
          <w:lang w:val="hy-AM"/>
        </w:rPr>
        <w:t>թվականների</w:t>
      </w:r>
      <w:r w:rsidRPr="00413CCC">
        <w:rPr>
          <w:rFonts w:ascii="GHEA Grapalat" w:hAnsi="GHEA Grapalat"/>
          <w:sz w:val="24"/>
          <w:szCs w:val="24"/>
          <w:lang w:val="hy-AM"/>
        </w:rPr>
        <w:t xml:space="preserve"> համար միջնաժամկետ ծախսային ծրագրերում բյուջեների դեֆիցիտը  կանխատեսվումում  է  նախորդ երկու  տարիների  բյուջեի տարեսկզբյան ազատ մնացորդի  միջին մակարդակից ելնելով: Չնայած այն հանգամանքին, որ յուրաքանչյուր տարի  առաջանում է  և վարչական,  ֆոնդային  բյուջեների  գծով դեֆիցիտը /հավելուրդը/, սակայն  վարչական  բյուջեի  հավելուրդը՝  կապված ֆոնդային բյուջեի միջոցների սղության հետ, այն ամբողջությամբ, ֆոնդային բյուջեի մնացորդի հետ միասին,  ուղղվում է ֆոնդային բյուջե՝ նախորդ տարիների կատարված, սակայն չֆինանսավորված  ծախսերի ֆինանսավորմանը: </w:t>
      </w:r>
    </w:p>
    <w:p w:rsidR="00413CCC" w:rsidRPr="00413CCC" w:rsidRDefault="00413CCC" w:rsidP="00413CCC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13CCC">
        <w:rPr>
          <w:rFonts w:ascii="GHEA Grapalat" w:hAnsi="GHEA Grapalat"/>
          <w:sz w:val="24"/>
          <w:szCs w:val="24"/>
          <w:lang w:val="hy-AM"/>
        </w:rPr>
        <w:t>2024-2026</w:t>
      </w:r>
      <w:r>
        <w:rPr>
          <w:rFonts w:ascii="GHEA Grapalat" w:hAnsi="GHEA Grapalat"/>
          <w:sz w:val="24"/>
          <w:szCs w:val="24"/>
          <w:lang w:val="hy-AM"/>
        </w:rPr>
        <w:t>թվական</w:t>
      </w:r>
      <w:r w:rsidR="002E258D">
        <w:rPr>
          <w:rFonts w:ascii="GHEA Grapalat" w:hAnsi="GHEA Grapalat"/>
          <w:sz w:val="24"/>
          <w:szCs w:val="24"/>
        </w:rPr>
        <w:t>ների</w:t>
      </w:r>
      <w:r w:rsidRPr="00413CCC">
        <w:rPr>
          <w:rFonts w:ascii="GHEA Grapalat" w:hAnsi="GHEA Grapalat"/>
          <w:sz w:val="24"/>
          <w:szCs w:val="24"/>
          <w:lang w:val="hy-AM"/>
        </w:rPr>
        <w:t xml:space="preserve"> համար համայնքում կաննխատեսնվող բյուջեի </w:t>
      </w:r>
      <w:r w:rsidR="002E258D">
        <w:rPr>
          <w:rFonts w:ascii="GHEA Grapalat" w:hAnsi="GHEA Grapalat"/>
          <w:sz w:val="24"/>
          <w:szCs w:val="24"/>
          <w:lang w:val="hy-AM"/>
        </w:rPr>
        <w:t>դեֆիցի</w:t>
      </w:r>
      <w:r w:rsidR="002E258D">
        <w:rPr>
          <w:rFonts w:ascii="GHEA Grapalat" w:hAnsi="GHEA Grapalat"/>
          <w:sz w:val="24"/>
          <w:szCs w:val="24"/>
        </w:rPr>
        <w:t>տ</w:t>
      </w:r>
      <w:r w:rsidRPr="00413CCC">
        <w:rPr>
          <w:rFonts w:ascii="GHEA Grapalat" w:hAnsi="GHEA Grapalat"/>
          <w:sz w:val="24"/>
          <w:szCs w:val="24"/>
          <w:lang w:val="hy-AM"/>
        </w:rPr>
        <w:t>ը կազմելու է համապատասխանաբար 50.0, 60.0 և 75.0 մլն. դրամ:</w:t>
      </w:r>
    </w:p>
    <w:sectPr w:rsidR="00413CCC" w:rsidRPr="00413CCC" w:rsidSect="00413CCC">
      <w:pgSz w:w="11907" w:h="16840" w:code="9"/>
      <w:pgMar w:top="425" w:right="76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0B9F"/>
    <w:multiLevelType w:val="hybridMultilevel"/>
    <w:tmpl w:val="2362C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D72"/>
    <w:multiLevelType w:val="hybridMultilevel"/>
    <w:tmpl w:val="F47E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3CCC"/>
    <w:rsid w:val="0021192D"/>
    <w:rsid w:val="002E258D"/>
    <w:rsid w:val="0041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13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3CCC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13C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2023-05-23T08:17:00Z</dcterms:created>
  <dcterms:modified xsi:type="dcterms:W3CDTF">2023-05-23T08:33:00Z</dcterms:modified>
</cp:coreProperties>
</file>