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ՈՐՈՇՈՒՄ</w:t>
      </w:r>
    </w:p>
    <w:p w:rsidR="002539F7" w:rsidRDefault="002539F7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</w:p>
    <w:p w:rsidR="00A57C60" w:rsidRPr="00FF5489" w:rsidRDefault="00B646F8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</w:t>
      </w:r>
      <w:r w:rsidR="002539F7" w:rsidRPr="002539F7">
        <w:rPr>
          <w:rFonts w:ascii="GHEA Grapalat" w:hAnsi="GHEA Grapalat"/>
          <w:lang w:val="hy-AM"/>
        </w:rPr>
        <w:t>3</w:t>
      </w:r>
      <w:r w:rsidR="00A57C60" w:rsidRPr="00FF5489">
        <w:rPr>
          <w:rFonts w:ascii="GHEA Grapalat" w:hAnsi="GHEA Grapalat"/>
          <w:lang w:val="hy-AM"/>
        </w:rPr>
        <w:t xml:space="preserve"> </w:t>
      </w:r>
      <w:r w:rsidR="00A57C60" w:rsidRPr="00FF5489">
        <w:rPr>
          <w:rFonts w:ascii="GHEA Grapalat" w:hAnsi="GHEA Grapalat" w:cs="Sylfaen"/>
          <w:lang w:val="hy-AM"/>
        </w:rPr>
        <w:t>թվականի ______</w:t>
      </w:r>
      <w:r w:rsidR="00A57C60" w:rsidRPr="00FF5489">
        <w:rPr>
          <w:rFonts w:ascii="GHEA Grapalat" w:hAnsi="GHEA Grapalat"/>
          <w:lang w:val="hy-AM"/>
        </w:rPr>
        <w:t xml:space="preserve"> N__-</w:t>
      </w:r>
      <w:r w:rsidR="00A57C60" w:rsidRPr="00FF5489">
        <w:rPr>
          <w:rFonts w:ascii="GHEA Grapalat" w:hAnsi="GHEA Grapalat" w:cs="Sylfaen"/>
          <w:lang w:val="hy-AM"/>
        </w:rPr>
        <w:t>Ն</w:t>
      </w:r>
    </w:p>
    <w:p w:rsidR="00C13D86" w:rsidRPr="00FF5489" w:rsidRDefault="00C13D86">
      <w:pPr>
        <w:rPr>
          <w:rFonts w:ascii="GHEA Grapalat" w:hAnsi="GHEA Grapalat"/>
          <w:sz w:val="24"/>
          <w:szCs w:val="24"/>
        </w:rPr>
      </w:pPr>
    </w:p>
    <w:p w:rsidR="001F2FE1" w:rsidRPr="00FF5489" w:rsidRDefault="002539F7" w:rsidP="002539F7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2539F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ԱՅՆ ԴԵՊՔԸ ՍԱՀՄԱՆԵԼՈՒ ՄԱՍԻՆ, ԵՐԲ ՄԻՆՉ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ԵՎ</w:t>
      </w:r>
      <w:r w:rsidRPr="002539F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ՄԱՔՍԱՅԻՆ, ԱՅԼ ՓԱՍՏԱԹՂԹԵՐԻ ԿԱՄ ՏԵՂԵԿՈՒԹՅՈՒՆՆԵՐԻ ՍՏՈՒԳՄԱՆ ԱՎԱՐՏԸ ԱՊՐԱՆՔՆԵՐԻ ԲԱՑԹՈՂՄԱՆ ԴԵՊՔՈՒՄ ՄԱՔՍԱՏՈՒՐՔԻ, ՀԱՐԿԵՐԻ, ՀԱՏՈՒԿ, ՀԱԿԱԳՆԱԳՑՄԱՆ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ԵՎ</w:t>
      </w:r>
      <w:r w:rsidRPr="002539F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ՓՈԽՀԱՏՈՒՑՄԱՆ ՏՈՒՐՔԵՐԻ ՎՃԱՐՄԱՆ ԳԾՈՎ ՊԱՐՏԱՎՈՐՈՒԹՅՈՒՆՆԵՐԻ ԿԱՏԱՐՄԱՆ ԱՊԱՀՈՎՈՒՄ ՄԱՔՍԱՅԻՆ ՄԱՐՄԻՆՆԵՐԻՆ ՉԻ ՆԵՐԿԱՅԱՑՎՈՒՄ</w:t>
      </w:r>
    </w:p>
    <w:p w:rsidR="002539F7" w:rsidRDefault="002539F7" w:rsidP="00555B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CA2A0D" w:rsidRPr="00FF5489" w:rsidRDefault="00CA2A0D" w:rsidP="00555B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Հիմք ընդունելով «</w:t>
      </w:r>
      <w:r w:rsidR="001F2FE1">
        <w:rPr>
          <w:rFonts w:ascii="GHEA Grapalat" w:hAnsi="GHEA Grapalat"/>
          <w:color w:val="000000"/>
          <w:sz w:val="24"/>
          <w:szCs w:val="24"/>
          <w:lang w:eastAsia="hy-AM"/>
        </w:rPr>
        <w:t>Մաքսային կարգավորման մասին</w:t>
      </w: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 xml:space="preserve">» օրենքի </w:t>
      </w:r>
      <w:r w:rsidR="002539F7">
        <w:rPr>
          <w:rFonts w:ascii="GHEA Grapalat" w:hAnsi="GHEA Grapalat"/>
          <w:color w:val="000000"/>
          <w:sz w:val="24"/>
          <w:szCs w:val="24"/>
          <w:lang w:eastAsia="hy-AM"/>
        </w:rPr>
        <w:t>96</w:t>
      </w: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 xml:space="preserve">-րդ </w:t>
      </w:r>
      <w:r w:rsidR="001F2FE1">
        <w:rPr>
          <w:rFonts w:ascii="GHEA Grapalat" w:hAnsi="GHEA Grapalat"/>
          <w:color w:val="000000"/>
          <w:sz w:val="24"/>
          <w:szCs w:val="24"/>
          <w:lang w:eastAsia="hy-AM"/>
        </w:rPr>
        <w:t xml:space="preserve">հոդվածի </w:t>
      </w:r>
      <w:r w:rsidR="002539F7">
        <w:rPr>
          <w:rFonts w:ascii="GHEA Grapalat" w:hAnsi="GHEA Grapalat"/>
          <w:color w:val="000000"/>
          <w:sz w:val="24"/>
          <w:szCs w:val="24"/>
          <w:lang w:eastAsia="hy-AM"/>
        </w:rPr>
        <w:t>2</w:t>
      </w:r>
      <w:r w:rsidR="001F2FE1">
        <w:rPr>
          <w:rFonts w:ascii="GHEA Grapalat" w:hAnsi="GHEA Grapalat"/>
          <w:color w:val="000000"/>
          <w:sz w:val="24"/>
          <w:szCs w:val="24"/>
          <w:lang w:eastAsia="hy-AM"/>
        </w:rPr>
        <w:t>-րդ մասը</w:t>
      </w: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՝ Հայաստանի Հանրապետության կառավարությունը</w:t>
      </w:r>
      <w:r w:rsidRPr="00FF5489">
        <w:rPr>
          <w:rFonts w:ascii="Calibri" w:hAnsi="Calibri" w:cs="Calibri"/>
          <w:color w:val="000000"/>
          <w:sz w:val="24"/>
          <w:szCs w:val="24"/>
          <w:lang w:eastAsia="hy-AM"/>
        </w:rPr>
        <w:t> </w:t>
      </w:r>
      <w:r w:rsidRPr="00FF5489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hy-AM"/>
        </w:rPr>
        <w:t>որոշում է.</w:t>
      </w:r>
    </w:p>
    <w:p w:rsidR="00927185" w:rsidRPr="00927185" w:rsidRDefault="002539F7" w:rsidP="002539F7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Սահմանել, որ մինչև </w:t>
      </w:r>
      <w:r w:rsidRPr="002539F7">
        <w:rPr>
          <w:rFonts w:ascii="GHEA Grapalat" w:hAnsi="GHEA Grapalat"/>
          <w:bCs/>
          <w:color w:val="000000"/>
          <w:sz w:val="24"/>
          <w:szCs w:val="24"/>
          <w:lang w:eastAsia="hy-AM"/>
        </w:rPr>
        <w:t>մաքսային, այլ փաստաթղթերի կամ տեղեկությունների ստուգման ավարտը ապրանքների բացթողման դեպքում մաքսատուրքի, հարկերի, հատուկ, հակագնագցման և փոխհատուցման տուրքերի վճարման գծով պարտավորությունների կատարման ապահովում մաքսային մարմիններին չի ներկայացվում</w:t>
      </w:r>
      <w:r w:rsidR="001F2FE1" w:rsidRPr="002539F7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</w:t>
      </w:r>
      <w:r w:rsidR="00927185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այն դեպքում, երբ հայտարարատուին տրամադրված է գործող՝ օրինապահ հարկ վճարողի հավաստագիր։ </w:t>
      </w:r>
    </w:p>
    <w:p w:rsidR="00424576" w:rsidRPr="00F909CE" w:rsidRDefault="00424576" w:rsidP="00F909CE">
      <w:pPr>
        <w:pStyle w:val="ListParagraph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909CE">
        <w:rPr>
          <w:rFonts w:ascii="GHEA Grapalat" w:hAnsi="GHEA Grapalat"/>
          <w:color w:val="000000"/>
          <w:sz w:val="24"/>
          <w:szCs w:val="24"/>
          <w:lang w:eastAsia="hy-AM"/>
        </w:rPr>
        <w:t>Սույն որոշումն ուժի մեջ է մտնում պաշտոնական հրապարակմանը հաջորդող օրվանից:</w:t>
      </w:r>
    </w:p>
    <w:p w:rsidR="003A5BBD" w:rsidRPr="00C25200" w:rsidRDefault="003A5BBD" w:rsidP="0042457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424576" w:rsidRDefault="00424576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59654F" w:rsidRPr="0059654F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</w:p>
    <w:p w:rsidR="003A5BBD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                ՎԱՐՉԱՊԵՏ                                                       Ն. ՓԱՇԻՆՅԱՆ</w:t>
      </w:r>
    </w:p>
    <w:p w:rsidR="00A8520B" w:rsidRDefault="00A8520B">
      <w:pPr>
        <w:rPr>
          <w:rFonts w:ascii="GHEA Grapalat" w:hAnsi="GHEA Grapalat"/>
          <w:color w:val="000000"/>
          <w:sz w:val="20"/>
          <w:szCs w:val="20"/>
          <w:lang w:eastAsia="hy-AM"/>
        </w:rPr>
      </w:pPr>
      <w:r>
        <w:rPr>
          <w:rFonts w:ascii="GHEA Grapalat" w:hAnsi="GHEA Grapalat"/>
          <w:color w:val="000000"/>
          <w:sz w:val="20"/>
          <w:szCs w:val="20"/>
          <w:lang w:eastAsia="hy-AM"/>
        </w:rPr>
        <w:br w:type="page"/>
      </w:r>
    </w:p>
    <w:p w:rsidR="00EC6879" w:rsidRPr="00EC6879" w:rsidRDefault="00EC6879" w:rsidP="00372977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bCs/>
          <w:color w:val="000000"/>
          <w:sz w:val="24"/>
          <w:szCs w:val="24"/>
          <w:lang w:eastAsia="hy-AM"/>
        </w:rPr>
        <w:lastRenderedPageBreak/>
        <w:t>ՀԻՄՆԱՎՈՐՈՒՄ</w:t>
      </w:r>
    </w:p>
    <w:p w:rsidR="00F909CE" w:rsidRPr="00F909CE" w:rsidRDefault="00372977" w:rsidP="00372977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GHEA Grapalat" w:hAnsi="GHEA Grapalat"/>
          <w:bCs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«</w:t>
      </w:r>
      <w:r w:rsidR="00F909CE" w:rsidRPr="00F909CE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ԱՅՆ </w:t>
      </w:r>
      <w:r w:rsidR="00F71971">
        <w:rPr>
          <w:rFonts w:ascii="GHEA Grapalat" w:hAnsi="GHEA Grapalat"/>
          <w:bCs/>
          <w:color w:val="000000"/>
          <w:sz w:val="24"/>
          <w:szCs w:val="24"/>
          <w:lang w:eastAsia="hy-AM"/>
        </w:rPr>
        <w:t>ԴԵՊՔ</w:t>
      </w:r>
      <w:bookmarkStart w:id="0" w:name="_GoBack"/>
      <w:bookmarkEnd w:id="0"/>
      <w:r w:rsidR="00F909CE" w:rsidRPr="00F909CE">
        <w:rPr>
          <w:rFonts w:ascii="GHEA Grapalat" w:hAnsi="GHEA Grapalat"/>
          <w:bCs/>
          <w:color w:val="000000"/>
          <w:sz w:val="24"/>
          <w:szCs w:val="24"/>
          <w:lang w:eastAsia="hy-AM"/>
        </w:rPr>
        <w:t>Ը ՍԱՀՄԱՆԵԼՈՒ ՄԱՍԻՆ, ԵՐԲ ՄԻՆՉԵՎ ՄԱՔՍԱՅԻՆ, ԱՅԼ ՓԱՍՏԱԹՂԹԵՐԻ ԿԱՄ ՏԵՂԵԿՈՒԹՅՈՒՆՆԵՐԻ ՍՏՈՒԳՄԱՆ ԱՎԱՐՏԸ ԱՊՐԱՆՔՆԵՐԻ ԲԱՑԹՈՂՄԱՆ ԴԵՊՔՈՒՄ ՄԱՔՍԱՏՈՒՐՔԻ, ՀԱՐԿԵՐԻ, ՀԱՏՈՒԿ, ՀԱԿԱԳՆԱԳՑՄԱՆ ԵՎ ՓՈԽՀԱՏՈՒՑՄԱՆ ՏՈՒՐՔԵՐԻ ՎՃԱՐՄԱՆ ԳԾՈՎ ՊԱՐՏԱՎՈՐՈՒԹՅՈՒՆՆԵՐԻ ԿԱՏԱՐՄԱՆ ԱՊԱՀՈՎՈՒՄ ՄԱՔՍԱՅԻՆ ՄԱՐՄԻՆՆԵՐԻՆ ՉԻ ՆԵՐԿԱՅԱՑՎՈՒՄ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» ՀԱՅԱՍՏԱՆԻ ՀԱՆՐԱՊԵՏՈՒԹՅԱՆ ԿԱՌԱՎԱՐՈՒԹՅԱՆ ՈՐՈՇՄԱՆ ՆԱԽԱԳԾԻ ՎԵՐԱԲԵՐՅԱԼ</w:t>
      </w:r>
    </w:p>
    <w:p w:rsidR="00EC6879" w:rsidRPr="00EC6879" w:rsidRDefault="00EC6879" w:rsidP="0037297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</w:pPr>
    </w:p>
    <w:p w:rsidR="00EC6879" w:rsidRPr="00EC6879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Իրավական ակտի ընդունման անհրաժեշտությունը, ընթացիկ իրավիճակը և խնդիրները.</w:t>
      </w:r>
    </w:p>
    <w:p w:rsidR="00F909CE" w:rsidRDefault="00F909CE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909CE"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Եվրասիական տնտեսական միության մաքսային օրենսգրքի մասին</w:t>
      </w:r>
      <w:r w:rsidRPr="00F909CE">
        <w:rPr>
          <w:rFonts w:ascii="GHEA Grapalat" w:hAnsi="GHEA Grapalat"/>
          <w:color w:val="000000"/>
          <w:sz w:val="24"/>
          <w:szCs w:val="24"/>
          <w:lang w:eastAsia="hy-AM"/>
        </w:rPr>
        <w:t>»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11․04․2017թ․ պայմանագրի հավելվածով հաստատված՝ Եվրասիական տնտեսական միության մաքսային օրենսգրքի 121-րդ հոդվածի 1-ին կետով նախատեսված է մինչև մաքսային, այլ փաստաթղթերի և </w:t>
      </w:r>
      <w:r w:rsidRPr="00F909CE">
        <w:rPr>
          <w:rFonts w:ascii="GHEA Grapalat" w:hAnsi="GHEA Grapalat"/>
          <w:color w:val="000000"/>
          <w:sz w:val="24"/>
          <w:szCs w:val="24"/>
          <w:lang w:eastAsia="hy-AM"/>
        </w:rPr>
        <w:t>(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կամ</w:t>
      </w:r>
      <w:r w:rsidRPr="00F909CE">
        <w:rPr>
          <w:rFonts w:ascii="GHEA Grapalat" w:hAnsi="GHEA Grapalat"/>
          <w:color w:val="000000"/>
          <w:sz w:val="24"/>
          <w:szCs w:val="24"/>
          <w:lang w:eastAsia="hy-AM"/>
        </w:rPr>
        <w:t>)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տեղեկությունների ստուգման ավարտը ապրանքների բացթողման հնարավորություն, եթե, ի թիվս նույն կետում նշված պայմանների, ներկայացվել է մաքսատուրքի, հարկերի, հատուկ, հակագնագցման և փոխհատուցման տուրքերի վճարման գծով պարտավորությունների կատարման՝ նույն կետին համապատասխան որոշված ապահովում։ Եվրասիական տնտեսական միության մաքսային օրենսգրքի նույն հոդվածի 2-րդ կետի համաձայն՝ այդպիսի ապահովումը մաքսային մարմիններին չի ներկայացվում այն դեպքում, երբ հայտարարատուն հանդիսանում է լիազորված տնտեսական օպերատոր, ինչպես նաև Եվրասիական տնտեսական միության անդամ պետությունների՝ մաքսային կարգավորման վերաբերյալ օրենսդրությամբ սահմանված այլ դեպքերում։</w:t>
      </w:r>
    </w:p>
    <w:p w:rsidR="00F909CE" w:rsidRPr="00F909CE" w:rsidRDefault="00F909CE" w:rsidP="0047405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909CE">
        <w:rPr>
          <w:rFonts w:ascii="GHEA Grapalat" w:hAnsi="GHEA Grapalat"/>
          <w:color w:val="000000"/>
          <w:sz w:val="24"/>
          <w:szCs w:val="24"/>
          <w:lang w:eastAsia="hy-AM"/>
        </w:rPr>
        <w:t>Միաժամանակ, «Մաքսային կարգավորման մասին» օրենքի 96-րդ հոդվածի 2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-րդ մասի համաձայն՝</w:t>
      </w:r>
      <w:r w:rsidRPr="00F909CE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Հայաստանի Հանրապետության կ</w:t>
      </w:r>
      <w:r w:rsidRPr="00F909CE">
        <w:rPr>
          <w:rFonts w:ascii="GHEA Grapalat" w:hAnsi="GHEA Grapalat"/>
          <w:color w:val="000000"/>
          <w:sz w:val="24"/>
          <w:szCs w:val="24"/>
          <w:lang w:eastAsia="hy-AM"/>
        </w:rPr>
        <w:t xml:space="preserve">առավարությունը,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Եվրասիական տնտեսական մ</w:t>
      </w:r>
      <w:r w:rsidRPr="00F909CE">
        <w:rPr>
          <w:rFonts w:ascii="GHEA Grapalat" w:hAnsi="GHEA Grapalat"/>
          <w:color w:val="000000"/>
          <w:sz w:val="24"/>
          <w:szCs w:val="24"/>
          <w:lang w:eastAsia="hy-AM"/>
        </w:rPr>
        <w:t>իության մաքսային օրենսգրքի 121-րդ հոդվածի 2-րդ կետին համապատասխան, կարող է սահմանել այն դեպքերը, երբ մինչև մաքսային, այլ փաստաթղթերի կամ տեղեկությունների ստուգման ավարտը ապրանքների բացթողման դեպքում մաքսատուրքի, հարկերի, հատուկ, հակագնագցման և փոխհատուցման տուրքերի վճարման գծով պարտավորությունների կատարման ապահովում մաքսային մարմիններ չի ներկայացվում</w:t>
      </w:r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t>, ինչն էլ նախատեսվում է սահմանել նախագծով։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  </w:t>
      </w:r>
    </w:p>
    <w:p w:rsidR="00EC6879" w:rsidRPr="00EC6879" w:rsidRDefault="00EC6879" w:rsidP="0047405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Կարգավորման առարկան, ակնկալվող արդյունքը.</w:t>
      </w:r>
    </w:p>
    <w:p w:rsidR="00EC6879" w:rsidRPr="00474059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Նախագծ</w:t>
      </w:r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t>ով</w:t>
      </w: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նախատեսվում է սահմանել </w:t>
      </w:r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t xml:space="preserve">մինչև մաքսային, այլ փաստաթղթերի և </w:t>
      </w:r>
      <w:r w:rsidR="00474059" w:rsidRPr="00474059">
        <w:rPr>
          <w:rFonts w:ascii="GHEA Grapalat" w:hAnsi="GHEA Grapalat"/>
          <w:color w:val="000000"/>
          <w:sz w:val="24"/>
          <w:szCs w:val="24"/>
          <w:lang w:eastAsia="hy-AM"/>
        </w:rPr>
        <w:t>(</w:t>
      </w:r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t>կամ</w:t>
      </w:r>
      <w:r w:rsidR="00474059" w:rsidRPr="00474059">
        <w:rPr>
          <w:rFonts w:ascii="GHEA Grapalat" w:hAnsi="GHEA Grapalat"/>
          <w:color w:val="000000"/>
          <w:sz w:val="24"/>
          <w:szCs w:val="24"/>
          <w:lang w:eastAsia="hy-AM"/>
        </w:rPr>
        <w:t>)</w:t>
      </w:r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t xml:space="preserve"> տեղեկությունների ստուգման ավարտը ապրանքների բացթողման դեպքում մաքսատուրքի, </w:t>
      </w:r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lastRenderedPageBreak/>
        <w:t>հարկերի, հատուկ, հակագնագցման և փոխհատուցման տուրքերի վճարման գծով պարտավորությունների կատարման ապահովման՝ մաքսային մարմիններին չներկայացման</w:t>
      </w:r>
      <w:r w:rsidR="00927185">
        <w:rPr>
          <w:rFonts w:ascii="GHEA Grapalat" w:hAnsi="GHEA Grapalat"/>
          <w:color w:val="000000"/>
          <w:sz w:val="24"/>
          <w:szCs w:val="24"/>
          <w:lang w:eastAsia="hy-AM"/>
        </w:rPr>
        <w:t xml:space="preserve"> համապատասխան</w:t>
      </w:r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t xml:space="preserve"> դեպք։ Նախագծի ընդունման արդյունքում նախատեսված չափանիշներին բավարարող </w:t>
      </w:r>
      <w:proofErr w:type="spellStart"/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t>հայտարարատուների</w:t>
      </w:r>
      <w:proofErr w:type="spellEnd"/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t xml:space="preserve"> համար կստեղծվեն ապրանքների բացթողման բարենպաստ պայմաններ, կնվազեցվեն </w:t>
      </w:r>
      <w:proofErr w:type="spellStart"/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t>հայտարարատուների</w:t>
      </w:r>
      <w:proofErr w:type="spellEnd"/>
      <w:r w:rsidR="00474059">
        <w:rPr>
          <w:rFonts w:ascii="GHEA Grapalat" w:hAnsi="GHEA Grapalat"/>
          <w:color w:val="000000"/>
          <w:sz w:val="24"/>
          <w:szCs w:val="24"/>
          <w:lang w:eastAsia="hy-AM"/>
        </w:rPr>
        <w:t xml:space="preserve"> ժամանակային և ֆինանսական ծախսերը։</w:t>
      </w:r>
    </w:p>
    <w:p w:rsidR="00EC6879" w:rsidRPr="00EC6879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EC6879" w:rsidRPr="001459FE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Նախագիծն</w:t>
      </w:r>
      <w:r w:rsidR="001459FE">
        <w:rPr>
          <w:rFonts w:ascii="GHEA Grapalat" w:hAnsi="GHEA Grapalat"/>
          <w:color w:val="000000"/>
          <w:sz w:val="24"/>
          <w:szCs w:val="24"/>
          <w:lang w:eastAsia="hy-AM"/>
        </w:rPr>
        <w:t xml:space="preserve"> առնչվում է ՀՀ կառավարության 18․11․2021թ․ N1902-Լ որոշմամբ սահմանված՝ «ՀՀ պետական եկամուտների կոմիտե» բաժնի 2․3-րդ կետով նախատեսված՝ «</w:t>
      </w:r>
      <w:r w:rsidR="001459FE" w:rsidRPr="001459FE">
        <w:rPr>
          <w:rFonts w:ascii="GHEA Grapalat" w:hAnsi="GHEA Grapalat"/>
          <w:color w:val="000000"/>
          <w:sz w:val="24"/>
          <w:szCs w:val="24"/>
          <w:lang w:eastAsia="hy-AM"/>
        </w:rPr>
        <w:t>Օրինապահ հարկ վճարողների համակարգի կատարելագործում</w:t>
      </w:r>
      <w:r w:rsidR="001459FE">
        <w:rPr>
          <w:rFonts w:ascii="GHEA Grapalat" w:hAnsi="GHEA Grapalat"/>
          <w:color w:val="000000"/>
          <w:sz w:val="24"/>
          <w:szCs w:val="24"/>
          <w:lang w:eastAsia="hy-AM"/>
        </w:rPr>
        <w:t xml:space="preserve">» միջոցառմանը, ինչպես նաև ՀՀ կառավարության 12․12․2019թ․ </w:t>
      </w:r>
      <w:r w:rsidR="001459FE" w:rsidRPr="001459FE">
        <w:rPr>
          <w:rFonts w:ascii="GHEA Grapalat" w:hAnsi="GHEA Grapalat"/>
          <w:color w:val="000000"/>
          <w:sz w:val="24"/>
          <w:szCs w:val="24"/>
          <w:lang w:eastAsia="hy-AM"/>
        </w:rPr>
        <w:t>N</w:t>
      </w:r>
      <w:r w:rsidR="001459FE">
        <w:rPr>
          <w:rFonts w:ascii="GHEA Grapalat" w:hAnsi="GHEA Grapalat"/>
          <w:color w:val="000000"/>
          <w:sz w:val="24"/>
          <w:szCs w:val="24"/>
          <w:lang w:eastAsia="hy-AM"/>
        </w:rPr>
        <w:t>1830-Լ որոշմամբ նախատեսված՝ «</w:t>
      </w:r>
      <w:r w:rsidR="001459FE" w:rsidRPr="001459FE">
        <w:rPr>
          <w:rFonts w:ascii="GHEA Grapalat" w:hAnsi="GHEA Grapalat"/>
          <w:bCs/>
          <w:color w:val="000000"/>
          <w:sz w:val="24"/>
          <w:szCs w:val="24"/>
          <w:lang w:eastAsia="hy-AM"/>
        </w:rPr>
        <w:t>2.1.4. Մաքսային հսկողության արդյունավետության բարձրացում</w:t>
      </w:r>
      <w:r w:rsidR="001459FE">
        <w:rPr>
          <w:rFonts w:ascii="GHEA Grapalat" w:hAnsi="GHEA Grapalat"/>
          <w:bCs/>
          <w:color w:val="000000"/>
          <w:sz w:val="24"/>
          <w:szCs w:val="24"/>
          <w:lang w:eastAsia="hy-AM"/>
        </w:rPr>
        <w:t>» միջոցառմանը։</w:t>
      </w:r>
    </w:p>
    <w:p w:rsidR="00EC6879" w:rsidRPr="00EC6879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</w:pP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Նախագծի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մշակման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գործընթացում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ներգրավված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ինստիտուտները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և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անձինք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. </w:t>
      </w:r>
    </w:p>
    <w:p w:rsidR="00EC6879" w:rsidRPr="00EC6879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Նախագիծը</w:t>
      </w:r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մշակվել</w:t>
      </w:r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է</w:t>
      </w:r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proofErr w:type="spellStart"/>
      <w:r w:rsidRPr="00EC6879">
        <w:rPr>
          <w:rFonts w:ascii="GHEA Grapalat" w:hAnsi="GHEA Grapalat"/>
          <w:color w:val="000000"/>
          <w:sz w:val="24"/>
          <w:szCs w:val="24"/>
          <w:lang w:val="en-US" w:eastAsia="hy-AM"/>
        </w:rPr>
        <w:t>Հայաստանի</w:t>
      </w:r>
      <w:proofErr w:type="spellEnd"/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proofErr w:type="spellStart"/>
      <w:r w:rsidRPr="00EC6879">
        <w:rPr>
          <w:rFonts w:ascii="GHEA Grapalat" w:hAnsi="GHEA Grapalat"/>
          <w:color w:val="000000"/>
          <w:sz w:val="24"/>
          <w:szCs w:val="24"/>
          <w:lang w:val="en-US" w:eastAsia="hy-AM"/>
        </w:rPr>
        <w:t>Հանրապետության</w:t>
      </w:r>
      <w:proofErr w:type="spellEnd"/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պետական</w:t>
      </w:r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եկամուտների</w:t>
      </w:r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կոմիտեի</w:t>
      </w:r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կողմից</w:t>
      </w:r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>:</w:t>
      </w:r>
    </w:p>
    <w:p w:rsidR="00EC6879" w:rsidRPr="00EC6879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Լրացուցիչ ֆինանսական միջոցների անհրաժեշտության վերաբերյալ.</w:t>
      </w:r>
    </w:p>
    <w:p w:rsidR="00EC6879" w:rsidRPr="00EC6879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Նախագծի ընդունմամբ լրացուցիչ ֆինանսական միջոցների ներգրավման անհրաժեշտություն առկա չէ:</w:t>
      </w:r>
    </w:p>
    <w:p w:rsidR="00EC6879" w:rsidRPr="00EC6879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i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 xml:space="preserve">Պետական բյուջեի </w:t>
      </w:r>
      <w:proofErr w:type="spellStart"/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եկամուտներում</w:t>
      </w:r>
      <w:proofErr w:type="spellEnd"/>
      <w:r w:rsidRPr="00EC6879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 xml:space="preserve"> և ծախսերում սպասվելիք փոփոխությունների վերաբերյալ.</w:t>
      </w:r>
    </w:p>
    <w:p w:rsidR="00EC6879" w:rsidRPr="00EC6879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 xml:space="preserve">Նախագծի </w:t>
      </w:r>
      <w:r w:rsidRPr="00EC6879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ընդունմամբ </w:t>
      </w: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  <w:r w:rsidRPr="00EC6879">
        <w:rPr>
          <w:rFonts w:ascii="GHEA Grapalat" w:hAnsi="GHEA Grapalat"/>
          <w:bCs/>
          <w:color w:val="000000"/>
          <w:sz w:val="24"/>
          <w:szCs w:val="24"/>
          <w:lang w:eastAsia="hy-AM"/>
        </w:rPr>
        <w:t>պետական բյուջեում եկամուտների և ծախսերի ավելացում կամ նվազեցում չի նախատեսվում։</w:t>
      </w:r>
    </w:p>
    <w:p w:rsidR="00EC6879" w:rsidRPr="00EC6879" w:rsidRDefault="00EC6879" w:rsidP="00EC687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B72C2F" w:rsidRDefault="00B72C2F" w:rsidP="00555BC1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sectPr w:rsidR="00B72C2F" w:rsidSect="009A22FA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02860A06"/>
    <w:multiLevelType w:val="hybridMultilevel"/>
    <w:tmpl w:val="E7821F1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EFD3024"/>
    <w:multiLevelType w:val="hybridMultilevel"/>
    <w:tmpl w:val="9FF61510"/>
    <w:lvl w:ilvl="0" w:tplc="B3567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85477D9"/>
    <w:multiLevelType w:val="hybridMultilevel"/>
    <w:tmpl w:val="0D54B204"/>
    <w:lvl w:ilvl="0" w:tplc="57CA3F76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3AB20C71"/>
    <w:multiLevelType w:val="hybridMultilevel"/>
    <w:tmpl w:val="F306DC2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0535373"/>
    <w:multiLevelType w:val="hybridMultilevel"/>
    <w:tmpl w:val="E7821F1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2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>
    <w:nsid w:val="68612CC7"/>
    <w:multiLevelType w:val="hybridMultilevel"/>
    <w:tmpl w:val="1C7E4D2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EF4968"/>
    <w:multiLevelType w:val="hybridMultilevel"/>
    <w:tmpl w:val="41A85D96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>
    <w:nsid w:val="7AEC793D"/>
    <w:multiLevelType w:val="hybridMultilevel"/>
    <w:tmpl w:val="2A30D5AC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25"/>
  </w:num>
  <w:num w:numId="5">
    <w:abstractNumId w:val="0"/>
  </w:num>
  <w:num w:numId="6">
    <w:abstractNumId w:val="22"/>
  </w:num>
  <w:num w:numId="7">
    <w:abstractNumId w:val="2"/>
  </w:num>
  <w:num w:numId="8">
    <w:abstractNumId w:val="16"/>
  </w:num>
  <w:num w:numId="9">
    <w:abstractNumId w:val="17"/>
  </w:num>
  <w:num w:numId="10">
    <w:abstractNumId w:val="20"/>
  </w:num>
  <w:num w:numId="11">
    <w:abstractNumId w:val="5"/>
  </w:num>
  <w:num w:numId="12">
    <w:abstractNumId w:val="6"/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  <w:num w:numId="17">
    <w:abstractNumId w:val="9"/>
  </w:num>
  <w:num w:numId="18">
    <w:abstractNumId w:val="21"/>
  </w:num>
  <w:num w:numId="19">
    <w:abstractNumId w:val="19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8"/>
  </w:num>
  <w:num w:numId="24">
    <w:abstractNumId w:val="15"/>
  </w:num>
  <w:num w:numId="25">
    <w:abstractNumId w:val="24"/>
  </w:num>
  <w:num w:numId="26">
    <w:abstractNumId w:val="1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3"/>
    <w:rsid w:val="00002CD6"/>
    <w:rsid w:val="00023FA3"/>
    <w:rsid w:val="00037C10"/>
    <w:rsid w:val="00062BE6"/>
    <w:rsid w:val="0006415C"/>
    <w:rsid w:val="000742C9"/>
    <w:rsid w:val="00075C26"/>
    <w:rsid w:val="0007689C"/>
    <w:rsid w:val="00086328"/>
    <w:rsid w:val="00091B75"/>
    <w:rsid w:val="00097182"/>
    <w:rsid w:val="000971E4"/>
    <w:rsid w:val="000A2DD8"/>
    <w:rsid w:val="000B2D27"/>
    <w:rsid w:val="000B730D"/>
    <w:rsid w:val="000C6054"/>
    <w:rsid w:val="000C7458"/>
    <w:rsid w:val="000D4208"/>
    <w:rsid w:val="000E2B6A"/>
    <w:rsid w:val="000F3E0F"/>
    <w:rsid w:val="000F7369"/>
    <w:rsid w:val="00134E13"/>
    <w:rsid w:val="001423A0"/>
    <w:rsid w:val="001459FE"/>
    <w:rsid w:val="0014745A"/>
    <w:rsid w:val="00154E16"/>
    <w:rsid w:val="00155707"/>
    <w:rsid w:val="00163925"/>
    <w:rsid w:val="00172EF7"/>
    <w:rsid w:val="00185BD0"/>
    <w:rsid w:val="00187C23"/>
    <w:rsid w:val="00196070"/>
    <w:rsid w:val="001A0AD4"/>
    <w:rsid w:val="001B14AB"/>
    <w:rsid w:val="001C7293"/>
    <w:rsid w:val="001D0819"/>
    <w:rsid w:val="001F2FE1"/>
    <w:rsid w:val="001F3698"/>
    <w:rsid w:val="001F671F"/>
    <w:rsid w:val="001F7304"/>
    <w:rsid w:val="001F7658"/>
    <w:rsid w:val="002121E2"/>
    <w:rsid w:val="00230CB7"/>
    <w:rsid w:val="0023214D"/>
    <w:rsid w:val="002329DA"/>
    <w:rsid w:val="00240447"/>
    <w:rsid w:val="00242CE9"/>
    <w:rsid w:val="0024446E"/>
    <w:rsid w:val="002539F7"/>
    <w:rsid w:val="00253F6C"/>
    <w:rsid w:val="0027205A"/>
    <w:rsid w:val="00274972"/>
    <w:rsid w:val="00274B31"/>
    <w:rsid w:val="0028221F"/>
    <w:rsid w:val="00284166"/>
    <w:rsid w:val="002860A0"/>
    <w:rsid w:val="00286D1E"/>
    <w:rsid w:val="00291AE6"/>
    <w:rsid w:val="00293B16"/>
    <w:rsid w:val="002B4550"/>
    <w:rsid w:val="002B47ED"/>
    <w:rsid w:val="002B7BAF"/>
    <w:rsid w:val="002C1228"/>
    <w:rsid w:val="002D01E2"/>
    <w:rsid w:val="002D055C"/>
    <w:rsid w:val="002E076A"/>
    <w:rsid w:val="002E2E8B"/>
    <w:rsid w:val="002F67F4"/>
    <w:rsid w:val="002F7B33"/>
    <w:rsid w:val="00310627"/>
    <w:rsid w:val="00310B69"/>
    <w:rsid w:val="00314D0B"/>
    <w:rsid w:val="00327A64"/>
    <w:rsid w:val="003400DA"/>
    <w:rsid w:val="00340331"/>
    <w:rsid w:val="00343EDD"/>
    <w:rsid w:val="00345368"/>
    <w:rsid w:val="00361F80"/>
    <w:rsid w:val="0036383A"/>
    <w:rsid w:val="003700B7"/>
    <w:rsid w:val="00372548"/>
    <w:rsid w:val="00372977"/>
    <w:rsid w:val="003819D9"/>
    <w:rsid w:val="00383D47"/>
    <w:rsid w:val="00386CEB"/>
    <w:rsid w:val="00393155"/>
    <w:rsid w:val="00394A76"/>
    <w:rsid w:val="0039700D"/>
    <w:rsid w:val="003A49CB"/>
    <w:rsid w:val="003A5BBD"/>
    <w:rsid w:val="003A76D0"/>
    <w:rsid w:val="003B51BC"/>
    <w:rsid w:val="003B7E3B"/>
    <w:rsid w:val="003B7E6D"/>
    <w:rsid w:val="003C089F"/>
    <w:rsid w:val="003E04E4"/>
    <w:rsid w:val="003F1808"/>
    <w:rsid w:val="003F2D25"/>
    <w:rsid w:val="003F2DFD"/>
    <w:rsid w:val="004057F7"/>
    <w:rsid w:val="00406560"/>
    <w:rsid w:val="00411F82"/>
    <w:rsid w:val="00414763"/>
    <w:rsid w:val="004172E8"/>
    <w:rsid w:val="00424576"/>
    <w:rsid w:val="0043498E"/>
    <w:rsid w:val="00454AF8"/>
    <w:rsid w:val="00474059"/>
    <w:rsid w:val="00476654"/>
    <w:rsid w:val="00480838"/>
    <w:rsid w:val="00483C8B"/>
    <w:rsid w:val="004A374B"/>
    <w:rsid w:val="004B4CA3"/>
    <w:rsid w:val="004B74B9"/>
    <w:rsid w:val="004C1B19"/>
    <w:rsid w:val="004C4604"/>
    <w:rsid w:val="004C5AA4"/>
    <w:rsid w:val="004C7D3E"/>
    <w:rsid w:val="004C7F3C"/>
    <w:rsid w:val="004C7FAC"/>
    <w:rsid w:val="004D01DF"/>
    <w:rsid w:val="004D5AF9"/>
    <w:rsid w:val="004E3BE4"/>
    <w:rsid w:val="004F053B"/>
    <w:rsid w:val="004F13A0"/>
    <w:rsid w:val="004F4F40"/>
    <w:rsid w:val="004F7521"/>
    <w:rsid w:val="00502726"/>
    <w:rsid w:val="0050414B"/>
    <w:rsid w:val="005075BF"/>
    <w:rsid w:val="00507973"/>
    <w:rsid w:val="00514051"/>
    <w:rsid w:val="00522710"/>
    <w:rsid w:val="00532D9C"/>
    <w:rsid w:val="00536319"/>
    <w:rsid w:val="005413ED"/>
    <w:rsid w:val="005464C2"/>
    <w:rsid w:val="00551D7C"/>
    <w:rsid w:val="00555BC1"/>
    <w:rsid w:val="00564AC2"/>
    <w:rsid w:val="005733F3"/>
    <w:rsid w:val="005747FB"/>
    <w:rsid w:val="005811D7"/>
    <w:rsid w:val="00586D5F"/>
    <w:rsid w:val="0059410B"/>
    <w:rsid w:val="00594385"/>
    <w:rsid w:val="0059654F"/>
    <w:rsid w:val="005967CC"/>
    <w:rsid w:val="00596820"/>
    <w:rsid w:val="005B6D01"/>
    <w:rsid w:val="005B7D1B"/>
    <w:rsid w:val="005C3A22"/>
    <w:rsid w:val="005C4F9C"/>
    <w:rsid w:val="005C59AC"/>
    <w:rsid w:val="005D541F"/>
    <w:rsid w:val="005E2374"/>
    <w:rsid w:val="005F22A8"/>
    <w:rsid w:val="005F6E69"/>
    <w:rsid w:val="00601FC3"/>
    <w:rsid w:val="00615C5E"/>
    <w:rsid w:val="006278B7"/>
    <w:rsid w:val="0063624D"/>
    <w:rsid w:val="00637840"/>
    <w:rsid w:val="00637CD7"/>
    <w:rsid w:val="00657C7D"/>
    <w:rsid w:val="0066006E"/>
    <w:rsid w:val="0066090E"/>
    <w:rsid w:val="00697264"/>
    <w:rsid w:val="006A01C2"/>
    <w:rsid w:val="006A31C9"/>
    <w:rsid w:val="006A5DA4"/>
    <w:rsid w:val="006B2EC6"/>
    <w:rsid w:val="006C1AD0"/>
    <w:rsid w:val="006C519D"/>
    <w:rsid w:val="006D16FD"/>
    <w:rsid w:val="006E2A63"/>
    <w:rsid w:val="006E3FD9"/>
    <w:rsid w:val="006E4101"/>
    <w:rsid w:val="006F5A5C"/>
    <w:rsid w:val="00704388"/>
    <w:rsid w:val="00732E38"/>
    <w:rsid w:val="00745004"/>
    <w:rsid w:val="007569BD"/>
    <w:rsid w:val="00757EB4"/>
    <w:rsid w:val="00790262"/>
    <w:rsid w:val="0079177B"/>
    <w:rsid w:val="007934BF"/>
    <w:rsid w:val="00794DF9"/>
    <w:rsid w:val="007B1ACD"/>
    <w:rsid w:val="007B1B67"/>
    <w:rsid w:val="007C504C"/>
    <w:rsid w:val="007C751C"/>
    <w:rsid w:val="007C79F8"/>
    <w:rsid w:val="007C7F74"/>
    <w:rsid w:val="007E0723"/>
    <w:rsid w:val="007F1FF5"/>
    <w:rsid w:val="007F4270"/>
    <w:rsid w:val="007F65EA"/>
    <w:rsid w:val="007F6BF8"/>
    <w:rsid w:val="00810D4B"/>
    <w:rsid w:val="008146D9"/>
    <w:rsid w:val="008155FF"/>
    <w:rsid w:val="00817D79"/>
    <w:rsid w:val="00826A76"/>
    <w:rsid w:val="00826FD2"/>
    <w:rsid w:val="008418AE"/>
    <w:rsid w:val="0084227E"/>
    <w:rsid w:val="00847063"/>
    <w:rsid w:val="008546E0"/>
    <w:rsid w:val="0086443F"/>
    <w:rsid w:val="008A1EB5"/>
    <w:rsid w:val="008A2EDF"/>
    <w:rsid w:val="008A6D67"/>
    <w:rsid w:val="008A7886"/>
    <w:rsid w:val="008B0250"/>
    <w:rsid w:val="008B18E5"/>
    <w:rsid w:val="008B353A"/>
    <w:rsid w:val="008D3AE8"/>
    <w:rsid w:val="008F0EA5"/>
    <w:rsid w:val="008F2CAF"/>
    <w:rsid w:val="008F3455"/>
    <w:rsid w:val="008F667B"/>
    <w:rsid w:val="00905FA1"/>
    <w:rsid w:val="00911206"/>
    <w:rsid w:val="00921313"/>
    <w:rsid w:val="00927185"/>
    <w:rsid w:val="009440B2"/>
    <w:rsid w:val="00945259"/>
    <w:rsid w:val="00946984"/>
    <w:rsid w:val="00972951"/>
    <w:rsid w:val="00972E7C"/>
    <w:rsid w:val="00976481"/>
    <w:rsid w:val="00977149"/>
    <w:rsid w:val="00981DD5"/>
    <w:rsid w:val="00984348"/>
    <w:rsid w:val="00984C45"/>
    <w:rsid w:val="00985835"/>
    <w:rsid w:val="00985B8D"/>
    <w:rsid w:val="009A22FA"/>
    <w:rsid w:val="009B023F"/>
    <w:rsid w:val="009B2B7B"/>
    <w:rsid w:val="009B3775"/>
    <w:rsid w:val="009B6CF0"/>
    <w:rsid w:val="009C11D5"/>
    <w:rsid w:val="009C4D10"/>
    <w:rsid w:val="009C5DDA"/>
    <w:rsid w:val="009D79C9"/>
    <w:rsid w:val="009E58FB"/>
    <w:rsid w:val="009F65AE"/>
    <w:rsid w:val="00A01B75"/>
    <w:rsid w:val="00A147AB"/>
    <w:rsid w:val="00A153B2"/>
    <w:rsid w:val="00A21B37"/>
    <w:rsid w:val="00A25C90"/>
    <w:rsid w:val="00A320AA"/>
    <w:rsid w:val="00A3407D"/>
    <w:rsid w:val="00A35D50"/>
    <w:rsid w:val="00A50318"/>
    <w:rsid w:val="00A57C60"/>
    <w:rsid w:val="00A601B6"/>
    <w:rsid w:val="00A6370B"/>
    <w:rsid w:val="00A70AF6"/>
    <w:rsid w:val="00A73A31"/>
    <w:rsid w:val="00A753E2"/>
    <w:rsid w:val="00A8520B"/>
    <w:rsid w:val="00A94C07"/>
    <w:rsid w:val="00A95E6A"/>
    <w:rsid w:val="00AB3CF7"/>
    <w:rsid w:val="00AC2F9B"/>
    <w:rsid w:val="00AD32A2"/>
    <w:rsid w:val="00AE4D5D"/>
    <w:rsid w:val="00AE5473"/>
    <w:rsid w:val="00B01275"/>
    <w:rsid w:val="00B01C45"/>
    <w:rsid w:val="00B2133C"/>
    <w:rsid w:val="00B25D07"/>
    <w:rsid w:val="00B36EF8"/>
    <w:rsid w:val="00B62E18"/>
    <w:rsid w:val="00B63663"/>
    <w:rsid w:val="00B646F8"/>
    <w:rsid w:val="00B66A31"/>
    <w:rsid w:val="00B702A4"/>
    <w:rsid w:val="00B72C2F"/>
    <w:rsid w:val="00B73D24"/>
    <w:rsid w:val="00B94107"/>
    <w:rsid w:val="00BA0BC7"/>
    <w:rsid w:val="00BA48CA"/>
    <w:rsid w:val="00BA5210"/>
    <w:rsid w:val="00BC1AAA"/>
    <w:rsid w:val="00BD37AD"/>
    <w:rsid w:val="00BD4B16"/>
    <w:rsid w:val="00BE051E"/>
    <w:rsid w:val="00BE1ECD"/>
    <w:rsid w:val="00BE4089"/>
    <w:rsid w:val="00BE4943"/>
    <w:rsid w:val="00BF21B5"/>
    <w:rsid w:val="00BF4EA6"/>
    <w:rsid w:val="00C013D8"/>
    <w:rsid w:val="00C1127D"/>
    <w:rsid w:val="00C119C2"/>
    <w:rsid w:val="00C13D86"/>
    <w:rsid w:val="00C1467A"/>
    <w:rsid w:val="00C16439"/>
    <w:rsid w:val="00C17CE7"/>
    <w:rsid w:val="00C21B17"/>
    <w:rsid w:val="00C25200"/>
    <w:rsid w:val="00C31511"/>
    <w:rsid w:val="00C33455"/>
    <w:rsid w:val="00C84AF7"/>
    <w:rsid w:val="00C86CEA"/>
    <w:rsid w:val="00C8704A"/>
    <w:rsid w:val="00CA2A0D"/>
    <w:rsid w:val="00CB1E9D"/>
    <w:rsid w:val="00CD77D7"/>
    <w:rsid w:val="00CE08A8"/>
    <w:rsid w:val="00CE7E24"/>
    <w:rsid w:val="00CF1AB4"/>
    <w:rsid w:val="00D1207E"/>
    <w:rsid w:val="00D1400A"/>
    <w:rsid w:val="00D152A3"/>
    <w:rsid w:val="00D20F42"/>
    <w:rsid w:val="00D21382"/>
    <w:rsid w:val="00D30371"/>
    <w:rsid w:val="00D3065D"/>
    <w:rsid w:val="00D32A63"/>
    <w:rsid w:val="00D56978"/>
    <w:rsid w:val="00D60B4E"/>
    <w:rsid w:val="00D91E8D"/>
    <w:rsid w:val="00D94901"/>
    <w:rsid w:val="00D966F8"/>
    <w:rsid w:val="00DA1A72"/>
    <w:rsid w:val="00DA4EFD"/>
    <w:rsid w:val="00DB2882"/>
    <w:rsid w:val="00DC10F3"/>
    <w:rsid w:val="00DC3F71"/>
    <w:rsid w:val="00DC6668"/>
    <w:rsid w:val="00E0465F"/>
    <w:rsid w:val="00E11C07"/>
    <w:rsid w:val="00E1522A"/>
    <w:rsid w:val="00E1632C"/>
    <w:rsid w:val="00E21F49"/>
    <w:rsid w:val="00E22158"/>
    <w:rsid w:val="00E23883"/>
    <w:rsid w:val="00E33DC1"/>
    <w:rsid w:val="00E37657"/>
    <w:rsid w:val="00E4068C"/>
    <w:rsid w:val="00E6419B"/>
    <w:rsid w:val="00E66DA6"/>
    <w:rsid w:val="00E70058"/>
    <w:rsid w:val="00E71C30"/>
    <w:rsid w:val="00E826B0"/>
    <w:rsid w:val="00E85F79"/>
    <w:rsid w:val="00E928C5"/>
    <w:rsid w:val="00EB01D5"/>
    <w:rsid w:val="00EB17A9"/>
    <w:rsid w:val="00EB5B57"/>
    <w:rsid w:val="00EC6879"/>
    <w:rsid w:val="00EE76BA"/>
    <w:rsid w:val="00EF6244"/>
    <w:rsid w:val="00F00DA6"/>
    <w:rsid w:val="00F03011"/>
    <w:rsid w:val="00F16628"/>
    <w:rsid w:val="00F30FC8"/>
    <w:rsid w:val="00F3290B"/>
    <w:rsid w:val="00F418E1"/>
    <w:rsid w:val="00F42111"/>
    <w:rsid w:val="00F46AAF"/>
    <w:rsid w:val="00F51BE2"/>
    <w:rsid w:val="00F53A8C"/>
    <w:rsid w:val="00F66E08"/>
    <w:rsid w:val="00F71971"/>
    <w:rsid w:val="00F73982"/>
    <w:rsid w:val="00F82742"/>
    <w:rsid w:val="00F82A47"/>
    <w:rsid w:val="00F844F8"/>
    <w:rsid w:val="00F909CE"/>
    <w:rsid w:val="00F92592"/>
    <w:rsid w:val="00F950FA"/>
    <w:rsid w:val="00F951E9"/>
    <w:rsid w:val="00FB21F1"/>
    <w:rsid w:val="00FB5BF7"/>
    <w:rsid w:val="00FC30BC"/>
    <w:rsid w:val="00FC51B7"/>
    <w:rsid w:val="00FD1B42"/>
    <w:rsid w:val="00FD54A4"/>
    <w:rsid w:val="00FD7745"/>
    <w:rsid w:val="00FD7DAF"/>
    <w:rsid w:val="00FE1598"/>
    <w:rsid w:val="00FE3C0F"/>
    <w:rsid w:val="00FF36CA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2A214-2346-4FC8-90D8-A4B069C2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/>
  <dc:description/>
  <cp:lastModifiedBy>Tigran Palyan</cp:lastModifiedBy>
  <cp:revision>190</cp:revision>
  <cp:lastPrinted>2021-11-26T11:10:00Z</cp:lastPrinted>
  <dcterms:created xsi:type="dcterms:W3CDTF">2021-10-25T11:13:00Z</dcterms:created>
  <dcterms:modified xsi:type="dcterms:W3CDTF">2023-04-27T05:49:00Z</dcterms:modified>
</cp:coreProperties>
</file>