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3D3" w:rsidRPr="003543D3" w:rsidRDefault="003543D3" w:rsidP="003543D3">
      <w:pPr>
        <w:shd w:val="clear" w:color="auto" w:fill="FFFFFF"/>
        <w:spacing w:after="80" w:line="240" w:lineRule="auto"/>
        <w:jc w:val="center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</w:rPr>
      </w:pPr>
      <w:r w:rsidRPr="003543D3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</w:rPr>
        <w:t>Հ Ի Մ Ն Ա Վ Ո Ր Ո Ւ Մ</w:t>
      </w:r>
    </w:p>
    <w:p w:rsidR="003543D3" w:rsidRPr="003543D3" w:rsidRDefault="003543D3" w:rsidP="003543D3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</w:rPr>
      </w:pPr>
      <w:r w:rsidRPr="003543D3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</w:rPr>
        <w:t>«ԵՐԵՎԱՆ ՔԱՂԱՔԻ ԳԱԶԱՄԱՏԱԿԱՐԱՐՄԱՆԸ ԼՐԱՑՈՒՑԻՉ ՆՈՐ ՀԶՈՐՈՒԹՅՈՒՆՆԵՐՈՎ ԱՊԱՀՈՎԵԼՈՒ ԾՐԱԳՐԻՆ ՀԱՎԱՆՈՒԹՅՈՒՆ ՏԱԼՈՒ</w:t>
      </w:r>
      <w:r w:rsidRPr="003543D3">
        <w:rPr>
          <w:rFonts w:ascii="Calibri" w:eastAsia="Times New Roman" w:hAnsi="Calibri" w:cs="Calibri"/>
          <w:b/>
          <w:bCs/>
          <w:spacing w:val="-4"/>
          <w:sz w:val="24"/>
          <w:szCs w:val="24"/>
          <w:bdr w:val="none" w:sz="0" w:space="0" w:color="auto" w:frame="1"/>
        </w:rPr>
        <w:t> </w:t>
      </w:r>
      <w:r w:rsidRPr="003543D3">
        <w:rPr>
          <w:rFonts w:ascii="GHEA Grapalat" w:eastAsia="Times New Roman" w:hAnsi="GHEA Grapalat" w:cs="GHEA Grapalat"/>
          <w:b/>
          <w:bCs/>
          <w:spacing w:val="-4"/>
          <w:sz w:val="24"/>
          <w:szCs w:val="24"/>
          <w:bdr w:val="none" w:sz="0" w:space="0" w:color="auto" w:frame="1"/>
        </w:rPr>
        <w:t>ՄԱՍԻՆ»</w:t>
      </w:r>
      <w:r w:rsidRPr="003543D3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</w:rPr>
        <w:t xml:space="preserve"> </w:t>
      </w:r>
      <w:r w:rsidRPr="003543D3">
        <w:rPr>
          <w:rFonts w:ascii="GHEA Grapalat" w:eastAsia="Times New Roman" w:hAnsi="GHEA Grapalat" w:cs="GHEA Grapalat"/>
          <w:b/>
          <w:bCs/>
          <w:spacing w:val="-4"/>
          <w:sz w:val="24"/>
          <w:szCs w:val="24"/>
          <w:bdr w:val="none" w:sz="0" w:space="0" w:color="auto" w:frame="1"/>
        </w:rPr>
        <w:t>ՀՀ</w:t>
      </w:r>
      <w:r w:rsidRPr="003543D3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</w:rPr>
        <w:t xml:space="preserve"> </w:t>
      </w:r>
      <w:r w:rsidRPr="003543D3">
        <w:rPr>
          <w:rFonts w:ascii="GHEA Grapalat" w:eastAsia="Times New Roman" w:hAnsi="GHEA Grapalat" w:cs="GHEA Grapalat"/>
          <w:b/>
          <w:bCs/>
          <w:spacing w:val="-4"/>
          <w:sz w:val="24"/>
          <w:szCs w:val="24"/>
          <w:bdr w:val="none" w:sz="0" w:space="0" w:color="auto" w:frame="1"/>
        </w:rPr>
        <w:t>ԿԱՌԱՎԱՐՈՒԹՅԱՆ</w:t>
      </w:r>
      <w:r w:rsidRPr="003543D3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</w:rPr>
        <w:t xml:space="preserve"> </w:t>
      </w:r>
      <w:r w:rsidRPr="003543D3">
        <w:rPr>
          <w:rFonts w:ascii="GHEA Grapalat" w:eastAsia="Times New Roman" w:hAnsi="GHEA Grapalat" w:cs="GHEA Grapalat"/>
          <w:b/>
          <w:bCs/>
          <w:spacing w:val="-4"/>
          <w:sz w:val="24"/>
          <w:szCs w:val="24"/>
          <w:bdr w:val="none" w:sz="0" w:space="0" w:color="auto" w:frame="1"/>
        </w:rPr>
        <w:t>ՈՐՈՇՄԱՆ</w:t>
      </w:r>
      <w:r w:rsidRPr="003543D3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</w:rPr>
        <w:t xml:space="preserve"> </w:t>
      </w:r>
      <w:r w:rsidRPr="003543D3">
        <w:rPr>
          <w:rFonts w:ascii="GHEA Grapalat" w:eastAsia="Times New Roman" w:hAnsi="GHEA Grapalat" w:cs="GHEA Grapalat"/>
          <w:b/>
          <w:bCs/>
          <w:spacing w:val="-4"/>
          <w:sz w:val="24"/>
          <w:szCs w:val="24"/>
          <w:bdr w:val="none" w:sz="0" w:space="0" w:color="auto" w:frame="1"/>
        </w:rPr>
        <w:t>ՆԱԽԱԳԾԻ</w:t>
      </w:r>
      <w:r w:rsidRPr="003543D3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</w:rPr>
        <w:t xml:space="preserve"> </w:t>
      </w:r>
      <w:r w:rsidRPr="003543D3">
        <w:rPr>
          <w:rFonts w:ascii="GHEA Grapalat" w:eastAsia="Times New Roman" w:hAnsi="GHEA Grapalat" w:cs="GHEA Grapalat"/>
          <w:b/>
          <w:bCs/>
          <w:spacing w:val="-4"/>
          <w:sz w:val="24"/>
          <w:szCs w:val="24"/>
          <w:bdr w:val="none" w:sz="0" w:space="0" w:color="auto" w:frame="1"/>
        </w:rPr>
        <w:t>ՎԵՐԱԲԵՐՅԱԼ</w:t>
      </w:r>
    </w:p>
    <w:p w:rsidR="003543D3" w:rsidRPr="003543D3" w:rsidRDefault="003543D3" w:rsidP="003543D3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</w:rPr>
      </w:pPr>
      <w:r w:rsidRPr="003543D3">
        <w:rPr>
          <w:rFonts w:ascii="Calibri" w:eastAsia="Times New Roman" w:hAnsi="Calibri" w:cs="Calibri"/>
          <w:spacing w:val="-4"/>
          <w:sz w:val="24"/>
          <w:szCs w:val="24"/>
        </w:rPr>
        <w:t> </w:t>
      </w:r>
    </w:p>
    <w:p w:rsidR="003543D3" w:rsidRDefault="003543D3" w:rsidP="003543D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</w:rPr>
      </w:pPr>
      <w:r w:rsidRPr="003543D3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</w:rPr>
        <w:t>Ընթացիկ</w:t>
      </w:r>
      <w:r w:rsidRPr="003543D3">
        <w:rPr>
          <w:rFonts w:ascii="Calibri" w:eastAsia="Times New Roman" w:hAnsi="Calibri" w:cs="Calibri"/>
          <w:spacing w:val="-4"/>
          <w:sz w:val="24"/>
          <w:szCs w:val="24"/>
        </w:rPr>
        <w:t> </w:t>
      </w:r>
      <w:r w:rsidRPr="003543D3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</w:rPr>
        <w:t>իրավիճակը</w:t>
      </w:r>
      <w:r w:rsidRPr="003543D3">
        <w:rPr>
          <w:rFonts w:ascii="Calibri" w:eastAsia="Times New Roman" w:hAnsi="Calibri" w:cs="Calibri"/>
          <w:spacing w:val="-4"/>
          <w:sz w:val="24"/>
          <w:szCs w:val="24"/>
        </w:rPr>
        <w:t> </w:t>
      </w:r>
      <w:r w:rsidRPr="003543D3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</w:rPr>
        <w:t>և</w:t>
      </w:r>
      <w:r w:rsidRPr="003543D3">
        <w:rPr>
          <w:rFonts w:ascii="Calibri" w:eastAsia="Times New Roman" w:hAnsi="Calibri" w:cs="Calibri"/>
          <w:spacing w:val="-4"/>
          <w:sz w:val="24"/>
          <w:szCs w:val="24"/>
        </w:rPr>
        <w:t> </w:t>
      </w:r>
      <w:r w:rsidRPr="003543D3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</w:rPr>
        <w:t>իրավական</w:t>
      </w:r>
      <w:r w:rsidRPr="003543D3">
        <w:rPr>
          <w:rFonts w:ascii="Calibri" w:eastAsia="Times New Roman" w:hAnsi="Calibri" w:cs="Calibri"/>
          <w:spacing w:val="-4"/>
          <w:sz w:val="24"/>
          <w:szCs w:val="24"/>
        </w:rPr>
        <w:t> </w:t>
      </w:r>
      <w:r w:rsidRPr="003543D3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</w:rPr>
        <w:t>ակտի</w:t>
      </w:r>
      <w:r w:rsidRPr="003543D3">
        <w:rPr>
          <w:rFonts w:ascii="Calibri" w:eastAsia="Times New Roman" w:hAnsi="Calibri" w:cs="Calibri"/>
          <w:spacing w:val="-4"/>
          <w:sz w:val="24"/>
          <w:szCs w:val="24"/>
        </w:rPr>
        <w:t> </w:t>
      </w:r>
      <w:r w:rsidRPr="003543D3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</w:rPr>
        <w:t>ընդունման</w:t>
      </w:r>
      <w:r w:rsidRPr="003543D3">
        <w:rPr>
          <w:rFonts w:ascii="Calibri" w:eastAsia="Times New Roman" w:hAnsi="Calibri" w:cs="Calibri"/>
          <w:spacing w:val="-4"/>
          <w:sz w:val="24"/>
          <w:szCs w:val="24"/>
        </w:rPr>
        <w:t> </w:t>
      </w:r>
      <w:r w:rsidRPr="003543D3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</w:rPr>
        <w:t>անհրաժեշտությունը</w:t>
      </w:r>
      <w:r w:rsidRPr="003543D3">
        <w:rPr>
          <w:rFonts w:ascii="Calibri" w:eastAsia="Times New Roman" w:hAnsi="Calibri" w:cs="Calibri"/>
          <w:b/>
          <w:bCs/>
          <w:spacing w:val="-4"/>
          <w:sz w:val="24"/>
          <w:szCs w:val="24"/>
          <w:bdr w:val="none" w:sz="0" w:space="0" w:color="auto" w:frame="1"/>
        </w:rPr>
        <w:t> </w:t>
      </w:r>
      <w:r w:rsidRPr="003543D3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</w:rPr>
        <w:t>(</w:t>
      </w:r>
      <w:r w:rsidRPr="003543D3">
        <w:rPr>
          <w:rFonts w:ascii="GHEA Grapalat" w:eastAsia="Times New Roman" w:hAnsi="GHEA Grapalat" w:cs="GHEA Grapalat"/>
          <w:b/>
          <w:bCs/>
          <w:spacing w:val="-4"/>
          <w:sz w:val="24"/>
          <w:szCs w:val="24"/>
          <w:bdr w:val="none" w:sz="0" w:space="0" w:color="auto" w:frame="1"/>
        </w:rPr>
        <w:t>նպատակը</w:t>
      </w:r>
      <w:r w:rsidRPr="003543D3">
        <w:rPr>
          <w:rFonts w:ascii="GHEA Grapalat" w:eastAsia="Times New Roman" w:hAnsi="GHEA Grapalat" w:cs="Times New Roman"/>
          <w:spacing w:val="-4"/>
          <w:sz w:val="24"/>
          <w:szCs w:val="24"/>
        </w:rPr>
        <w:t>)</w:t>
      </w:r>
    </w:p>
    <w:p w:rsidR="003543D3" w:rsidRPr="003543D3" w:rsidRDefault="003543D3" w:rsidP="003543D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</w:rPr>
      </w:pPr>
      <w:r w:rsidRPr="003543D3">
        <w:rPr>
          <w:rFonts w:ascii="GHEA Grapalat" w:eastAsia="Times New Roman" w:hAnsi="GHEA Grapalat" w:cs="Times New Roman"/>
          <w:bCs/>
          <w:spacing w:val="-4"/>
          <w:sz w:val="24"/>
          <w:szCs w:val="24"/>
          <w:bdr w:val="none" w:sz="0" w:space="0" w:color="auto" w:frame="1"/>
        </w:rPr>
        <w:t>«Գազպրոմ Արմենիա» ՓԲԸ-ի կողմից տրամադրված տեղեկատվության համաձայն վերջին տարիների ընթացքում Երևան քաղաքում իրականացվող խոշորամասշտաբ կառուցապատմամբ պայմանավորված, գազասպառման ծավալները կտրուկ աճել են և Երևան քաղաքը սնող գազաբաշխիչ կայանների (այսուհետ՝ ԳԲԿ) և գազամատակարարումն ապահովող գազի բաշխիչ ցանցի գազատար խողովակների թողունակությունը այլևս բավարար չէ գործող գազի բաշխիչ ցանցին նոր գազասպառման համակարգերի միացման համար։ Գործող ենթակառուցվածքներից նոր գազասպառման համակարգերի միացման տեխնիկական պայմանների տրամադրումը կարող է խաթարել անխափան և հուսալի գազամատակարարման իրականացումը, ինչը և անհնար է դարձնում Երևան քաղաքում նոր բազմաբնակարան շենքերի կառուցման համար գազամատակարարման առավել արդյունավետ տեխնիկական պայմաններ տրամադրելու գործընթացը։</w:t>
      </w:r>
    </w:p>
    <w:p w:rsidR="003543D3" w:rsidRPr="003543D3" w:rsidRDefault="003543D3" w:rsidP="003543D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</w:rPr>
      </w:pPr>
      <w:r w:rsidRPr="003543D3">
        <w:rPr>
          <w:rFonts w:ascii="GHEA Grapalat" w:eastAsia="Times New Roman" w:hAnsi="GHEA Grapalat" w:cs="Times New Roman"/>
          <w:spacing w:val="-4"/>
          <w:sz w:val="24"/>
          <w:szCs w:val="24"/>
        </w:rPr>
        <w:t>Ստեղծված իրավիճակից ելնելով Երևան քաղաքում նոր գազասպառման համակարգերի միացման համար տեխնիկական պայմաններ տրամադրվում են Երևան քաղաքի սահմաններից դուրս տեղակայված ԳԲԿ-ներ սնող բարձր ճնշման կողմնատար գազատարներից նոր ԳԲԿ-ների կառուցմամբ։</w:t>
      </w:r>
    </w:p>
    <w:p w:rsidR="003543D3" w:rsidRPr="003543D3" w:rsidRDefault="003543D3" w:rsidP="003543D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</w:rPr>
      </w:pPr>
      <w:r w:rsidRPr="003543D3">
        <w:rPr>
          <w:rFonts w:ascii="GHEA Grapalat" w:eastAsia="Times New Roman" w:hAnsi="GHEA Grapalat" w:cs="Times New Roman"/>
          <w:spacing w:val="-4"/>
          <w:sz w:val="24"/>
          <w:szCs w:val="24"/>
        </w:rPr>
        <w:t>Հաշվի առնելով, որ յուրաքանչյուր կառուցապատողի առանձին տրամադրված գազիֆիկացման տեխնիկական պայմանների համաձայն շինհավաքակցման աշխատանքների կազմակերպումը նման հեռավորությունից տնտեսապես անարդյունավետ և գրեթե անիրագործելի է, ուստի խնդրի լուծման նպատակով առավել նպատակահարմար է իրականացնել նոր բարձր ճնշման կողմնատար գազատարների, ԳԲԿ-ների և ընդհանուր միջին ճնշման գազատարերի կառուցում, որոնցից հետագայում կմիացվեն կառուցապատողների նոր գազասպառման համակարգերը։</w:t>
      </w:r>
      <w:r w:rsidRPr="003543D3">
        <w:rPr>
          <w:rFonts w:ascii="Calibri" w:eastAsia="Times New Roman" w:hAnsi="Calibri" w:cs="Calibri"/>
          <w:spacing w:val="-4"/>
          <w:sz w:val="24"/>
          <w:szCs w:val="24"/>
        </w:rPr>
        <w:t> </w:t>
      </w:r>
    </w:p>
    <w:p w:rsidR="003543D3" w:rsidRDefault="003543D3" w:rsidP="003543D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</w:rPr>
      </w:pPr>
      <w:r w:rsidRPr="003543D3">
        <w:rPr>
          <w:rFonts w:ascii="GHEA Grapalat" w:eastAsia="Times New Roman" w:hAnsi="GHEA Grapalat" w:cs="Times New Roman"/>
          <w:spacing w:val="-4"/>
          <w:sz w:val="24"/>
          <w:szCs w:val="24"/>
        </w:rPr>
        <w:t xml:space="preserve">«Գազպրոմ Արմենիա» ՓԲԸ-ի կողմից տրամադրված տեղեկատվության համաձայն ընկերությունն իր առաջիկա 10 տարիների ներդրումային ծրագիրը իրականացնում է համաձայն </w:t>
      </w:r>
      <w:r w:rsidRPr="003543D3">
        <w:rPr>
          <w:rFonts w:ascii="GHEA Grapalat" w:eastAsia="Times New Roman" w:hAnsi="GHEA Grapalat" w:cs="Times New Roman"/>
          <w:spacing w:val="-4"/>
          <w:sz w:val="24"/>
          <w:szCs w:val="24"/>
        </w:rPr>
        <w:lastRenderedPageBreak/>
        <w:t>մշակված ՀՀ գազամատակարարման և գազիֆիկացման գլխավոր սխեմայի, որտեղ Երևան քաղաքի պահանջարկի բավարարման նպատակով ԳԲԿ-ների և գազատարերի կառուցում ներառված չէ</w:t>
      </w:r>
      <w:r w:rsidR="00123566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և</w:t>
      </w:r>
      <w:r w:rsidRPr="003543D3">
        <w:rPr>
          <w:rFonts w:ascii="GHEA Grapalat" w:eastAsia="Times New Roman" w:hAnsi="GHEA Grapalat" w:cs="Times New Roman"/>
          <w:spacing w:val="-4"/>
          <w:sz w:val="24"/>
          <w:szCs w:val="24"/>
        </w:rPr>
        <w:t xml:space="preserve"> </w:t>
      </w:r>
      <w:r w:rsidR="00123566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ն</w:t>
      </w:r>
      <w:r w:rsidRPr="003543D3">
        <w:rPr>
          <w:rFonts w:ascii="GHEA Grapalat" w:eastAsia="Times New Roman" w:hAnsi="GHEA Grapalat" w:cs="Times New Roman"/>
          <w:spacing w:val="-4"/>
          <w:sz w:val="24"/>
          <w:szCs w:val="24"/>
        </w:rPr>
        <w:t>շված սխեմայով նախատեսված աշխատանքներից դուրս այլ ուղղություններով ներդրումների իրականացումը խնդրահարույց է։</w:t>
      </w:r>
    </w:p>
    <w:p w:rsidR="003543D3" w:rsidRPr="003543D3" w:rsidRDefault="003543D3" w:rsidP="003543D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</w:rPr>
      </w:pPr>
      <w:r w:rsidRPr="003543D3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</w:rPr>
        <w:t>Առաջարկվող կարգավորման բնույթը</w:t>
      </w:r>
    </w:p>
    <w:p w:rsidR="003543D3" w:rsidRPr="003543D3" w:rsidRDefault="003543D3" w:rsidP="003543D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</w:rPr>
      </w:pPr>
      <w:r w:rsidRPr="003543D3">
        <w:rPr>
          <w:rFonts w:ascii="GHEA Grapalat" w:eastAsia="Times New Roman" w:hAnsi="GHEA Grapalat" w:cs="Times New Roman"/>
          <w:spacing w:val="-4"/>
          <w:sz w:val="24"/>
          <w:szCs w:val="24"/>
        </w:rPr>
        <w:t>Գազամատակարարման ռեժիմների բարելավման նպատակով քաղաքաշինական ու տեխնիկական հնարավոր լուծումների համադրմամբ «Գազպրոմ Արմենիա» ՓԲԸ-ի կողմից ուսումասիրվել է տեղադիրքային առումով նույն ուղղությամբ շինարարություն իրականացնող կառուցապատողների աշխատանքները և մշակվել են 4 հիմնական ուղղություններով թվով 4 կողմնատար գազատարների, 4 նոր գազի ճնշման կարգավորման հանգույցների նոր ԳԲԿ-ների ու միջին ճնշման հիմնական սնող գազատարների կառուցման նախնական էսքիզային լուծումներ։</w:t>
      </w:r>
    </w:p>
    <w:p w:rsidR="003543D3" w:rsidRPr="003543D3" w:rsidRDefault="003543D3" w:rsidP="003543D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</w:rPr>
      </w:pPr>
      <w:r w:rsidRPr="003543D3">
        <w:rPr>
          <w:rFonts w:ascii="GHEA Grapalat" w:eastAsia="Times New Roman" w:hAnsi="GHEA Grapalat" w:cs="Times New Roman"/>
          <w:spacing w:val="-4"/>
          <w:sz w:val="24"/>
          <w:szCs w:val="24"/>
        </w:rPr>
        <w:t>Հարկ է նշել, որ պահանջվող ներդրումները հաշվարկված են խոշորացված ցուցիչներով, որոնք կողմնորոշիչ բնույթ են կրում և կարող են փոփոխվել նախագծային աշխատանքների ընթացքում: Արժեքում ներառված չեն հողհատկացման, տարածքների ձեռքբերման, սեփականատերերին փոխհատուցման և նմանաբնույթ այլ ծախսերը:</w:t>
      </w:r>
    </w:p>
    <w:p w:rsidR="003543D3" w:rsidRPr="003543D3" w:rsidRDefault="003543D3" w:rsidP="003543D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</w:rPr>
      </w:pPr>
      <w:r w:rsidRPr="003543D3">
        <w:rPr>
          <w:rFonts w:ascii="GHEA Grapalat" w:eastAsia="Times New Roman" w:hAnsi="GHEA Grapalat" w:cs="Times New Roman"/>
          <w:spacing w:val="-4"/>
          <w:sz w:val="24"/>
          <w:szCs w:val="24"/>
        </w:rPr>
        <w:t xml:space="preserve">Միաժամանակ, ներկայիս խիտ բնակեցվածության պայմաններում ազգաբնակչության բնականոն կյանքը չխաթարելու նպատակով անհրաժեշտ է դիտարկել </w:t>
      </w:r>
      <w:r w:rsidR="00C11DE7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ն</w:t>
      </w:r>
      <w:r w:rsidRPr="003543D3">
        <w:rPr>
          <w:rFonts w:ascii="GHEA Grapalat" w:eastAsia="Times New Roman" w:hAnsi="GHEA Grapalat" w:cs="Times New Roman"/>
          <w:spacing w:val="-4"/>
          <w:sz w:val="24"/>
          <w:szCs w:val="24"/>
        </w:rPr>
        <w:t>ախագծի փուլային իրականացման հնարավորությունը, որը նախնական քննարկվել է նաև Երևանի քաղաքապետարանի ներկայացուցիչների հետ և հաշվի է առնվել նաև Երևան քաղաքի տարածքային զարգացման միտումների վերաբերյալ քաղաքապետարանի խորհրդատվական տեղեկատվությունը։</w:t>
      </w:r>
    </w:p>
    <w:p w:rsidR="003543D3" w:rsidRDefault="003543D3" w:rsidP="003543D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</w:rPr>
      </w:pPr>
      <w:r w:rsidRPr="003543D3">
        <w:rPr>
          <w:rFonts w:ascii="GHEA Grapalat" w:eastAsia="Times New Roman" w:hAnsi="GHEA Grapalat" w:cs="Times New Roman"/>
          <w:spacing w:val="-4"/>
          <w:sz w:val="24"/>
          <w:szCs w:val="24"/>
        </w:rPr>
        <w:t xml:space="preserve">Նախագծանախահաշվային փաստաթղթերի կազմելու համար կպահանջվի </w:t>
      </w:r>
      <w:r w:rsidR="00F653EB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որոշակի</w:t>
      </w:r>
      <w:r w:rsidRPr="003543D3">
        <w:rPr>
          <w:rFonts w:ascii="GHEA Grapalat" w:eastAsia="Times New Roman" w:hAnsi="GHEA Grapalat" w:cs="Times New Roman"/>
          <w:spacing w:val="-4"/>
          <w:sz w:val="24"/>
          <w:szCs w:val="24"/>
        </w:rPr>
        <w:t xml:space="preserve"> ժամանակ, որոնց ավարտից և վերջնական համաձայնեցումներից հետո </w:t>
      </w:r>
      <w:r w:rsidR="00F653EB" w:rsidRPr="003543D3">
        <w:rPr>
          <w:rFonts w:ascii="GHEA Grapalat" w:eastAsia="Times New Roman" w:hAnsi="GHEA Grapalat" w:cs="Times New Roman"/>
          <w:spacing w:val="-4"/>
          <w:sz w:val="24"/>
          <w:szCs w:val="24"/>
        </w:rPr>
        <w:t xml:space="preserve">աշխատանքները </w:t>
      </w:r>
      <w:r w:rsidR="00F653EB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կ</w:t>
      </w:r>
      <w:r w:rsidR="00F653EB" w:rsidRPr="003543D3">
        <w:rPr>
          <w:rFonts w:ascii="GHEA Grapalat" w:eastAsia="Times New Roman" w:hAnsi="GHEA Grapalat" w:cs="Times New Roman"/>
          <w:spacing w:val="-4"/>
          <w:sz w:val="24"/>
          <w:szCs w:val="24"/>
        </w:rPr>
        <w:t>իրականաց</w:t>
      </w:r>
      <w:r w:rsidR="00F653EB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վե</w:t>
      </w:r>
      <w:r w:rsidR="00F653EB" w:rsidRPr="003543D3">
        <w:rPr>
          <w:rFonts w:ascii="GHEA Grapalat" w:eastAsia="Times New Roman" w:hAnsi="GHEA Grapalat" w:cs="Times New Roman"/>
          <w:spacing w:val="-4"/>
          <w:sz w:val="24"/>
          <w:szCs w:val="24"/>
        </w:rPr>
        <w:t>ն</w:t>
      </w:r>
      <w:r w:rsidR="00F653EB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հետևյալ</w:t>
      </w:r>
      <w:r w:rsidR="00F653EB" w:rsidRPr="003543D3">
        <w:rPr>
          <w:rFonts w:ascii="GHEA Grapalat" w:eastAsia="Times New Roman" w:hAnsi="GHEA Grapalat" w:cs="Times New Roman"/>
          <w:spacing w:val="-4"/>
          <w:sz w:val="24"/>
          <w:szCs w:val="24"/>
        </w:rPr>
        <w:t xml:space="preserve"> </w:t>
      </w:r>
      <w:r w:rsidRPr="003543D3">
        <w:rPr>
          <w:rFonts w:ascii="GHEA Grapalat" w:eastAsia="Times New Roman" w:hAnsi="GHEA Grapalat" w:cs="Times New Roman"/>
          <w:spacing w:val="-4"/>
          <w:sz w:val="24"/>
          <w:szCs w:val="24"/>
        </w:rPr>
        <w:t>փուլ</w:t>
      </w:r>
      <w:r w:rsidR="00F653EB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երով</w:t>
      </w:r>
      <w:r w:rsidR="00F653EB">
        <w:rPr>
          <w:rFonts w:ascii="GHEA Grapalat" w:eastAsia="Times New Roman" w:hAnsi="GHEA Grapalat" w:cs="Times New Roman"/>
          <w:spacing w:val="-4"/>
          <w:sz w:val="24"/>
          <w:szCs w:val="24"/>
        </w:rPr>
        <w:t>.</w:t>
      </w:r>
    </w:p>
    <w:p w:rsidR="00F653EB" w:rsidRPr="003543D3" w:rsidRDefault="00F653EB" w:rsidP="00F653EB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</w:rPr>
      </w:pPr>
      <w:r w:rsidRPr="003543D3">
        <w:rPr>
          <w:rFonts w:ascii="GHEA Grapalat" w:eastAsia="Times New Roman" w:hAnsi="GHEA Grapalat" w:cs="Times New Roman"/>
          <w:spacing w:val="-4"/>
          <w:sz w:val="24"/>
          <w:szCs w:val="24"/>
        </w:rPr>
        <w:t>I փուլ</w:t>
      </w:r>
      <w:r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՝</w:t>
      </w:r>
      <w:r w:rsidRPr="003543D3">
        <w:rPr>
          <w:rFonts w:ascii="GHEA Grapalat" w:eastAsia="Times New Roman" w:hAnsi="GHEA Grapalat" w:cs="Times New Roman"/>
          <w:spacing w:val="-4"/>
          <w:sz w:val="24"/>
          <w:szCs w:val="24"/>
        </w:rPr>
        <w:t xml:space="preserve"> Երևան քաղաքի Հյուսիս-Արևելյան հատված.</w:t>
      </w:r>
    </w:p>
    <w:p w:rsidR="003543D3" w:rsidRPr="003543D3" w:rsidRDefault="00F653EB" w:rsidP="003543D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</w:rPr>
      </w:pPr>
      <w:r>
        <w:rPr>
          <w:rFonts w:ascii="GHEA Grapalat" w:eastAsia="Times New Roman" w:hAnsi="GHEA Grapalat" w:cs="Times New Roman"/>
          <w:spacing w:val="-4"/>
          <w:sz w:val="24"/>
          <w:szCs w:val="24"/>
        </w:rPr>
        <w:t>I</w:t>
      </w:r>
      <w:r w:rsidR="003543D3" w:rsidRPr="003543D3">
        <w:rPr>
          <w:rFonts w:ascii="GHEA Grapalat" w:eastAsia="Times New Roman" w:hAnsi="GHEA Grapalat" w:cs="Times New Roman"/>
          <w:spacing w:val="-4"/>
          <w:sz w:val="24"/>
          <w:szCs w:val="24"/>
        </w:rPr>
        <w:t>I փուլ</w:t>
      </w:r>
      <w:r w:rsidR="00C11DE7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՝</w:t>
      </w:r>
      <w:r w:rsidR="003543D3" w:rsidRPr="003543D3">
        <w:rPr>
          <w:rFonts w:ascii="GHEA Grapalat" w:eastAsia="Times New Roman" w:hAnsi="GHEA Grapalat" w:cs="Times New Roman"/>
          <w:spacing w:val="-4"/>
          <w:sz w:val="24"/>
          <w:szCs w:val="24"/>
        </w:rPr>
        <w:t xml:space="preserve"> Երևան քաղաքի Հարավ-Արևմտյան հատված.</w:t>
      </w:r>
    </w:p>
    <w:p w:rsidR="00F653EB" w:rsidRPr="003543D3" w:rsidRDefault="00F653EB" w:rsidP="00F653EB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3543D3">
        <w:rPr>
          <w:rFonts w:ascii="GHEA Grapalat" w:eastAsia="Times New Roman" w:hAnsi="GHEA Grapalat" w:cs="Times New Roman"/>
          <w:spacing w:val="-4"/>
          <w:sz w:val="24"/>
          <w:szCs w:val="24"/>
        </w:rPr>
        <w:t>I</w:t>
      </w:r>
      <w:r>
        <w:rPr>
          <w:rFonts w:ascii="GHEA Grapalat" w:eastAsia="Times New Roman" w:hAnsi="GHEA Grapalat" w:cs="Times New Roman"/>
          <w:spacing w:val="-4"/>
          <w:sz w:val="24"/>
          <w:szCs w:val="24"/>
        </w:rPr>
        <w:t>II</w:t>
      </w:r>
      <w:r w:rsidRPr="003543D3">
        <w:rPr>
          <w:rFonts w:ascii="GHEA Grapalat" w:eastAsia="Times New Roman" w:hAnsi="GHEA Grapalat" w:cs="Times New Roman"/>
          <w:spacing w:val="-4"/>
          <w:sz w:val="24"/>
          <w:szCs w:val="24"/>
        </w:rPr>
        <w:t xml:space="preserve"> փուլ</w:t>
      </w:r>
      <w:r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՝</w:t>
      </w:r>
      <w:r w:rsidRPr="003543D3">
        <w:rPr>
          <w:rFonts w:ascii="GHEA Grapalat" w:eastAsia="Times New Roman" w:hAnsi="GHEA Grapalat" w:cs="Times New Roman"/>
          <w:spacing w:val="-4"/>
          <w:sz w:val="24"/>
          <w:szCs w:val="24"/>
        </w:rPr>
        <w:t xml:space="preserve"> Երևան քաղաքի Հարավային հատված</w:t>
      </w:r>
      <w:r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։</w:t>
      </w:r>
    </w:p>
    <w:p w:rsidR="003543D3" w:rsidRPr="00F653EB" w:rsidRDefault="003543D3" w:rsidP="003543D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F653EB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I</w:t>
      </w:r>
      <w:r w:rsidR="00F653EB" w:rsidRPr="00F653EB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V</w:t>
      </w:r>
      <w:r w:rsidRPr="00F653EB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փուլ</w:t>
      </w:r>
      <w:r w:rsidR="00C11DE7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՝</w:t>
      </w:r>
      <w:r w:rsidRPr="00F653EB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Երևան քաղաքի Արևելյան հատված.</w:t>
      </w:r>
    </w:p>
    <w:p w:rsidR="003543D3" w:rsidRPr="003543D3" w:rsidRDefault="003543D3" w:rsidP="003543D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C11DE7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  <w:lang w:val="hy-AM"/>
        </w:rPr>
        <w:lastRenderedPageBreak/>
        <w:t>Նախագծի մշակման գործընթացում</w:t>
      </w:r>
      <w:r w:rsidR="00C11DE7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  <w:lang w:val="hy-AM"/>
        </w:rPr>
        <w:t xml:space="preserve"> </w:t>
      </w:r>
      <w:r w:rsidRPr="00C11DE7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  <w:lang w:val="hy-AM"/>
        </w:rPr>
        <w:t>ներգրավված ինստիտուտները և անձինք</w:t>
      </w:r>
    </w:p>
    <w:p w:rsidR="003543D3" w:rsidRPr="003543D3" w:rsidRDefault="003543D3" w:rsidP="003543D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C11DE7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Նախագիծը մշակվել է ՀՀ </w:t>
      </w:r>
      <w:r w:rsidR="00964150" w:rsidRPr="00964150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տարածքային կառավարման և ենթակառուցվածքների</w:t>
      </w:r>
      <w:r w:rsidRPr="00C11DE7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նախարարության կողմից։</w:t>
      </w:r>
      <w:r w:rsidRPr="003543D3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</w:t>
      </w:r>
      <w:r w:rsidRPr="003543D3">
        <w:rPr>
          <w:rFonts w:ascii="Calibri" w:eastAsia="Times New Roman" w:hAnsi="Calibri" w:cs="Calibri"/>
          <w:spacing w:val="-4"/>
          <w:sz w:val="24"/>
          <w:szCs w:val="24"/>
          <w:lang w:val="hy-AM"/>
        </w:rPr>
        <w:t> </w:t>
      </w:r>
    </w:p>
    <w:p w:rsidR="003543D3" w:rsidRPr="009B7FB2" w:rsidRDefault="003543D3" w:rsidP="003543D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9B7FB2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  <w:lang w:val="hy-AM"/>
        </w:rPr>
        <w:t>Իրավական ակտի կիրառման դեպքում ակնկալվող արդյունքը</w:t>
      </w:r>
    </w:p>
    <w:p w:rsidR="003543D3" w:rsidRPr="009B7FB2" w:rsidRDefault="003543D3" w:rsidP="003543D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9B7FB2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Նշված առաջարկի իրագործումը հնարավորություն կտա կրճատել ենթակառուցվածքների ստեղծման ուղղությամբ իրականացվող ընդհանուր ծախսերը, նվազագույնի հասցնել կամ </w:t>
      </w:r>
      <w:r w:rsidR="00C11DE7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չեզոքացնել</w:t>
      </w:r>
      <w:r w:rsidRPr="009B7FB2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սակագնի վրա ազդեցությունը և ապահովել մատակարար ընկերության կողմից ստեղծված ենթակառուցվածքների պատշաճ շահագործումը։</w:t>
      </w:r>
    </w:p>
    <w:p w:rsidR="003543D3" w:rsidRPr="009B7FB2" w:rsidRDefault="003543D3" w:rsidP="003543D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9B7FB2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Աշխատանքների արդյունքում ենթակառուցվածքներ կստեղծվեն Երևան քաղաքի ողջ տարածքում:</w:t>
      </w:r>
    </w:p>
    <w:p w:rsidR="003543D3" w:rsidRPr="00161F64" w:rsidRDefault="003543D3" w:rsidP="003543D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161F64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Առաջարկվող ծրագրերով գազամատակարարման ցանցին արդյունավետ կարգով միանալու հնարավորություն կստանան արդեն իսկ տեխնիկական պայմաններ ստացած </w:t>
      </w:r>
      <w:r w:rsidR="00701A97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4</w:t>
      </w:r>
      <w:r w:rsidRPr="00161F64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90 օբյեկտներ ընդհանուր շուրջ </w:t>
      </w:r>
      <w:r w:rsidR="00123566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4915</w:t>
      </w:r>
      <w:r w:rsidRPr="00161F64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00 խմ/ժ սպառմամբ։</w:t>
      </w:r>
    </w:p>
    <w:p w:rsidR="003543D3" w:rsidRPr="00161F64" w:rsidRDefault="003543D3" w:rsidP="003543D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161F64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Բացի վերը նշվածը նոր ենթակառուցվածքները նախատեսում են նաև շուրջ 20% լրացուցիչ հզորություններ։ Այսինքն միացվող օբյեկտների հզորությունը կարող է հասնել մինչև </w:t>
      </w:r>
      <w:r w:rsidR="00123566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589</w:t>
      </w:r>
      <w:r w:rsidRPr="00161F64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800 խմ/ժ։</w:t>
      </w:r>
    </w:p>
    <w:p w:rsidR="003543D3" w:rsidRPr="00161F64" w:rsidRDefault="003543D3" w:rsidP="003543D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60" w:lineRule="auto"/>
        <w:ind w:left="426" w:hanging="426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161F64">
        <w:rPr>
          <w:rFonts w:ascii="GHEA Grapalat" w:eastAsia="Times New Roman" w:hAnsi="GHEA Grapalat" w:cs="Times New Roman"/>
          <w:b/>
          <w:bCs/>
          <w:spacing w:val="-4"/>
          <w:sz w:val="24"/>
          <w:szCs w:val="24"/>
          <w:bdr w:val="none" w:sz="0" w:space="0" w:color="auto" w:frame="1"/>
          <w:lang w:val="hy-AM"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3543D3" w:rsidRPr="00F653EB" w:rsidRDefault="003543D3" w:rsidP="003543D3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</w:pPr>
      <w:r w:rsidRPr="00F653EB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Նախագիծը բխում է ՀՀ կառավարության 2021-2026թթ. ծրագրի </w:t>
      </w:r>
      <w:r w:rsidR="009B7FB2" w:rsidRPr="00F653EB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«2.</w:t>
      </w:r>
      <w:r w:rsidR="009B7FB2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6</w:t>
      </w:r>
      <w:r w:rsidR="009B7FB2" w:rsidRPr="00F653EB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ՈՐԱԿԻ ԵՆԹԱԿԱՌՈՒՑՎԱԾՔ»</w:t>
      </w:r>
      <w:r w:rsidR="009B7FB2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և </w:t>
      </w:r>
      <w:r w:rsidRPr="00F653EB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«2.7 ՔԱՂԱՔԱՇԻՆՈՒԹՅՈՒՆ»</w:t>
      </w:r>
      <w:r w:rsidR="00822BD5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</w:t>
      </w:r>
      <w:r w:rsidRPr="00F653EB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կետերից։ </w:t>
      </w:r>
    </w:p>
    <w:sectPr w:rsidR="003543D3" w:rsidRPr="00F653EB" w:rsidSect="003543D3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607F0"/>
    <w:multiLevelType w:val="multilevel"/>
    <w:tmpl w:val="48FEA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216D7"/>
    <w:multiLevelType w:val="multilevel"/>
    <w:tmpl w:val="BDE475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4E0279"/>
    <w:multiLevelType w:val="multilevel"/>
    <w:tmpl w:val="2564F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0C72F0"/>
    <w:multiLevelType w:val="multilevel"/>
    <w:tmpl w:val="59126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E40D4E"/>
    <w:multiLevelType w:val="multilevel"/>
    <w:tmpl w:val="46360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4774930">
    <w:abstractNumId w:val="2"/>
  </w:num>
  <w:num w:numId="2" w16cid:durableId="2006546352">
    <w:abstractNumId w:val="0"/>
  </w:num>
  <w:num w:numId="3" w16cid:durableId="1507555051">
    <w:abstractNumId w:val="1"/>
  </w:num>
  <w:num w:numId="4" w16cid:durableId="1012298653">
    <w:abstractNumId w:val="3"/>
  </w:num>
  <w:num w:numId="5" w16cid:durableId="14378243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D3"/>
    <w:rsid w:val="00123566"/>
    <w:rsid w:val="00161F64"/>
    <w:rsid w:val="003543D3"/>
    <w:rsid w:val="004765BC"/>
    <w:rsid w:val="00701A97"/>
    <w:rsid w:val="00822BD5"/>
    <w:rsid w:val="008A3C75"/>
    <w:rsid w:val="00964150"/>
    <w:rsid w:val="009B7FB2"/>
    <w:rsid w:val="00B51A21"/>
    <w:rsid w:val="00C11DE7"/>
    <w:rsid w:val="00CB2ABB"/>
    <w:rsid w:val="00D56E1C"/>
    <w:rsid w:val="00F6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3A26"/>
  <w15:chartTrackingRefBased/>
  <w15:docId w15:val="{A4E0F5EA-9FC3-4C69-A454-CA7F3022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43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Ulikhanyan</dc:creator>
  <cp:keywords/>
  <dc:description/>
  <cp:lastModifiedBy>Armen Hovhannisyan</cp:lastModifiedBy>
  <cp:revision>13</cp:revision>
  <dcterms:created xsi:type="dcterms:W3CDTF">2023-05-04T04:39:00Z</dcterms:created>
  <dcterms:modified xsi:type="dcterms:W3CDTF">2023-05-08T06:20:00Z</dcterms:modified>
</cp:coreProperties>
</file>