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308" w:rsidRDefault="00D82308" w:rsidP="00D82308">
      <w:pPr>
        <w:spacing w:after="0" w:line="240" w:lineRule="auto"/>
        <w:ind w:firstLine="426"/>
        <w:jc w:val="right"/>
        <w:rPr>
          <w:rFonts w:ascii="GHEA Grapalat" w:hAnsi="GHEA Grapalat"/>
          <w:b/>
          <w:spacing w:val="-4"/>
          <w:sz w:val="26"/>
          <w:szCs w:val="26"/>
          <w:lang w:val="hy-AM"/>
        </w:rPr>
      </w:pPr>
      <w:r w:rsidRPr="00D82308">
        <w:rPr>
          <w:rFonts w:ascii="GHEA Grapalat" w:hAnsi="GHEA Grapalat"/>
          <w:b/>
          <w:spacing w:val="-4"/>
          <w:sz w:val="26"/>
          <w:szCs w:val="26"/>
          <w:lang w:val="hy-AM"/>
        </w:rPr>
        <w:t>ՆԱԽԱԳԻԾ</w:t>
      </w:r>
    </w:p>
    <w:p w:rsidR="00E71A94" w:rsidRDefault="00E71A94" w:rsidP="00D82308">
      <w:pPr>
        <w:spacing w:after="0" w:line="240" w:lineRule="auto"/>
        <w:ind w:firstLine="426"/>
        <w:jc w:val="right"/>
        <w:rPr>
          <w:rFonts w:ascii="GHEA Grapalat" w:hAnsi="GHEA Grapalat"/>
          <w:b/>
          <w:spacing w:val="-4"/>
          <w:sz w:val="26"/>
          <w:szCs w:val="26"/>
          <w:lang w:val="hy-AM"/>
        </w:rPr>
      </w:pPr>
    </w:p>
    <w:p w:rsidR="00BC0E8B" w:rsidRPr="00D82308" w:rsidRDefault="00BC0E8B" w:rsidP="00D82308">
      <w:pPr>
        <w:spacing w:after="0" w:line="240" w:lineRule="auto"/>
        <w:ind w:firstLine="426"/>
        <w:jc w:val="right"/>
        <w:rPr>
          <w:rFonts w:ascii="GHEA Grapalat" w:hAnsi="GHEA Grapalat"/>
          <w:b/>
          <w:spacing w:val="-4"/>
          <w:sz w:val="26"/>
          <w:szCs w:val="26"/>
          <w:lang w:val="hy-AM"/>
        </w:rPr>
      </w:pPr>
    </w:p>
    <w:p w:rsidR="00B8731F" w:rsidRPr="00D82308" w:rsidRDefault="00B8731F" w:rsidP="00D82308">
      <w:pPr>
        <w:spacing w:after="0" w:line="240" w:lineRule="auto"/>
        <w:ind w:firstLine="426"/>
        <w:jc w:val="center"/>
        <w:rPr>
          <w:rFonts w:ascii="GHEA Grapalat" w:hAnsi="GHEA Grapalat"/>
          <w:b/>
          <w:spacing w:val="-4"/>
          <w:sz w:val="26"/>
          <w:szCs w:val="26"/>
          <w:lang w:val="hy-AM"/>
        </w:rPr>
      </w:pPr>
      <w:r w:rsidRPr="00D82308">
        <w:rPr>
          <w:rFonts w:ascii="GHEA Grapalat" w:hAnsi="GHEA Grapalat"/>
          <w:b/>
          <w:spacing w:val="-4"/>
          <w:sz w:val="26"/>
          <w:szCs w:val="26"/>
          <w:lang w:val="hy-AM"/>
        </w:rPr>
        <w:t>ՀԱՅԱՍՏԱՆԻ ՀԱՆՐԱՊԵՏՈՒԹՅԱՆ ԿԱՌԱՎԱՐՈՒԹՅՈՒՆ</w:t>
      </w:r>
    </w:p>
    <w:p w:rsidR="00B8731F" w:rsidRPr="00D82308" w:rsidRDefault="00B8731F" w:rsidP="00D82308">
      <w:pPr>
        <w:spacing w:after="0" w:line="240" w:lineRule="auto"/>
        <w:ind w:firstLine="426"/>
        <w:jc w:val="center"/>
        <w:rPr>
          <w:rFonts w:ascii="GHEA Grapalat" w:hAnsi="GHEA Grapalat"/>
          <w:b/>
          <w:spacing w:val="-4"/>
          <w:sz w:val="26"/>
          <w:szCs w:val="26"/>
          <w:lang w:val="hy-AM"/>
        </w:rPr>
      </w:pPr>
      <w:r w:rsidRPr="00D82308">
        <w:rPr>
          <w:rFonts w:ascii="GHEA Grapalat" w:hAnsi="GHEA Grapalat"/>
          <w:b/>
          <w:spacing w:val="-4"/>
          <w:sz w:val="26"/>
          <w:szCs w:val="26"/>
          <w:lang w:val="hy-AM"/>
        </w:rPr>
        <w:t>ՈՐՈՇՈՒՄ</w:t>
      </w:r>
    </w:p>
    <w:p w:rsidR="00D82308" w:rsidRDefault="00D82308" w:rsidP="00D82308">
      <w:pPr>
        <w:spacing w:after="0" w:line="240" w:lineRule="auto"/>
        <w:ind w:firstLine="426"/>
        <w:jc w:val="both"/>
        <w:rPr>
          <w:rFonts w:ascii="GHEA Grapalat" w:hAnsi="GHEA Grapalat"/>
          <w:spacing w:val="-4"/>
          <w:sz w:val="24"/>
          <w:szCs w:val="24"/>
        </w:rPr>
      </w:pPr>
    </w:p>
    <w:p w:rsidR="00B8731F" w:rsidRPr="00D82308" w:rsidRDefault="00B8731F" w:rsidP="00D82308">
      <w:pPr>
        <w:spacing w:after="0" w:line="240" w:lineRule="auto"/>
        <w:ind w:firstLine="426"/>
        <w:jc w:val="center"/>
        <w:rPr>
          <w:rFonts w:ascii="GHEA Grapalat" w:hAnsi="GHEA Grapalat"/>
          <w:spacing w:val="-4"/>
          <w:sz w:val="22"/>
          <w:szCs w:val="22"/>
          <w:lang w:val="hy-AM"/>
        </w:rPr>
      </w:pPr>
      <w:r w:rsidRPr="00D82308">
        <w:rPr>
          <w:rFonts w:ascii="GHEA Grapalat" w:hAnsi="GHEA Grapalat"/>
          <w:spacing w:val="-4"/>
          <w:sz w:val="22"/>
          <w:szCs w:val="22"/>
        </w:rPr>
        <w:t xml:space="preserve">__ _____________ 2023 </w:t>
      </w:r>
      <w:r w:rsidRPr="00D82308">
        <w:rPr>
          <w:rFonts w:ascii="GHEA Grapalat" w:hAnsi="GHEA Grapalat"/>
          <w:spacing w:val="-4"/>
          <w:sz w:val="22"/>
          <w:szCs w:val="22"/>
          <w:lang w:val="hy-AM"/>
        </w:rPr>
        <w:t xml:space="preserve">թվականի </w:t>
      </w:r>
      <w:r w:rsidR="00D82308" w:rsidRPr="00D82308">
        <w:rPr>
          <w:rFonts w:ascii="GHEA Grapalat" w:hAnsi="GHEA Grapalat"/>
          <w:spacing w:val="-4"/>
          <w:sz w:val="22"/>
          <w:szCs w:val="22"/>
          <w:lang w:val="hy-AM"/>
        </w:rPr>
        <w:t>№</w:t>
      </w:r>
      <w:r w:rsidR="00D82308" w:rsidRPr="00D82308">
        <w:rPr>
          <w:rFonts w:ascii="GHEA Grapalat" w:hAnsi="GHEA Grapalat"/>
          <w:spacing w:val="-4"/>
          <w:sz w:val="22"/>
          <w:szCs w:val="22"/>
        </w:rPr>
        <w:t>___-</w:t>
      </w:r>
      <w:r w:rsidR="00D82308" w:rsidRPr="00D82308">
        <w:rPr>
          <w:rFonts w:ascii="GHEA Grapalat" w:hAnsi="GHEA Grapalat"/>
          <w:spacing w:val="-4"/>
          <w:sz w:val="22"/>
          <w:szCs w:val="22"/>
          <w:lang w:val="hy-AM"/>
        </w:rPr>
        <w:t>Լ</w:t>
      </w:r>
    </w:p>
    <w:p w:rsidR="00D82308" w:rsidRDefault="00D82308" w:rsidP="00D82308">
      <w:pPr>
        <w:spacing w:after="0" w:line="24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D82308" w:rsidRPr="00D82308" w:rsidRDefault="00D82308" w:rsidP="00D82308">
      <w:pPr>
        <w:spacing w:after="0" w:line="240" w:lineRule="auto"/>
        <w:ind w:firstLine="426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D82308">
        <w:rPr>
          <w:rFonts w:ascii="GHEA Grapalat" w:hAnsi="GHEA Grapalat"/>
          <w:b/>
          <w:spacing w:val="-4"/>
          <w:sz w:val="24"/>
          <w:szCs w:val="24"/>
          <w:lang w:val="hy-AM"/>
        </w:rPr>
        <w:t>ԵՐԵՎԱՆ ՔԱՂԱՔԸ ԳԱԶԱՄԱՏԱԿԱՐԱՐՄԱՆ ԼՐԱՑՈՒՑԻՉ ՆՈՐ ՀԶՈՐՈՒԹՅՈՒՆՆԵՐՈՎ ԱՊԱՀՈՎԵԼՈՒ ԾՐԱԳՐԻՆ ՀԱՎԱՆՈՒԹՅՈՒՆ ՏԱԼՈՒ ՄԱՍԻՆ</w:t>
      </w:r>
    </w:p>
    <w:p w:rsidR="00D82308" w:rsidRPr="00D82308" w:rsidRDefault="00D82308" w:rsidP="00447958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D82308" w:rsidRPr="00C54C0E" w:rsidRDefault="00C54C0E" w:rsidP="00BC0E8B">
      <w:pPr>
        <w:spacing w:after="200" w:line="360" w:lineRule="auto"/>
        <w:ind w:firstLine="426"/>
        <w:contextualSpacing/>
        <w:jc w:val="both"/>
        <w:rPr>
          <w:rFonts w:ascii="GHEA Grapalat" w:eastAsiaTheme="minorHAnsi" w:hAnsi="GHEA Grapalat" w:cstheme="minorBidi"/>
          <w:i/>
          <w:iCs/>
          <w:spacing w:val="-4"/>
          <w:sz w:val="24"/>
          <w:szCs w:val="24"/>
          <w:lang w:val="hy-AM"/>
        </w:rPr>
      </w:pP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Ղեկավարվելով Հայաստանի Հանրապետության Սահմանադրության 146-րդ հոդվածի 4-րդ մասով և հիմք ընդունելով Հայաստանի Հանրապետության </w:t>
      </w:r>
      <w:r w:rsidR="00BD222D" w:rsidRPr="00BD222D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Ազգային ժողովի </w:t>
      </w: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2021 թվականի </w:t>
      </w:r>
      <w:r w:rsidR="00BD222D" w:rsidRPr="00BD222D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>սեպտեմբեր</w:t>
      </w: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ի </w:t>
      </w:r>
      <w:r w:rsidR="00BD222D" w:rsidRPr="00BD222D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>5</w:t>
      </w: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-ի </w:t>
      </w:r>
      <w:r w:rsidR="00C83BCC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>№</w:t>
      </w:r>
      <w:r w:rsidR="00BD222D" w:rsidRPr="00BD222D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>ԱԺՈ-002</w:t>
      </w: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>-</w:t>
      </w:r>
      <w:r w:rsidR="00BD222D" w:rsidRPr="00BD222D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>Ն</w:t>
      </w: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 որոշմա</w:t>
      </w:r>
      <w:r w:rsidR="00BD222D" w:rsidRPr="00BD222D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ն </w:t>
      </w:r>
      <w:r w:rsidRPr="00C54C0E">
        <w:rPr>
          <w:rFonts w:ascii="GHEA Grapalat" w:eastAsiaTheme="minorHAnsi" w:hAnsi="GHEA Grapalat" w:cstheme="minorBidi"/>
          <w:spacing w:val="-4"/>
          <w:sz w:val="24"/>
          <w:szCs w:val="24"/>
          <w:lang w:val="hy-AM"/>
        </w:rPr>
        <w:t xml:space="preserve">հավելվածի 3-րդ կետը՝ Հայաստանի Հանրապետության կառավարությունը </w:t>
      </w:r>
      <w:r w:rsidRPr="00C54C0E">
        <w:rPr>
          <w:rFonts w:ascii="GHEA Grapalat" w:eastAsiaTheme="minorHAnsi" w:hAnsi="GHEA Grapalat" w:cstheme="minorBidi"/>
          <w:b/>
          <w:i/>
          <w:spacing w:val="-4"/>
          <w:sz w:val="24"/>
          <w:szCs w:val="24"/>
          <w:lang w:val="hy-AM"/>
        </w:rPr>
        <w:t>որոշում է</w:t>
      </w:r>
      <w:r w:rsidR="00907AC6" w:rsidRPr="00C54C0E">
        <w:rPr>
          <w:rFonts w:ascii="GHEA Grapalat" w:eastAsiaTheme="minorHAnsi" w:hAnsi="GHEA Grapalat" w:cstheme="minorBidi"/>
          <w:b/>
          <w:i/>
          <w:iCs/>
          <w:spacing w:val="-4"/>
          <w:sz w:val="24"/>
          <w:szCs w:val="24"/>
          <w:lang w:val="hy-AM"/>
        </w:rPr>
        <w:t>.</w:t>
      </w:r>
    </w:p>
    <w:p w:rsidR="00D82308" w:rsidRPr="00C54C0E" w:rsidRDefault="00D82308" w:rsidP="00BC0E8B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1. Հավանություն տալ </w:t>
      </w:r>
      <w:r w:rsidR="00907AC6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Երևան քաղաքը գազամատակարարման լրացուցիչ նոր հզորություններով ապահովելու ծրագրին (այսուհետ՝ Ծրագիր)՝ համաձայն սույն որոշման </w:t>
      </w:r>
      <w:r w:rsidR="00FF6FE0" w:rsidRPr="00C54C0E">
        <w:rPr>
          <w:rFonts w:ascii="GHEA Grapalat" w:hAnsi="GHEA Grapalat"/>
          <w:spacing w:val="-4"/>
          <w:sz w:val="24"/>
          <w:szCs w:val="24"/>
          <w:lang w:val="hy-AM"/>
        </w:rPr>
        <w:t>№</w:t>
      </w:r>
      <w:r w:rsidR="00907AC6" w:rsidRPr="00C54C0E">
        <w:rPr>
          <w:rFonts w:ascii="GHEA Grapalat" w:hAnsi="GHEA Grapalat"/>
          <w:spacing w:val="-4"/>
          <w:sz w:val="24"/>
          <w:szCs w:val="24"/>
          <w:lang w:val="hy-AM"/>
        </w:rPr>
        <w:t>1 հավելվածի։</w:t>
      </w:r>
    </w:p>
    <w:p w:rsidR="00DD539D" w:rsidRPr="00C54C0E" w:rsidRDefault="00447958" w:rsidP="00BC0E8B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2. 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Սահմանել, </w:t>
      </w:r>
      <w:r w:rsidR="00FF6FE0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որ 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Ծրագիրն իրականացվում է </w:t>
      </w:r>
      <w:r w:rsidR="007C3C69" w:rsidRPr="00C54C0E">
        <w:rPr>
          <w:rFonts w:ascii="GHEA Grapalat" w:hAnsi="GHEA Grapalat"/>
          <w:spacing w:val="-4"/>
          <w:sz w:val="24"/>
          <w:szCs w:val="24"/>
          <w:lang w:val="hy-AM"/>
        </w:rPr>
        <w:t>սույն որոշման №2 հավելվածով նախատեսված ժամանակացույցին</w:t>
      </w:r>
      <w:r w:rsidR="00FF6FE0" w:rsidRPr="00C54C0E">
        <w:rPr>
          <w:rFonts w:ascii="GHEA Grapalat" w:hAnsi="GHEA Grapalat"/>
          <w:spacing w:val="-4"/>
          <w:sz w:val="24"/>
          <w:szCs w:val="24"/>
          <w:lang w:val="hy-AM"/>
        </w:rPr>
        <w:t>, Հայաստանի Հանրապետության օրենսդրությանը</w:t>
      </w:r>
      <w:r w:rsidR="007C3C69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և Ծրագրի փուլերին համապատասխան։</w:t>
      </w:r>
    </w:p>
    <w:p w:rsidR="00CB04F7" w:rsidRPr="00C54C0E" w:rsidRDefault="00FF6FE0" w:rsidP="00BC0E8B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3. Առաջարկել Հայաստանի Հանրապետության հանրային ծառայությունները կարգավորող հանձնաժողովին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(այսուհետ՝ Հանձնաժողով)</w:t>
      </w: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՝</w:t>
      </w:r>
    </w:p>
    <w:p w:rsidR="00CB04F7" w:rsidRPr="00C54C0E" w:rsidRDefault="00FF6FE0" w:rsidP="00BC0E8B">
      <w:pPr>
        <w:pStyle w:val="a3"/>
        <w:numPr>
          <w:ilvl w:val="0"/>
          <w:numId w:val="5"/>
        </w:numPr>
        <w:spacing w:after="0" w:line="360" w:lineRule="auto"/>
        <w:ind w:hanging="43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գազամատակարարման համակարգում սակագների առաջիկա վերանայման գործընթացի շրջանակում Ծրագրով նախատեսված գումարը որպես միանվագ ծախս ներառել «Գազպրոմ Արմենիա» փակ բաժնետիրական ընկերության (այսուհետ՝ Ընկերություն) կողմից սպառողներին վաճառվող բնական գազի սակագների հաշվարկներում</w:t>
      </w:r>
      <w:r w:rsidR="00CB04F7" w:rsidRPr="00C54C0E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:rsidR="0020666A" w:rsidRDefault="00CB04F7" w:rsidP="00BC0E8B">
      <w:pPr>
        <w:pStyle w:val="a3"/>
        <w:numPr>
          <w:ilvl w:val="0"/>
          <w:numId w:val="5"/>
        </w:numPr>
        <w:spacing w:after="0" w:line="360" w:lineRule="auto"/>
        <w:ind w:hanging="43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սպառողներին վաճառվող բնական գազի սակագների վրա</w:t>
      </w:r>
      <w:r w:rsidR="00F02A76"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 xml:space="preserve"> հետագայում</w:t>
      </w:r>
      <w:r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 xml:space="preserve"> Ծրագրի իրականացման ազդեցությունը չեզոքացնելու նպատակով Երևան քաղաքում գազամատակարարման ցանցին միացման համար դիմող անձանց համար սահմանել միացման վճար, որ</w:t>
      </w:r>
      <w:r w:rsidR="00F02A76"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ն</w:t>
      </w:r>
      <w:r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 xml:space="preserve"> առնվազն կապահովի սույն կետի 1-ին ենթակետով </w:t>
      </w:r>
      <w:r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lastRenderedPageBreak/>
        <w:t>նախատեսված գումարի վերադարձը։ Միացման վճարը չպետք է ներառի Ծրագրի շրջանակում ստեղծված հիմնական միջոցներից մինչև սպառման համակարգերը գազամատակարարման ցանցի կառուցումը, ինչն իրականացվում է Հանձնաժողովի սահմանած կանոնների համաձայն</w:t>
      </w:r>
      <w:r w:rsidR="0020666A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,</w:t>
      </w:r>
    </w:p>
    <w:p w:rsidR="00FF6FE0" w:rsidRPr="00C54C0E" w:rsidRDefault="0020666A" w:rsidP="00BC0E8B">
      <w:pPr>
        <w:pStyle w:val="a3"/>
        <w:numPr>
          <w:ilvl w:val="0"/>
          <w:numId w:val="5"/>
        </w:numPr>
        <w:spacing w:after="0" w:line="360" w:lineRule="auto"/>
        <w:ind w:hanging="43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սույն կետի 2-րդ ենթակետում նշված միացման վճարները սահմանելիս միացման վճար</w:t>
      </w:r>
      <w:r w:rsidR="005859B6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ից ազատել</w:t>
      </w:r>
      <w:r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 xml:space="preserve"> </w:t>
      </w:r>
      <w:r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գազամատակարարման ցանցին միաց</w:t>
      </w:r>
      <w:r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 xml:space="preserve">ող այն </w:t>
      </w:r>
      <w:r w:rsidRPr="00C54C0E"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Times New Roman"/>
          <w:bCs/>
          <w:iCs/>
          <w:color w:val="000000"/>
          <w:spacing w:val="-4"/>
          <w:sz w:val="24"/>
          <w:szCs w:val="24"/>
          <w:lang w:val="hy-AM"/>
        </w:rPr>
        <w:t xml:space="preserve">, որոնք դիմել են </w:t>
      </w:r>
      <w:r w:rsidR="009A4EFF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Ծրագրով սահմանված </w:t>
      </w:r>
      <w:r w:rsidR="009A4EFF">
        <w:rPr>
          <w:rFonts w:ascii="GHEA Grapalat" w:hAnsi="GHEA Grapalat"/>
          <w:spacing w:val="-4"/>
          <w:sz w:val="24"/>
          <w:szCs w:val="24"/>
          <w:lang w:val="hy-AM"/>
        </w:rPr>
        <w:t xml:space="preserve">այն </w:t>
      </w:r>
      <w:r w:rsidR="009A4EFF" w:rsidRPr="00C54C0E">
        <w:rPr>
          <w:rFonts w:ascii="GHEA Grapalat" w:hAnsi="GHEA Grapalat"/>
          <w:spacing w:val="-4"/>
          <w:sz w:val="24"/>
          <w:szCs w:val="24"/>
          <w:lang w:val="hy-AM"/>
        </w:rPr>
        <w:t>ուղղության գազամատակարարման համակարգին միացման համար</w:t>
      </w:r>
      <w:r w:rsidR="009A4EFF">
        <w:rPr>
          <w:rFonts w:ascii="GHEA Grapalat" w:hAnsi="GHEA Grapalat"/>
          <w:spacing w:val="-4"/>
          <w:sz w:val="24"/>
          <w:szCs w:val="24"/>
          <w:lang w:val="hy-AM"/>
        </w:rPr>
        <w:t>, որի կառուցումն</w:t>
      </w:r>
      <w:r w:rsidR="009A4EFF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9A4EFF">
        <w:rPr>
          <w:rFonts w:ascii="GHEA Grapalat" w:hAnsi="GHEA Grapalat"/>
          <w:spacing w:val="-4"/>
          <w:sz w:val="24"/>
          <w:szCs w:val="24"/>
          <w:lang w:val="hy-AM"/>
        </w:rPr>
        <w:t>իրականացվել է</w:t>
      </w:r>
      <w:r w:rsidR="009A4EFF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>այլ անձանց կողմից</w:t>
      </w:r>
      <w:r w:rsidR="005859B6">
        <w:rPr>
          <w:rFonts w:ascii="GHEA Grapalat" w:hAnsi="GHEA Grapalat"/>
          <w:spacing w:val="-4"/>
          <w:sz w:val="24"/>
          <w:szCs w:val="24"/>
          <w:lang w:val="hy-AM"/>
        </w:rPr>
        <w:t>, առկա են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ավարտական փաստաթղթեր</w:t>
      </w:r>
      <w:r w:rsidR="005859B6">
        <w:rPr>
          <w:rFonts w:ascii="GHEA Grapalat" w:hAnsi="GHEA Grapalat"/>
          <w:spacing w:val="-4"/>
          <w:sz w:val="24"/>
          <w:szCs w:val="24"/>
          <w:lang w:val="hy-AM"/>
        </w:rPr>
        <w:t>ը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5859B6">
        <w:rPr>
          <w:rFonts w:ascii="GHEA Grapalat" w:hAnsi="GHEA Grapalat"/>
          <w:spacing w:val="-4"/>
          <w:sz w:val="24"/>
          <w:szCs w:val="24"/>
          <w:lang w:val="hy-AM"/>
        </w:rPr>
        <w:t>և այդ անձինք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տվյալ ուղղության գազամատակարարման համակարգը </w:t>
      </w:r>
      <w:r w:rsidR="005859B6" w:rsidRPr="00C54C0E">
        <w:rPr>
          <w:rFonts w:ascii="GHEA Grapalat" w:hAnsi="GHEA Grapalat"/>
          <w:spacing w:val="-4"/>
          <w:sz w:val="24"/>
          <w:szCs w:val="24"/>
          <w:lang w:val="hy-AM"/>
        </w:rPr>
        <w:t>անհատույց</w:t>
      </w:r>
      <w:r w:rsidR="005859B6">
        <w:rPr>
          <w:rFonts w:ascii="GHEA Grapalat" w:hAnsi="GHEA Grapalat"/>
          <w:spacing w:val="-4"/>
          <w:sz w:val="24"/>
          <w:szCs w:val="24"/>
          <w:lang w:val="hy-AM"/>
        </w:rPr>
        <w:t xml:space="preserve"> հանձնել են</w:t>
      </w:r>
      <w:r w:rsidR="005859B6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>Ընկերության</w:t>
      </w:r>
      <w:r w:rsidR="005859B6">
        <w:rPr>
          <w:rFonts w:ascii="GHEA Grapalat" w:hAnsi="GHEA Grapalat"/>
          <w:spacing w:val="-4"/>
          <w:sz w:val="24"/>
          <w:szCs w:val="24"/>
          <w:lang w:val="hy-AM"/>
        </w:rPr>
        <w:t>ը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:rsidR="00DD539D" w:rsidRPr="00C54C0E" w:rsidRDefault="00FF6FE0" w:rsidP="00BC0E8B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4.</w:t>
      </w:r>
      <w:r w:rsidR="00447958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>Հայաստանի Հանրապետության տարածքային կառավարման և ենթակառուցվածքների նախարարին՝</w:t>
      </w:r>
      <w:r w:rsidR="00171B70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Ծրագրի իրականացման նպատակով </w:t>
      </w:r>
      <w:r w:rsidR="00132675">
        <w:rPr>
          <w:rFonts w:ascii="GHEA Grapalat" w:hAnsi="GHEA Grapalat"/>
          <w:spacing w:val="-4"/>
          <w:sz w:val="24"/>
          <w:szCs w:val="24"/>
          <w:lang w:val="hy-AM"/>
        </w:rPr>
        <w:t>ձեռնարկել համապատասխան միջոցներ</w:t>
      </w:r>
      <w:r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71B70" w:rsidRPr="00C54C0E">
        <w:rPr>
          <w:rFonts w:ascii="GHEA Grapalat" w:hAnsi="GHEA Grapalat"/>
          <w:spacing w:val="-4"/>
          <w:sz w:val="24"/>
          <w:szCs w:val="24"/>
          <w:lang w:val="hy-AM"/>
        </w:rPr>
        <w:t>և՝</w:t>
      </w:r>
    </w:p>
    <w:p w:rsidR="00DD539D" w:rsidRPr="00C54C0E" w:rsidRDefault="00DD539D" w:rsidP="00BC0E8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համագործակցելով Երևանի քաղաքապետի և </w:t>
      </w:r>
      <w:r w:rsidR="00132675">
        <w:rPr>
          <w:rFonts w:ascii="GHEA Grapalat" w:hAnsi="GHEA Grapalat"/>
          <w:spacing w:val="-4"/>
          <w:sz w:val="24"/>
          <w:szCs w:val="24"/>
          <w:lang w:val="hy-AM"/>
        </w:rPr>
        <w:t xml:space="preserve">ըստ </w:t>
      </w: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անհրաժեշության նաև այլ համայնքների ղեկավարների հետ` Ծրագրի իրականացման նպատակով ապահովել անհրաժեշտ հողհատարածքների ձեռքբերումը, միաժամանակ, անհրաժեշտությունից ելնելով, Հայաստանի Հանրապետության կառավարություն ներկայացնել հանրային գերակա շահ ճանաչելու մասին որոշման նախագիծ</w:t>
      </w:r>
      <w:r w:rsidR="00F02A76" w:rsidRPr="00C54C0E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:rsidR="00DD539D" w:rsidRPr="00C54C0E" w:rsidRDefault="00DD539D" w:rsidP="00BC0E8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Ծրագրի իրականացման շրջանակում համագործակցել հանրային ծառայություններ մատուցող այլ կազմակերպությունների հետ՝ Ծրագրի իրականացման ընթացքում վերջիններիս կողմից իրենց ենթակառուցվածքների փոխարինման կամ նոր ենթակառուցվածքների ստեղծման նպատակով</w:t>
      </w:r>
      <w:r w:rsidR="004B661F">
        <w:rPr>
          <w:rFonts w:ascii="GHEA Grapalat" w:hAnsi="GHEA Grapalat"/>
          <w:spacing w:val="-4"/>
          <w:sz w:val="24"/>
          <w:szCs w:val="24"/>
          <w:lang w:val="hy-AM"/>
        </w:rPr>
        <w:t>՝ չխոչնդոտելո</w:t>
      </w:r>
      <w:r w:rsidR="002A65BF">
        <w:rPr>
          <w:rFonts w:ascii="GHEA Grapalat" w:hAnsi="GHEA Grapalat"/>
          <w:spacing w:val="-4"/>
          <w:sz w:val="24"/>
          <w:szCs w:val="24"/>
          <w:lang w:val="hy-AM"/>
        </w:rPr>
        <w:t>ւ</w:t>
      </w:r>
      <w:r w:rsidR="004B661F">
        <w:rPr>
          <w:rFonts w:ascii="GHEA Grapalat" w:hAnsi="GHEA Grapalat"/>
          <w:spacing w:val="-4"/>
          <w:sz w:val="24"/>
          <w:szCs w:val="24"/>
          <w:lang w:val="hy-AM"/>
        </w:rPr>
        <w:t xml:space="preserve"> Ծրագրի իրականացման բնականոն ընթացք</w:t>
      </w:r>
      <w:r w:rsidR="00C73240">
        <w:rPr>
          <w:rFonts w:ascii="GHEA Grapalat" w:hAnsi="GHEA Grapalat"/>
          <w:spacing w:val="-4"/>
          <w:sz w:val="24"/>
          <w:szCs w:val="24"/>
          <w:lang w:val="hy-AM"/>
        </w:rPr>
        <w:t>ը</w:t>
      </w:r>
      <w:r w:rsidRPr="00C54C0E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DD539D" w:rsidRPr="00C54C0E" w:rsidRDefault="00447958" w:rsidP="00BC0E8B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5. 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Հայաստանի Հանրապետության քաղաքաշինության կոմիտեի նախագահին՝ Ծրագրի իրականացման նպատակով համագործակցել </w:t>
      </w:r>
      <w:r w:rsidR="00171B70" w:rsidRPr="00C54C0E">
        <w:rPr>
          <w:rFonts w:ascii="GHEA Grapalat" w:hAnsi="GHEA Grapalat"/>
          <w:spacing w:val="-4"/>
          <w:sz w:val="24"/>
          <w:szCs w:val="24"/>
          <w:lang w:val="hy-AM"/>
        </w:rPr>
        <w:t>Ընկեր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>ության հետ՝ Ծրագրի իրականացման համար անհրաժեշտ քաղաքաշինական նորմատիվ պայմանների ապահովման համար</w:t>
      </w:r>
      <w:r w:rsidR="001163E0">
        <w:rPr>
          <w:rFonts w:ascii="GHEA Grapalat" w:hAnsi="GHEA Grapalat"/>
          <w:spacing w:val="-4"/>
          <w:sz w:val="24"/>
          <w:szCs w:val="24"/>
          <w:lang w:val="hy-AM"/>
        </w:rPr>
        <w:t xml:space="preserve">, այդ թվում՝ </w:t>
      </w:r>
      <w:r w:rsidR="00BC0E8B">
        <w:rPr>
          <w:rFonts w:ascii="GHEA Grapalat" w:hAnsi="GHEA Grapalat"/>
          <w:spacing w:val="-4"/>
          <w:sz w:val="24"/>
          <w:szCs w:val="24"/>
          <w:lang w:val="hy-AM"/>
        </w:rPr>
        <w:t xml:space="preserve">առանձին դեպքերում </w:t>
      </w:r>
      <w:r w:rsidR="001163E0">
        <w:rPr>
          <w:rFonts w:ascii="GHEA Grapalat" w:hAnsi="GHEA Grapalat"/>
          <w:spacing w:val="-4"/>
          <w:sz w:val="24"/>
          <w:szCs w:val="24"/>
          <w:lang w:val="hy-AM"/>
        </w:rPr>
        <w:t xml:space="preserve">խոչընդոտների </w:t>
      </w:r>
      <w:r w:rsidR="00BC0E8B">
        <w:rPr>
          <w:rFonts w:ascii="GHEA Grapalat" w:hAnsi="GHEA Grapalat"/>
          <w:spacing w:val="-4"/>
          <w:sz w:val="24"/>
          <w:szCs w:val="24"/>
          <w:lang w:val="hy-AM"/>
        </w:rPr>
        <w:t>առաջացման ժամանակ իրականացնել հատուկ պայմանների մշակման և կիրառման գործառույթներ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:rsidR="00DD539D" w:rsidRPr="00C54C0E" w:rsidRDefault="00447958" w:rsidP="00BC0E8B">
      <w:pPr>
        <w:spacing w:after="0" w:line="360" w:lineRule="auto"/>
        <w:ind w:firstLine="42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54C0E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 xml:space="preserve">6. 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 xml:space="preserve">Առաջարկել Երևանի քաղաքապետին Ծրագրի իրականացման նպատակով </w:t>
      </w:r>
      <w:r w:rsidR="00BC0E8B">
        <w:rPr>
          <w:rFonts w:ascii="GHEA Grapalat" w:hAnsi="GHEA Grapalat"/>
          <w:spacing w:val="-4"/>
          <w:sz w:val="24"/>
          <w:szCs w:val="24"/>
          <w:lang w:val="hy-AM"/>
        </w:rPr>
        <w:t>ձեռնարկել համապատասխան միջոցներ</w:t>
      </w:r>
      <w:r w:rsidR="00DD539D" w:rsidRPr="00C54C0E">
        <w:rPr>
          <w:rFonts w:ascii="GHEA Grapalat" w:hAnsi="GHEA Grapalat"/>
          <w:spacing w:val="-4"/>
          <w:sz w:val="24"/>
          <w:szCs w:val="24"/>
          <w:lang w:val="hy-AM"/>
        </w:rPr>
        <w:t>՝ Ծրագրի իրականացման համար անհրաժեշտ թույլտվությունների և համաձայնեցումների ստացման գործընթացում։</w:t>
      </w:r>
    </w:p>
    <w:p w:rsidR="002F5A35" w:rsidRDefault="002F5A35" w:rsidP="00907AC6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D222D" w:rsidRDefault="00BD222D" w:rsidP="00907AC6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F5A35" w:rsidRPr="002F5A35" w:rsidRDefault="002F5A35" w:rsidP="00BD222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F5A3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</w:t>
      </w:r>
    </w:p>
    <w:p w:rsidR="002F5A35" w:rsidRDefault="002F5A35" w:rsidP="00BD222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    </w:t>
      </w:r>
      <w:r w:rsidRPr="002F5A3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ՎԱՐՉԱՊԵՏ                                                            </w:t>
      </w:r>
      <w:r w:rsidRPr="002F5A3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Pr="002F5A3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  <w:t>Ն</w:t>
      </w:r>
      <w:r w:rsidRPr="002F5A3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b/>
          <w:color w:val="000000"/>
          <w:sz w:val="24"/>
          <w:szCs w:val="24"/>
        </w:rPr>
        <w:t xml:space="preserve"> </w:t>
      </w:r>
      <w:r w:rsidRPr="002F5A35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ՓԱՇԻՆՅԱ</w:t>
      </w:r>
      <w:r w:rsidRPr="002F5A3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</w:p>
    <w:p w:rsidR="00BD222D" w:rsidRDefault="00BD222D" w:rsidP="00BD222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BD222D" w:rsidRDefault="00BD222D" w:rsidP="00BD222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BD222D" w:rsidRPr="00BD222D" w:rsidRDefault="00BD222D" w:rsidP="00BD222D">
      <w:pPr>
        <w:spacing w:after="0" w:line="360" w:lineRule="auto"/>
        <w:jc w:val="both"/>
        <w:rPr>
          <w:rFonts w:ascii="GHEA Grapalat" w:hAnsi="GHEA Grapalat"/>
          <w:b/>
          <w:spacing w:val="-2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Երևան</w:t>
      </w:r>
      <w:proofErr w:type="spellEnd"/>
    </w:p>
    <w:sectPr w:rsidR="00BD222D" w:rsidRPr="00BD222D" w:rsidSect="003E42EF">
      <w:pgSz w:w="12240" w:h="15840"/>
      <w:pgMar w:top="102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D932"/>
    <w:multiLevelType w:val="hybridMultilevel"/>
    <w:tmpl w:val="43D0DFEC"/>
    <w:lvl w:ilvl="0" w:tplc="02F6E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8AF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AE2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D690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5A9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A8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C5A54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A1242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70A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7B661"/>
    <w:multiLevelType w:val="hybridMultilevel"/>
    <w:tmpl w:val="C0260258"/>
    <w:lvl w:ilvl="0" w:tplc="6D0CD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E304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746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B4C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3B026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007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662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741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4C4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BE4413"/>
    <w:multiLevelType w:val="hybridMultilevel"/>
    <w:tmpl w:val="9DA40D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04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746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B4C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3B026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007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662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741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4C4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9B6681"/>
    <w:multiLevelType w:val="hybridMultilevel"/>
    <w:tmpl w:val="4796BC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04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746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B4C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3B026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007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662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741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4C4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C137E6"/>
    <w:multiLevelType w:val="hybridMultilevel"/>
    <w:tmpl w:val="007A94E8"/>
    <w:lvl w:ilvl="0" w:tplc="9A24C110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0287AD5"/>
    <w:multiLevelType w:val="hybridMultilevel"/>
    <w:tmpl w:val="14AA254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89416640">
    <w:abstractNumId w:val="1"/>
  </w:num>
  <w:num w:numId="2" w16cid:durableId="771825993">
    <w:abstractNumId w:val="0"/>
  </w:num>
  <w:num w:numId="3" w16cid:durableId="292290599">
    <w:abstractNumId w:val="2"/>
  </w:num>
  <w:num w:numId="4" w16cid:durableId="1525483044">
    <w:abstractNumId w:val="3"/>
  </w:num>
  <w:num w:numId="5" w16cid:durableId="2047679164">
    <w:abstractNumId w:val="5"/>
  </w:num>
  <w:num w:numId="6" w16cid:durableId="79371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9D"/>
    <w:rsid w:val="00076B7E"/>
    <w:rsid w:val="000C1A96"/>
    <w:rsid w:val="001163E0"/>
    <w:rsid w:val="00132675"/>
    <w:rsid w:val="00171B70"/>
    <w:rsid w:val="0020666A"/>
    <w:rsid w:val="002A65BF"/>
    <w:rsid w:val="002F5A35"/>
    <w:rsid w:val="003E42EF"/>
    <w:rsid w:val="00447958"/>
    <w:rsid w:val="004B661F"/>
    <w:rsid w:val="004F00A7"/>
    <w:rsid w:val="005859B6"/>
    <w:rsid w:val="007C3C69"/>
    <w:rsid w:val="00907AC6"/>
    <w:rsid w:val="009A4EFF"/>
    <w:rsid w:val="00B51A21"/>
    <w:rsid w:val="00B8731F"/>
    <w:rsid w:val="00BC0E8B"/>
    <w:rsid w:val="00BD222D"/>
    <w:rsid w:val="00C54C0E"/>
    <w:rsid w:val="00C73240"/>
    <w:rsid w:val="00C83BCC"/>
    <w:rsid w:val="00CB04F7"/>
    <w:rsid w:val="00D82308"/>
    <w:rsid w:val="00DD539D"/>
    <w:rsid w:val="00E71A94"/>
    <w:rsid w:val="00F02A76"/>
    <w:rsid w:val="00F846EA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9F46"/>
  <w15:chartTrackingRefBased/>
  <w15:docId w15:val="{0B054F95-4289-495C-A5AC-D12CA3E9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539D"/>
    <w:rPr>
      <w:rFonts w:ascii="Arial" w:eastAsia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58"/>
    <w:pPr>
      <w:ind w:left="720"/>
      <w:contextualSpacing/>
    </w:pPr>
  </w:style>
  <w:style w:type="character" w:styleId="a4">
    <w:name w:val="Emphasis"/>
    <w:basedOn w:val="a0"/>
    <w:uiPriority w:val="20"/>
    <w:qFormat/>
    <w:rsid w:val="00907AC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7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B7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Hovhannisyan</cp:lastModifiedBy>
  <cp:revision>24</cp:revision>
  <cp:lastPrinted>2023-03-31T08:20:00Z</cp:lastPrinted>
  <dcterms:created xsi:type="dcterms:W3CDTF">2023-03-23T05:40:00Z</dcterms:created>
  <dcterms:modified xsi:type="dcterms:W3CDTF">2023-05-08T10:58:00Z</dcterms:modified>
</cp:coreProperties>
</file>