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82" w:rsidRDefault="00691282" w:rsidP="00691282">
      <w:pPr>
        <w:jc w:val="right"/>
        <w:rPr>
          <w:rFonts w:ascii="GHEA Grapalat" w:hAnsi="GHEA Grapalat"/>
          <w:sz w:val="24"/>
          <w:szCs w:val="24"/>
        </w:rPr>
      </w:pPr>
      <w:r w:rsidRPr="00602A0B">
        <w:rPr>
          <w:rFonts w:ascii="GHEA Grapalat" w:hAnsi="GHEA Grapalat"/>
          <w:sz w:val="24"/>
          <w:szCs w:val="24"/>
        </w:rPr>
        <w:t>ՆԱԽԱԳԻԾ</w:t>
      </w:r>
    </w:p>
    <w:p w:rsidR="0012421A" w:rsidRPr="00602A0B" w:rsidRDefault="0012421A" w:rsidP="00691282">
      <w:pPr>
        <w:jc w:val="right"/>
        <w:rPr>
          <w:rFonts w:ascii="GHEA Grapalat" w:hAnsi="GHEA Grapalat"/>
          <w:sz w:val="24"/>
          <w:szCs w:val="24"/>
        </w:rPr>
      </w:pPr>
    </w:p>
    <w:p w:rsidR="00691282" w:rsidRPr="005438AD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691282" w:rsidRPr="006A1C08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ՀԱՅԱՍՏԱ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ՆԻ  ՀԱՆՐԱՊԵՏՈՒԹՅԱՆ ԿԱՌԱՎԱՐՈՒԹՅ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Ն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438AD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Pr="005438AD">
        <w:rPr>
          <w:rFonts w:ascii="GHEA Grapalat" w:eastAsia="Times New Roman" w:hAnsi="GHEA Grapalat" w:cs="Arial Unicode"/>
          <w:bCs/>
          <w:sz w:val="24"/>
          <w:szCs w:val="24"/>
        </w:rPr>
        <w:t>ՐՈՇՈՒՄ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438A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______ 202</w:t>
      </w: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Pr="00602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 N ___ Ն</w:t>
      </w:r>
    </w:p>
    <w:p w:rsidR="00691282" w:rsidRPr="005438AD" w:rsidRDefault="00691282" w:rsidP="0069128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438AD">
        <w:rPr>
          <w:rFonts w:ascii="Calibri" w:eastAsia="Times New Roman" w:hAnsi="Calibri" w:cs="Calibri"/>
          <w:sz w:val="24"/>
          <w:szCs w:val="24"/>
        </w:rPr>
        <w:t> 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2017 ԹՎԱԿԱՆԻ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ՀՈԿՏԵՄԲԵՐԻ 5</w:t>
      </w:r>
      <w:r>
        <w:rPr>
          <w:rFonts w:ascii="GHEA Grapalat" w:eastAsia="Times New Roman" w:hAnsi="GHEA Grapalat" w:cs="Times New Roman"/>
          <w:bCs/>
          <w:sz w:val="24"/>
          <w:szCs w:val="24"/>
        </w:rPr>
        <w:t>-Ի 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1373</w:t>
      </w:r>
      <w:r w:rsidRPr="008C195E">
        <w:rPr>
          <w:rFonts w:ascii="GHEA Grapalat" w:eastAsia="Times New Roman" w:hAnsi="GHEA Grapalat" w:cs="Times New Roman"/>
          <w:bCs/>
          <w:sz w:val="24"/>
          <w:szCs w:val="24"/>
        </w:rPr>
        <w:t xml:space="preserve">-Ն 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ՈՐՈՇ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 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 xml:space="preserve">ՄԵՋ </w:t>
      </w:r>
      <w:r w:rsidR="001A56C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ՓՈՓՈԽՈՒԹՅՈՒՆ</w:t>
      </w:r>
      <w:r w:rsidR="002D2D3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07E0A">
        <w:rPr>
          <w:rFonts w:ascii="GHEA Grapalat" w:eastAsia="Times New Roman" w:hAnsi="GHEA Grapalat" w:cs="Times New Roman"/>
          <w:bCs/>
          <w:sz w:val="24"/>
          <w:szCs w:val="24"/>
        </w:rPr>
        <w:t>Կ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ԱՏԱՐԵԼՈՒ ՄԱՍԻՆ</w:t>
      </w:r>
    </w:p>
    <w:p w:rsidR="00691282" w:rsidRPr="005438AD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91282" w:rsidRPr="00D91CD0" w:rsidRDefault="00691282" w:rsidP="0069128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1CD0">
        <w:rPr>
          <w:rFonts w:ascii="Calibri" w:eastAsia="Times New Roman" w:hAnsi="Calibri" w:cs="Calibri"/>
          <w:sz w:val="24"/>
          <w:szCs w:val="24"/>
        </w:rPr>
        <w:t>      </w:t>
      </w:r>
    </w:p>
    <w:p w:rsidR="00691282" w:rsidRP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91282">
        <w:rPr>
          <w:rFonts w:ascii="GHEA Grapalat" w:eastAsia="Times New Roman" w:hAnsi="GHEA Grapalat" w:cs="Times New Roman"/>
          <w:sz w:val="24"/>
          <w:szCs w:val="24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 որոշում է՝</w:t>
      </w:r>
    </w:p>
    <w:p w:rsidR="00D51C44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07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C1307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sz w:val="24"/>
          <w:szCs w:val="24"/>
          <w:lang w:val="hy-AM"/>
        </w:rPr>
        <w:t xml:space="preserve"> 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 w:rsidR="004D73B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կառավարության  2017 թվականի հոկտեմբերի 5-ի «</w:t>
      </w:r>
      <w:r w:rsidRPr="0069128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Շահութահարկ վճարողների (բացառությամբ բանկերի, վարկային կազմակերպությունների, ապահովագրական ընկերությունների և արժեթղթերի շուկայի մասնագիտացված անձանց) դեբիտորական պարտքերի հնարավոր կորուստների պահուստի (պահուստաֆոնդի) ձևավորման, դեբիտորական ու կրեդիտորական պարտքերի անհուսալի ճանաչման և դուրսգրման կարգը հաստատելու և Հայաստանի Հանրապետության կառավարության 2002 թվականի դեկտեմբերի 19-ի N2052-ն որոշումն ուժը կորցրած ճանաչելու մասին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691282">
        <w:rPr>
          <w:rFonts w:ascii="GHEA Grapalat" w:eastAsia="Times New Roman" w:hAnsi="GHEA Grapalat" w:cs="Times New Roman"/>
          <w:sz w:val="24"/>
          <w:szCs w:val="24"/>
        </w:rPr>
        <w:t>N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1373-Ն որոշման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691282" w:rsidRDefault="00C1307E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07E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691282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կետի 1-ին ենթակետով հաստատված </w:t>
      </w:r>
      <w:r w:rsidR="00691282" w:rsidRPr="00D51C4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691282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 հավելվածի 15-րդ կետի 3-րդ ենթակետը </w:t>
      </w:r>
      <w:r w:rsidR="001A56CF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հետևյալ խմբագրությամբ․</w:t>
      </w:r>
    </w:p>
    <w:p w:rsidR="00BE20BF" w:rsidRDefault="00BE20BF" w:rsidP="00BE20BF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«3</w:t>
      </w:r>
      <w:r w:rsidRPr="00BE20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պարտապանի՝ </w:t>
      </w:r>
      <w:r w:rsidR="009D4050" w:rsidRPr="00D51C4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վ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ելու վերաբերյալ դատա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կան ակտն օրինական ուժի մեջ մտնելու օրվանից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՝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եթե դեբիտորական պարտքն 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առաջացել է </w:t>
      </w:r>
      <w:r w:rsidR="00217D2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մինչև պարտապանի՝ </w:t>
      </w:r>
      <w:r w:rsidR="009D4050" w:rsidRPr="00D51C4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ճանաչվելու վերաբերյալ դատա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կան ակտն 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</w:t>
      </w:r>
      <w:r w:rsidR="009D4050" w:rsidRPr="0087735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ւժի մեջ մտնելու օր</w:t>
      </w:r>
      <w:r w:rsidR="009D405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ը</w:t>
      </w:r>
      <w:r w:rsidR="009D40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ներառյալ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կամ </w:t>
      </w:r>
      <w:r w:rsidRPr="001A56CF">
        <w:rPr>
          <w:rFonts w:ascii="GHEA Grapalat" w:eastAsia="Times New Roman" w:hAnsi="GHEA Grapalat" w:cs="Times New Roman"/>
          <w:sz w:val="24"/>
          <w:szCs w:val="24"/>
          <w:lang w:val="hy-AM"/>
        </w:rPr>
        <w:t>պարտապան կազմակերպության լուծարվելու, կամ պետական հաշվառումից հանված պարտապան անհատ ձեռնարկատիրոջ, կամ գործունեությունը կասեցված պարտապան նոտարի, կամ պարտապան ֆիզիկական անձի մահվան դեպքերում` անկախ պարտքի մարման ժամկետից</w:t>
      </w:r>
      <w:r w:rsidR="00C1307E">
        <w:rPr>
          <w:rFonts w:ascii="GHEA Grapalat" w:eastAsia="Times New Roman" w:hAnsi="GHEA Grapalat" w:cs="Times New Roman"/>
          <w:sz w:val="24"/>
          <w:szCs w:val="24"/>
          <w:lang w:val="hy-AM"/>
        </w:rPr>
        <w:t>։»․</w:t>
      </w:r>
    </w:p>
    <w:p w:rsidR="00D51C44" w:rsidRDefault="00691282" w:rsidP="00D51C4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07E">
        <w:rPr>
          <w:rFonts w:ascii="GHEA Grapalat" w:hAnsi="GHEA Grapalat" w:cs="Sylfaen"/>
          <w:noProof/>
          <w:sz w:val="24"/>
          <w:szCs w:val="24"/>
          <w:lang w:val="hy-AM"/>
        </w:rPr>
        <w:t>2</w:t>
      </w:r>
      <w:r w:rsidR="00C1307E" w:rsidRPr="00C1307E">
        <w:rPr>
          <w:rFonts w:ascii="GHEA Grapalat" w:hAnsi="GHEA Grapalat" w:cs="Cambria Math"/>
          <w:noProof/>
          <w:sz w:val="24"/>
          <w:szCs w:val="24"/>
          <w:lang w:val="hy-AM"/>
        </w:rPr>
        <w:t>)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3-րդ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ենթակետով հաստատված </w:t>
      </w:r>
      <w:r w:rsidR="00D51C44" w:rsidRPr="00D51C4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 1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3-րդ ենթակետը 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շարադրել հետևյալ խմբագրությամբ․</w:t>
      </w:r>
    </w:p>
    <w:p w:rsidR="00D51C44" w:rsidRDefault="00D51C44" w:rsidP="00D51C44">
      <w:pPr>
        <w:spacing w:after="0" w:line="360" w:lineRule="auto"/>
        <w:ind w:firstLine="54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«3</w:t>
      </w:r>
      <w:r w:rsidRPr="00D51C4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պարտապան ֆիզիկական անձի՝ </w:t>
      </w:r>
      <w:r w:rsidRPr="00D51C4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վ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ելու վերաբերյալ դատա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կան ակտն օրինական ուժի մեջ մտնելու օրվանից՝ եթե դեբիտորական պարտքն առաջացել է մինչև պարտապանի՝ </w:t>
      </w:r>
      <w:r w:rsidRPr="00D51C4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ճանաչվելու վերաբերյալ դատա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կան ակտն ո</w:t>
      </w:r>
      <w:r w:rsidRPr="0087735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ւժի մեջ մտնելու օր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ներառյալ կամ </w:t>
      </w:r>
      <w:r w:rsidRPr="001A56CF">
        <w:rPr>
          <w:rFonts w:ascii="GHEA Grapalat" w:eastAsia="Times New Roman" w:hAnsi="GHEA Grapalat" w:cs="Times New Roman"/>
          <w:sz w:val="24"/>
          <w:szCs w:val="24"/>
          <w:lang w:val="hy-AM"/>
        </w:rPr>
        <w:t>պարտապան ֆիզիկական անձի մահվան դեպքում` անկախ պարտքի մարման ժամկետից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։»։</w:t>
      </w:r>
    </w:p>
    <w:p w:rsidR="00691282" w:rsidRPr="006A1277" w:rsidRDefault="00C1307E" w:rsidP="00FC40F8">
      <w:pPr>
        <w:spacing w:after="0" w:line="360" w:lineRule="auto"/>
        <w:ind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2</w:t>
      </w:r>
      <w:r w:rsidR="00D51C44" w:rsidRPr="00D51C44">
        <w:rPr>
          <w:rFonts w:ascii="GHEA Grapalat" w:hAnsi="GHEA Grapalat" w:cs="Sylfaen"/>
          <w:b/>
          <w:noProof/>
          <w:sz w:val="24"/>
          <w:szCs w:val="24"/>
          <w:lang w:val="hy-AM"/>
        </w:rPr>
        <w:t>․</w:t>
      </w:r>
      <w:r w:rsidR="00D51C4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691282" w:rsidRPr="006A1277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691282" w:rsidRDefault="00691282" w:rsidP="00691282">
      <w:pPr>
        <w:pStyle w:val="norm"/>
        <w:shd w:val="clear" w:color="auto" w:fill="FFFFFF"/>
        <w:spacing w:line="360" w:lineRule="auto"/>
        <w:ind w:left="707"/>
        <w:jc w:val="center"/>
        <w:rPr>
          <w:rFonts w:ascii="GHEA Grapalat" w:hAnsi="GHEA Grapalat" w:cs="Sylfaen"/>
          <w:noProof/>
          <w:sz w:val="16"/>
          <w:szCs w:val="16"/>
          <w:lang w:val="hy-AM"/>
        </w:rPr>
      </w:pPr>
      <w:r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</w:t>
      </w:r>
    </w:p>
    <w:p w:rsidR="00691282" w:rsidRP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Pr="003D3A25" w:rsidRDefault="0012421A" w:rsidP="0012421A">
      <w:pPr>
        <w:shd w:val="clear" w:color="auto" w:fill="FFFFFF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3D3A25">
        <w:rPr>
          <w:rFonts w:ascii="GHEA Grapalat" w:hAnsi="GHEA Grapalat"/>
          <w:b/>
          <w:sz w:val="24"/>
          <w:szCs w:val="24"/>
          <w:lang w:val="fr-FR"/>
        </w:rPr>
        <w:lastRenderedPageBreak/>
        <w:t>Հիմնավորում</w:t>
      </w:r>
    </w:p>
    <w:p w:rsidR="0012421A" w:rsidRPr="003D3A25" w:rsidRDefault="0012421A" w:rsidP="0012421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3A25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կառավարության 2017 թվականի հոկտեմբերի 5-ի N1373-Ն որոշման մեջ </w:t>
      </w:r>
      <w:r w:rsidR="00BE20BF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2D2D34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3D3A25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Pr="003D3A2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3D3A25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12421A" w:rsidRPr="003D3A25" w:rsidRDefault="0012421A" w:rsidP="0012421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9D6DBD" w:rsidRDefault="009D6DBD" w:rsidP="009D6DBD">
      <w:pPr>
        <w:spacing w:after="0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1․</w:t>
      </w:r>
      <w:r w:rsidR="00CC4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 xml:space="preserve">Իրավական ակտի անհրաժեշտությունը </w:t>
      </w:r>
      <w:r w:rsidR="0012421A" w:rsidRPr="00FC40F8">
        <w:rPr>
          <w:rFonts w:ascii="GHEA Grapalat" w:hAnsi="GHEA Grapalat"/>
          <w:b/>
          <w:sz w:val="24"/>
          <w:szCs w:val="24"/>
          <w:lang w:val="fr-FR"/>
        </w:rPr>
        <w:t>(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12421A" w:rsidRPr="00FC40F8">
        <w:rPr>
          <w:rFonts w:ascii="GHEA Grapalat" w:hAnsi="GHEA Grapalat"/>
          <w:b/>
          <w:sz w:val="24"/>
          <w:szCs w:val="24"/>
          <w:lang w:val="fr-FR"/>
        </w:rPr>
        <w:t>)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D6DBD">
        <w:rPr>
          <w:rFonts w:ascii="Cambria Math" w:hAnsi="Cambria Math" w:cs="Cambria Math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Նախագծի ընդունումը պայմանավորված է 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շահութահարկով հարկման բազան որոշելու նպատակով 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պարտապանի՝ 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կարգով </w:t>
      </w:r>
      <w:r w:rsid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F36B75" w:rsidRP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fr-FR"/>
        </w:rPr>
        <w:t>(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F36B75" w:rsidRP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fr-FR"/>
        </w:rPr>
        <w:t>)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ճանաչվելու դեպք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եր</w:t>
      </w:r>
      <w:r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ում դեբիտորական պարտք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երի անհուսալի ճանաչման դրույթները հստակեցնելու համար։</w:t>
      </w:r>
    </w:p>
    <w:p w:rsidR="00CC442B" w:rsidRDefault="00CC442B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2․ 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D6DBD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9D6DBD" w:rsidRPr="009D6DBD">
        <w:rPr>
          <w:rFonts w:ascii="GHEA Grapalat" w:hAnsi="GHEA Grapalat" w:cs="Cambria Math"/>
          <w:sz w:val="24"/>
          <w:szCs w:val="24"/>
          <w:lang w:val="hy-AM"/>
        </w:rPr>
        <w:t>Հա</w:t>
      </w:r>
      <w:r w:rsidR="009D6DBD">
        <w:rPr>
          <w:rFonts w:ascii="GHEA Grapalat" w:hAnsi="GHEA Grapalat" w:cs="Cambria Math"/>
          <w:sz w:val="24"/>
          <w:szCs w:val="24"/>
          <w:lang w:val="hy-AM"/>
        </w:rPr>
        <w:t xml:space="preserve">յաստանի Հանրապետության </w:t>
      </w:r>
      <w:r w:rsidR="00AD24EC">
        <w:rPr>
          <w:rFonts w:ascii="GHEA Grapalat" w:hAnsi="GHEA Grapalat" w:cs="Cambria Math"/>
          <w:sz w:val="24"/>
          <w:szCs w:val="24"/>
          <w:lang w:val="hy-AM"/>
        </w:rPr>
        <w:t xml:space="preserve">կառավարության 2017 թվականի հոկտեմբերի 5-ի </w:t>
      </w:r>
      <w:r w:rsidR="00AD24EC" w:rsidRPr="00AD24EC">
        <w:rPr>
          <w:rFonts w:ascii="GHEA Grapalat" w:hAnsi="GHEA Grapalat" w:cs="Cambria Math"/>
          <w:sz w:val="24"/>
          <w:szCs w:val="24"/>
          <w:lang w:val="hy-AM"/>
        </w:rPr>
        <w:t>N</w:t>
      </w:r>
      <w:r w:rsidR="00AD24EC">
        <w:rPr>
          <w:rFonts w:ascii="GHEA Grapalat" w:hAnsi="GHEA Grapalat" w:cs="Cambria Math"/>
          <w:sz w:val="24"/>
          <w:szCs w:val="24"/>
          <w:lang w:val="hy-AM"/>
        </w:rPr>
        <w:t xml:space="preserve">1373-ն որոշման </w:t>
      </w:r>
      <w:r w:rsidR="00AD24EC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1-ին ենթակետով հաստատված 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AD24EC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1 հա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>վելվածի 15-րդ կետի 3-րդ ենթակետով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</w:t>
      </w:r>
      <w:r w:rsidR="00F36B75">
        <w:rPr>
          <w:rFonts w:ascii="GHEA Grapalat" w:eastAsia="Times New Roman" w:hAnsi="GHEA Grapalat" w:cs="Times New Roman"/>
          <w:sz w:val="24"/>
          <w:szCs w:val="24"/>
          <w:lang w:val="hy-AM"/>
        </w:rPr>
        <w:t>նույն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3-րդ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ենթակետով հաստատված </w:t>
      </w:r>
      <w:r w:rsidR="00D51C44" w:rsidRPr="00D51C4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D51C44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 1</w:t>
      </w:r>
      <w:r w:rsidR="00D51C4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1-րդ կետի 3-րդ ենթակետով 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նախատեսված է, որ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պարտապանի՝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օրենսդրությամբ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կարգով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անվճարունակ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սնանկ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AD24EC" w:rsidRPr="00AD24EC">
        <w:rPr>
          <w:rFonts w:ascii="GHEA Grapalat" w:eastAsia="Times New Roman" w:hAnsi="GHEA Grapalat" w:cs="GHEA Grapalat"/>
          <w:sz w:val="24"/>
          <w:szCs w:val="24"/>
          <w:lang w:val="hy-AM"/>
        </w:rPr>
        <w:t>ճանաչվելո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ւ դեպքում՝ անկախ պարտքի մարման ժամկետից, դեբիտորական պարտքը ճանաչվում է անհուսալի։</w:t>
      </w:r>
      <w:r w:rsidR="009D6DBD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E159F" w:rsidRDefault="00AD24EC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Մյուս կողմից, վերոնշյալ </w:t>
      </w:r>
      <w:r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 հավելվածի</w:t>
      </w:r>
      <w:r w:rsidR="00DE159F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AD24EC" w:rsidRDefault="00DE159F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18-րդ կետով նախատեսվ</w:t>
      </w:r>
      <w:r w:rsidR="00F81E09">
        <w:rPr>
          <w:rFonts w:ascii="GHEA Grapalat" w:eastAsia="Times New Roman" w:hAnsi="GHEA Grapalat" w:cs="Times New Roman"/>
          <w:sz w:val="24"/>
          <w:szCs w:val="24"/>
          <w:lang w:val="hy-AM"/>
        </w:rPr>
        <w:t>ած է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>, որ մ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ինչև դեբիտորական պարտքի կետանցված դառնալու օրվանից 366-րդ օրը լրանալը պարտապանի՝ Հայաստանի Հանրապետության օրենսդրությամբ սահմանված կարգով անվճարունակ (սնանկ) ճանաչելու </w:t>
      </w:r>
      <w:r w:rsidR="00F81E09">
        <w:rPr>
          <w:rFonts w:ascii="GHEA Grapalat" w:eastAsia="Times New Roman" w:hAnsi="GHEA Grapalat" w:cs="Times New Roman"/>
          <w:sz w:val="24"/>
          <w:szCs w:val="24"/>
          <w:lang w:val="hy-AM"/>
        </w:rPr>
        <w:t>հիմքով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անհուսալի ճանաչված դեբիտորական պարտքերը դուրս են գրվում անհուսալի դառնալու </w:t>
      </w:r>
      <w:r w:rsidR="00F81E09" w:rsidRPr="00F81E0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A12E18">
        <w:rPr>
          <w:rFonts w:ascii="GHEA Grapalat" w:eastAsia="Times New Roman" w:hAnsi="GHEA Grapalat" w:cs="Times New Roman"/>
          <w:sz w:val="24"/>
          <w:szCs w:val="24"/>
          <w:lang w:val="hy-AM"/>
        </w:rPr>
        <w:t>տվյալ դեպքում</w:t>
      </w:r>
      <w:r w:rsidR="00F81E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F81E09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անվճարունակ (սնանկ) ճանաչ</w:t>
      </w:r>
      <w:r w:rsidR="00A12E18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F81E09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ելու</w:t>
      </w:r>
      <w:r w:rsidR="00F81E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 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>համապատասխան դատական</w:t>
      </w:r>
      <w:r w:rsidR="00EF39F5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>ակտ</w:t>
      </w:r>
      <w:r w:rsidR="00A12E18">
        <w:rPr>
          <w:rFonts w:ascii="GHEA Grapalat" w:hAnsi="GHEA Grapalat" w:cs="Sylfaen"/>
          <w:sz w:val="24"/>
          <w:szCs w:val="24"/>
          <w:lang w:val="hy-AM"/>
        </w:rPr>
        <w:t>ն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 xml:space="preserve"> օրինական</w:t>
      </w:r>
      <w:r w:rsidR="00EF39F5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>ուժի</w:t>
      </w:r>
      <w:r w:rsidR="00EF39F5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>մեջ</w:t>
      </w:r>
      <w:r w:rsidR="00EF39F5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EF39F5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F81E09" w:rsidRPr="00F81E0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81E09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տարում</w:t>
      </w:r>
      <w:r w:rsidR="00F81E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չպահուստավորված դեբիտորական պարտքը, որպես այլ նվազեցում, հաշվի է առնվում հարկ վճարողի հաշվետու տարվա </w:t>
      </w:r>
      <w:r w:rsidR="00CC44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հարկվող շահույթը </w:t>
      </w:r>
      <w:r w:rsidR="00CC442B" w:rsidRPr="00CC442B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CC442B">
        <w:rPr>
          <w:rFonts w:ascii="GHEA Grapalat" w:eastAsia="Times New Roman" w:hAnsi="GHEA Grapalat" w:cs="Times New Roman"/>
          <w:sz w:val="24"/>
          <w:szCs w:val="24"/>
          <w:lang w:val="hy-AM"/>
        </w:rPr>
        <w:t>հարկային վնասը</w:t>
      </w:r>
      <w:r w:rsidR="00CC442B" w:rsidRPr="00CC442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24EC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որոշել</w:t>
      </w:r>
      <w:r w:rsidR="00EF39F5">
        <w:rPr>
          <w:rFonts w:ascii="GHEA Grapalat" w:eastAsia="Times New Roman" w:hAnsi="GHEA Grapalat" w:cs="Times New Roman"/>
          <w:sz w:val="24"/>
          <w:szCs w:val="24"/>
          <w:lang w:val="hy-AM"/>
        </w:rPr>
        <w:t>ու ժամանակ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DE159F" w:rsidRDefault="00DE159F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- 19-րդ կետով նախատեսված է, որ ա</w:t>
      </w:r>
      <w:r w:rsidRPr="00DE15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յն հարկ վճարողները, որոնք պահուստ (պահուստաֆոնդ) չեն ձևավորում,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DE159F">
        <w:rPr>
          <w:rFonts w:ascii="GHEA Grapalat" w:eastAsia="Times New Roman" w:hAnsi="GHEA Grapalat" w:cs="Times New Roman"/>
          <w:sz w:val="24"/>
          <w:szCs w:val="24"/>
          <w:lang w:val="hy-AM"/>
        </w:rPr>
        <w:t>ույն կարգի 15-րդ կետի համաձայն անհուսալի ճանաչված դեբիտորական պարտքերը դուրս են գրում անհուսալի դառնալու հաշվետու տարում</w:t>
      </w:r>
      <w:r w:rsidR="009428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428FD" w:rsidRPr="00F81E0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9428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դեպքում՝ </w:t>
      </w:r>
      <w:r w:rsidR="009428FD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անվճարունակ (սնանկ) ճանաչ</w:t>
      </w:r>
      <w:r w:rsidR="009428FD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9428FD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ելու</w:t>
      </w:r>
      <w:r w:rsidR="009428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վերաբերյալ 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>համապատասխան դատական</w:t>
      </w:r>
      <w:r w:rsidR="009428FD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>ակտ</w:t>
      </w:r>
      <w:r w:rsidR="009428FD">
        <w:rPr>
          <w:rFonts w:ascii="GHEA Grapalat" w:hAnsi="GHEA Grapalat" w:cs="Sylfaen"/>
          <w:sz w:val="24"/>
          <w:szCs w:val="24"/>
          <w:lang w:val="hy-AM"/>
        </w:rPr>
        <w:t>ն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 xml:space="preserve"> օրինական</w:t>
      </w:r>
      <w:r w:rsidR="009428FD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>ուժի</w:t>
      </w:r>
      <w:r w:rsidR="009428FD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>մեջ</w:t>
      </w:r>
      <w:r w:rsidR="009428FD" w:rsidRPr="00EF39F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8FD" w:rsidRPr="00EF39F5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9428FD">
        <w:rPr>
          <w:rFonts w:ascii="GHEA Grapalat" w:hAnsi="GHEA Grapalat" w:cs="Sylfaen"/>
          <w:sz w:val="24"/>
          <w:szCs w:val="24"/>
          <w:lang w:val="hy-AM"/>
        </w:rPr>
        <w:t xml:space="preserve"> տարում</w:t>
      </w:r>
      <w:r w:rsidR="009428FD" w:rsidRPr="00F81E0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428FD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E15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դուրս գրված դեբիտորական պարտքը հաշվի է առնվում որպես այլ նվազեցում հարկ </w:t>
      </w:r>
      <w:r w:rsidRPr="00DE159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վճարողի հաշվետու տարվա հարկվող շահույթը (հարկման բազ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>ան) կամ հարկային վնասը որոշելիս։</w:t>
      </w:r>
    </w:p>
    <w:p w:rsidR="002D2D34" w:rsidRDefault="002D2D34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Վերոնշյալ </w:t>
      </w:r>
      <w:r w:rsidRPr="00D51C4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12-րդ կետով նախատեսված է, որ ն</w:t>
      </w:r>
      <w:r w:rsidRPr="002D2D34">
        <w:rPr>
          <w:rFonts w:ascii="GHEA Grapalat" w:eastAsia="Times New Roman" w:hAnsi="GHEA Grapalat" w:cs="Times New Roman"/>
          <w:sz w:val="24"/>
          <w:szCs w:val="24"/>
          <w:lang w:val="hy-AM"/>
        </w:rPr>
        <w:t>ույն կարգի 11-րդ կետի համաձայն անհուսալի ճանաչված դեբիտորական պարտքերը դուրս են գրվում անհուսալի դառնալու հաշվետու (հարկային) տարում և դուրս գրված դեբիտորական պարտքերը հաշվի են առնվում որպես այլ նվազեցում դուրսգրման տարվա հարկվող շահույթը (հարկման բազան) կամ հարկային վնասը որոշելիս:</w:t>
      </w:r>
    </w:p>
    <w:p w:rsidR="00EF39F5" w:rsidRDefault="00F81E09" w:rsidP="009D6DBD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D24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ործնականում հաճախ հանդիպում են այնպիսի իրավիճակներ, երբ </w:t>
      </w:r>
      <w:r w:rsidR="00EF39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դեբիտորական պարտքն առաջանում </w:t>
      </w:r>
      <w:r w:rsidR="00A12E18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EF39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պարտապանի՝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Հ</w:t>
      </w:r>
      <w:r w:rsidR="00EF39F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Հ</w:t>
      </w:r>
      <w:r w:rsidR="00EF39F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անվճարունակ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(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սնանկ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ճանաչվելու վերաբերյալ համապատասխան դատական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E18">
        <w:rPr>
          <w:rFonts w:ascii="GHEA Grapalat" w:hAnsi="GHEA Grapalat" w:cs="Sylfaen"/>
          <w:sz w:val="24"/>
          <w:szCs w:val="24"/>
          <w:lang w:val="hy-AM"/>
        </w:rPr>
        <w:t>ակտն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 xml:space="preserve"> օրինական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ուժի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մեջ</w:t>
      </w:r>
      <w:r w:rsidR="00EF39F5" w:rsidRPr="001A55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F39F5" w:rsidRPr="001A55F3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EF39F5">
        <w:rPr>
          <w:rFonts w:ascii="GHEA Grapalat" w:hAnsi="GHEA Grapalat" w:cs="Sylfaen"/>
          <w:sz w:val="24"/>
          <w:szCs w:val="24"/>
          <w:lang w:val="hy-AM"/>
        </w:rPr>
        <w:t>ց հետո</w:t>
      </w:r>
      <w:r w:rsidR="00CC442B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A12E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442B">
        <w:rPr>
          <w:rFonts w:ascii="GHEA Grapalat" w:hAnsi="GHEA Grapalat" w:cs="Sylfaen"/>
          <w:sz w:val="24"/>
          <w:szCs w:val="24"/>
          <w:lang w:val="hy-AM"/>
        </w:rPr>
        <w:t>ա</w:t>
      </w:r>
      <w:r w:rsidR="00A12E18">
        <w:rPr>
          <w:rFonts w:ascii="GHEA Grapalat" w:hAnsi="GHEA Grapalat" w:cs="Sylfaen"/>
          <w:sz w:val="24"/>
          <w:szCs w:val="24"/>
          <w:lang w:val="hy-AM"/>
        </w:rPr>
        <w:t xml:space="preserve">յս պարագայում </w:t>
      </w:r>
      <w:r w:rsidR="001D6E13">
        <w:rPr>
          <w:rFonts w:ascii="GHEA Grapalat" w:hAnsi="GHEA Grapalat" w:cs="Sylfaen"/>
          <w:sz w:val="24"/>
          <w:szCs w:val="24"/>
          <w:lang w:val="hy-AM"/>
        </w:rPr>
        <w:t xml:space="preserve">խնդիր է </w:t>
      </w:r>
      <w:r w:rsidR="00A12E18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CC442B">
        <w:rPr>
          <w:rFonts w:ascii="GHEA Grapalat" w:hAnsi="GHEA Grapalat" w:cs="Sylfaen"/>
          <w:sz w:val="24"/>
          <w:szCs w:val="24"/>
          <w:lang w:val="hy-AM"/>
        </w:rPr>
        <w:t xml:space="preserve"> այդ դեբիտորական պարտքերը հարկման առումով անհուսալի ճանաչելու և համախառն եկամտից նվազեցնելու առումով։</w:t>
      </w:r>
      <w:r w:rsidR="006479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2E18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CC442B" w:rsidRDefault="00CC442B" w:rsidP="0064794F">
      <w:pPr>
        <w:spacing w:after="0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mbria Math"/>
          <w:b/>
          <w:sz w:val="24"/>
          <w:szCs w:val="24"/>
          <w:lang w:val="hy-AM"/>
        </w:rPr>
        <w:t xml:space="preserve">3․ </w:t>
      </w:r>
      <w:r w:rsidR="0012421A" w:rsidRPr="0012421A">
        <w:rPr>
          <w:rFonts w:ascii="GHEA Grapalat" w:hAnsi="GHEA Grapalat" w:cs="Cambria Math"/>
          <w:b/>
          <w:sz w:val="24"/>
          <w:szCs w:val="24"/>
          <w:lang w:val="hy-AM"/>
        </w:rPr>
        <w:t>Առկա խնդիրների առաջարկվող լուծումները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4794F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64794F" w:rsidRPr="0064794F">
        <w:rPr>
          <w:rFonts w:ascii="GHEA Grapalat" w:hAnsi="GHEA Grapalat" w:cs="Cambria Math"/>
          <w:sz w:val="24"/>
          <w:szCs w:val="24"/>
          <w:lang w:val="hy-AM"/>
        </w:rPr>
        <w:t>Նախագծով առաջարկվում է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BE20BF">
        <w:rPr>
          <w:rFonts w:ascii="GHEA Grapalat" w:hAnsi="GHEA Grapalat" w:cs="Cambria Math"/>
          <w:sz w:val="24"/>
          <w:szCs w:val="24"/>
          <w:lang w:val="hy-AM"/>
        </w:rPr>
        <w:t>փոփոխություն</w:t>
      </w:r>
      <w:r w:rsidR="002D2D34">
        <w:rPr>
          <w:rFonts w:ascii="GHEA Grapalat" w:hAnsi="GHEA Grapalat" w:cs="Cambria Math"/>
          <w:sz w:val="24"/>
          <w:szCs w:val="24"/>
          <w:lang w:val="hy-AM"/>
        </w:rPr>
        <w:t>ներ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 կատարել </w:t>
      </w:r>
      <w:r w:rsidR="0064794F" w:rsidRPr="009D6DBD">
        <w:rPr>
          <w:rFonts w:ascii="GHEA Grapalat" w:hAnsi="GHEA Grapalat" w:cs="Cambria Math"/>
          <w:sz w:val="24"/>
          <w:szCs w:val="24"/>
          <w:lang w:val="hy-AM"/>
        </w:rPr>
        <w:t>Հա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յաստանի Հանրապետության կառավարության 2017 թվականի հոկտեմբերի 5-ի </w:t>
      </w:r>
      <w:r w:rsidR="0064794F" w:rsidRPr="00AD24EC">
        <w:rPr>
          <w:rFonts w:ascii="GHEA Grapalat" w:hAnsi="GHEA Grapalat" w:cs="Cambria Math"/>
          <w:sz w:val="24"/>
          <w:szCs w:val="24"/>
          <w:lang w:val="hy-AM"/>
        </w:rPr>
        <w:t>N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1373-ն որոշման </w:t>
      </w:r>
      <w:r w:rsidR="0064794F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1-ին ենթակետով հաստատված </w:t>
      </w:r>
      <w:r w:rsidR="0064794F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64794F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1 հա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>վելվածի 15-րդ կետի 3-րդ ենթակետում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F36B75">
        <w:rPr>
          <w:rFonts w:ascii="GHEA Grapalat" w:eastAsia="Times New Roman" w:hAnsi="GHEA Grapalat" w:cs="Times New Roman"/>
          <w:sz w:val="24"/>
          <w:szCs w:val="24"/>
          <w:lang w:val="hy-AM"/>
        </w:rPr>
        <w:t>նույն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1-ին կետի 3-րդ ենթակետով հաստատված </w:t>
      </w:r>
      <w:r w:rsidR="002D2D34" w:rsidRPr="002D2D3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>3 հավելվածի 11-րդ կետի 3-րդ ենթակետում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որոնց՝ 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>այն դեպքեր</w:t>
      </w:r>
      <w:r w:rsidR="00735417">
        <w:rPr>
          <w:rFonts w:ascii="GHEA Grapalat" w:eastAsia="Times New Roman" w:hAnsi="GHEA Grapalat" w:cs="Times New Roman"/>
          <w:sz w:val="24"/>
          <w:szCs w:val="24"/>
          <w:lang w:val="hy-AM"/>
        </w:rPr>
        <w:t>ի համար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>, երբ դեբիտորական պարտքերը առաջան</w:t>
      </w:r>
      <w:r w:rsidR="00735417">
        <w:rPr>
          <w:rFonts w:ascii="GHEA Grapalat" w:eastAsia="Times New Roman" w:hAnsi="GHEA Grapalat" w:cs="Times New Roman"/>
          <w:sz w:val="24"/>
          <w:szCs w:val="24"/>
          <w:lang w:val="hy-AM"/>
        </w:rPr>
        <w:t>ում են</w:t>
      </w:r>
      <w:r w:rsidR="006479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541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պարտապանի՝ </w:t>
      </w:r>
      <w:r w:rsidR="0064794F" w:rsidRPr="00D51C4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64794F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BE20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</w:t>
      </w:r>
      <w:r w:rsidR="0064794F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նանկ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="0064794F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ճանաչվելու վերաբերյալ </w:t>
      </w:r>
      <w:r w:rsidR="0064794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համապատասխան դատական ակտն ո</w:t>
      </w:r>
      <w:r w:rsidR="0064794F" w:rsidRPr="0087735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ւժի մեջ </w:t>
      </w:r>
      <w:r w:rsidR="0073541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մտնելուց հետո,</w:t>
      </w:r>
      <w:r w:rsidR="0064794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ապա այդ դեբիտորական պարտքերը</w:t>
      </w:r>
      <w:r w:rsidR="0073541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հարկման առումով </w:t>
      </w:r>
      <w:r w:rsidR="00FD0D2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ճանաչել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անհուսալի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պարտապանի լուծարման</w:t>
      </w:r>
      <w:r w:rsidR="00DC62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C6280" w:rsidRPr="00DC62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DC62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պարտապան ֆիզիկական անձի դեպքում՝ մահվան</w:t>
      </w:r>
      <w:r w:rsidR="00DC6280" w:rsidRPr="00DC62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հիմքով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237A0" w:rsidRP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եթե պարտապանը մտադիր չէ ենթարկվել ֆինանսական առողջացման</w:t>
      </w:r>
      <w:r w:rsidR="007237A0" w:rsidRP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="00DC628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նվազեց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վ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համախառն եկամտից 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լուծարման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պարտապան ֆիզիկական անձի դեպքում՝ մահվան</w:t>
      </w:r>
      <w:r w:rsidR="002D2D34" w:rsidRP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հաշվետու տար</w:t>
      </w:r>
      <w:r w:rsidR="002D2D34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ում</w:t>
      </w: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F36B75" w:rsidRDefault="00CC442B" w:rsidP="00FD0D2A">
      <w:pPr>
        <w:spacing w:after="0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b/>
          <w:sz w:val="24"/>
          <w:szCs w:val="24"/>
          <w:lang w:val="hy-AM"/>
        </w:rPr>
        <w:t xml:space="preserve">4․ </w:t>
      </w:r>
      <w:r w:rsidR="0012421A" w:rsidRPr="0012421A">
        <w:rPr>
          <w:rFonts w:ascii="GHEA Grapalat" w:hAnsi="GHEA Grapalat" w:cs="Cambria Math"/>
          <w:b/>
          <w:sz w:val="24"/>
          <w:szCs w:val="24"/>
          <w:lang w:val="hy-AM"/>
        </w:rPr>
        <w:t>Կարգավորման առարկան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D0D2A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FD0D2A">
        <w:rPr>
          <w:rFonts w:ascii="GHEA Grapalat" w:hAnsi="GHEA Grapalat" w:cs="Cambria Math"/>
          <w:sz w:val="24"/>
          <w:szCs w:val="24"/>
          <w:lang w:val="hy-AM"/>
        </w:rPr>
        <w:t>Նախագծի կարգավորման առարկան</w:t>
      </w:r>
      <w:r w:rsidR="00F36B75">
        <w:rPr>
          <w:rFonts w:ascii="GHEA Grapalat" w:hAnsi="GHEA Grapalat" w:cs="Cambria Math"/>
          <w:sz w:val="24"/>
          <w:szCs w:val="24"/>
          <w:lang w:val="hy-AM"/>
        </w:rPr>
        <w:t xml:space="preserve"> են հանդիսանում</w:t>
      </w:r>
      <w:r w:rsidR="00FD0D2A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D0D2A" w:rsidRPr="009D6DBD">
        <w:rPr>
          <w:rFonts w:ascii="GHEA Grapalat" w:hAnsi="GHEA Grapalat" w:cs="Cambria Math"/>
          <w:sz w:val="24"/>
          <w:szCs w:val="24"/>
          <w:lang w:val="hy-AM"/>
        </w:rPr>
        <w:t>Հա</w:t>
      </w:r>
      <w:r w:rsidR="00FD0D2A">
        <w:rPr>
          <w:rFonts w:ascii="GHEA Grapalat" w:hAnsi="GHEA Grapalat" w:cs="Cambria Math"/>
          <w:sz w:val="24"/>
          <w:szCs w:val="24"/>
          <w:lang w:val="hy-AM"/>
        </w:rPr>
        <w:t xml:space="preserve">յաստանի Հանրապետության կառավարության 2017 թվականի հոկտեմբերի 5-ի </w:t>
      </w:r>
      <w:r w:rsidR="00FD0D2A" w:rsidRPr="00AD24EC">
        <w:rPr>
          <w:rFonts w:ascii="GHEA Grapalat" w:hAnsi="GHEA Grapalat" w:cs="Cambria Math"/>
          <w:sz w:val="24"/>
          <w:szCs w:val="24"/>
          <w:lang w:val="hy-AM"/>
        </w:rPr>
        <w:t>N</w:t>
      </w:r>
      <w:r w:rsidR="00FD0D2A">
        <w:rPr>
          <w:rFonts w:ascii="GHEA Grapalat" w:hAnsi="GHEA Grapalat" w:cs="Cambria Math"/>
          <w:sz w:val="24"/>
          <w:szCs w:val="24"/>
          <w:lang w:val="hy-AM"/>
        </w:rPr>
        <w:t xml:space="preserve">1373-ն որոշման </w:t>
      </w:r>
      <w:r w:rsidR="00FD0D2A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1-ին ենթակետով հաստատված </w:t>
      </w:r>
      <w:r w:rsidR="00FD0D2A" w:rsidRPr="00AD24EC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FD0D2A"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1 հա</w:t>
      </w:r>
      <w:r w:rsidR="00FD0D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վելվածի 15-րդ կետի </w:t>
      </w:r>
      <w:r w:rsidR="002D2D34">
        <w:rPr>
          <w:rFonts w:ascii="GHEA Grapalat" w:eastAsia="Times New Roman" w:hAnsi="GHEA Grapalat" w:cs="Times New Roman"/>
          <w:sz w:val="24"/>
          <w:szCs w:val="24"/>
          <w:lang w:val="hy-AM"/>
        </w:rPr>
        <w:t>3-րդ ենթակետ</w:t>
      </w:r>
      <w:r w:rsidR="00F36B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և նույն որոշման 1-ին կետի 3-րդ ենթակետով հաստատված </w:t>
      </w:r>
      <w:r w:rsidR="00F36B75" w:rsidRPr="002D2D34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F36B75">
        <w:rPr>
          <w:rFonts w:ascii="GHEA Grapalat" w:eastAsia="Times New Roman" w:hAnsi="GHEA Grapalat" w:cs="Times New Roman"/>
          <w:sz w:val="24"/>
          <w:szCs w:val="24"/>
          <w:lang w:val="hy-AM"/>
        </w:rPr>
        <w:t>3 հավելվածի 11-րդ կետի 3-րդ ենթակետը։</w:t>
      </w:r>
    </w:p>
    <w:p w:rsidR="00FD0D2A" w:rsidRDefault="00BA7F24" w:rsidP="00FD0D2A">
      <w:pPr>
        <w:spacing w:after="0"/>
        <w:ind w:firstLine="72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BA7F24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</w:rPr>
        <w:t xml:space="preserve">. </w:t>
      </w:r>
      <w:r w:rsidR="0012421A" w:rsidRPr="004711B1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12421A" w:rsidRPr="004711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D0D2A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</w:p>
    <w:p w:rsidR="00CC442B" w:rsidRDefault="0012421A" w:rsidP="00CC442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11B1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բխում է ՀՀ կառավարության 18.11.2021թ. «Հայաստանի Հանրապետության կառավարության 2021-2026 թվականների գործունեության </w:t>
      </w:r>
      <w:r w:rsidRPr="004711B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միջոցառումների ծրագիրը հաստատելու մասին» N 1902-Լ որոշման N 1 հավելվածով հաստատված՝ Պետական եկամուտների կոմիտեի 3.3-րդ՝ «Հարկային պարտավորությունների հաշվարկման մեխանիզմների կատարելագործում» </w:t>
      </w:r>
      <w:r w:rsidR="00CC442B">
        <w:rPr>
          <w:rFonts w:ascii="GHEA Grapalat" w:hAnsi="GHEA Grapalat" w:cs="Sylfaen"/>
          <w:sz w:val="24"/>
          <w:szCs w:val="24"/>
          <w:lang w:val="hy-AM"/>
        </w:rPr>
        <w:t xml:space="preserve">միջոցառումից․ </w:t>
      </w:r>
    </w:p>
    <w:p w:rsidR="004711B1" w:rsidRDefault="00BA7F24" w:rsidP="00CC442B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BA7F24">
        <w:rPr>
          <w:rFonts w:ascii="GHEA Grapalat" w:hAnsi="GHEA Grapalat" w:cs="GHEA Grapalat"/>
          <w:b/>
          <w:sz w:val="24"/>
          <w:szCs w:val="24"/>
          <w:lang w:val="hy-AM"/>
        </w:rPr>
        <w:t xml:space="preserve">6. </w:t>
      </w:r>
      <w:bookmarkStart w:id="0" w:name="_GoBack"/>
      <w:bookmarkEnd w:id="0"/>
      <w:r w:rsidR="004711B1" w:rsidRPr="004711B1">
        <w:rPr>
          <w:rFonts w:ascii="GHEA Grapalat" w:hAnsi="GHEA Grapalat" w:cs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Նախա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գի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ծը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է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ՀՀ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կոմիտեի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կող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մից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>:</w:t>
      </w:r>
      <w:r w:rsid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4711B1" w:rsidRPr="007237A0" w:rsidRDefault="004711B1" w:rsidP="004711B1">
      <w:pPr>
        <w:tabs>
          <w:tab w:val="left" w:pos="162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11B1">
        <w:rPr>
          <w:rFonts w:ascii="GHEA Grapalat" w:hAnsi="GHEA Grapalat" w:cs="Cambria Math"/>
          <w:b/>
          <w:sz w:val="24"/>
          <w:szCs w:val="24"/>
          <w:lang w:val="hy-AM"/>
        </w:rPr>
        <w:t>7</w:t>
      </w:r>
      <w:r w:rsidRPr="004711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711B1">
        <w:rPr>
          <w:rFonts w:ascii="GHEA Grapalat" w:hAnsi="GHEA Grapalat" w:cs="GHEA Grapalat"/>
          <w:b/>
          <w:sz w:val="24"/>
          <w:szCs w:val="24"/>
          <w:lang w:val="hy-AM"/>
        </w:rPr>
        <w:t xml:space="preserve"> Իրավական ակտի ընդունման արդյունքում ակնկալվող արդյունքը.</w:t>
      </w:r>
      <w:r w:rsidR="007237A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237A0" w:rsidRPr="007237A0">
        <w:rPr>
          <w:rFonts w:ascii="GHEA Grapalat" w:hAnsi="GHEA Grapalat" w:cs="GHEA Grapalat"/>
          <w:sz w:val="24"/>
          <w:szCs w:val="24"/>
          <w:lang w:val="hy-AM"/>
        </w:rPr>
        <w:t>Նախագծի ընդունման արդյունքում ակնկալվում է</w:t>
      </w:r>
      <w:r w:rsidR="007237A0">
        <w:rPr>
          <w:rFonts w:ascii="GHEA Grapalat" w:hAnsi="GHEA Grapalat" w:cs="GHEA Grapalat"/>
          <w:sz w:val="24"/>
          <w:szCs w:val="24"/>
          <w:lang w:val="hy-AM"/>
        </w:rPr>
        <w:t xml:space="preserve"> հստակեցնել </w:t>
      </w:r>
      <w:r w:rsidR="007237A0">
        <w:rPr>
          <w:rFonts w:ascii="GHEA Grapalat" w:hAnsi="GHEA Grapalat" w:cs="Cambria Math"/>
          <w:sz w:val="24"/>
          <w:szCs w:val="24"/>
          <w:lang w:val="hy-AM"/>
        </w:rPr>
        <w:t xml:space="preserve">պարտապանի՝ </w:t>
      </w:r>
      <w:r w:rsidR="007237A0" w:rsidRP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</w:t>
      </w:r>
      <w:r w:rsidR="007237A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անվճարունակ </w:t>
      </w:r>
      <w:r w:rsidR="00F36B75" w:rsidRP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(</w:t>
      </w:r>
      <w:r w:rsidR="007237A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սնանկ</w:t>
      </w:r>
      <w:r w:rsidR="00F36B75" w:rsidRPr="00F36B75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)</w:t>
      </w:r>
      <w:r w:rsidR="007237A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ճանաչվելու դեպքում 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շահութահարկով հարկման բազան որոշելու նպատակով  </w:t>
      </w:r>
      <w:r w:rsidR="007237A0" w:rsidRPr="0069128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դեբիտորական պարտք</w:t>
      </w:r>
      <w:r w:rsidR="007237A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երի անհուսալի ճանաչման և համախառն եկամտից նվազեցման դրույթները։</w:t>
      </w:r>
      <w:r w:rsidR="007237A0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:rsidR="004711B1" w:rsidRDefault="004711B1" w:rsidP="004711B1">
      <w:pPr>
        <w:tabs>
          <w:tab w:val="left" w:pos="162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C213E" w:rsidRDefault="007C213E" w:rsidP="004711B1">
      <w:pPr>
        <w:tabs>
          <w:tab w:val="left" w:pos="162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7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6"/>
    <w:rsid w:val="0012421A"/>
    <w:rsid w:val="001A56CF"/>
    <w:rsid w:val="001D6E13"/>
    <w:rsid w:val="00217D20"/>
    <w:rsid w:val="002D2D34"/>
    <w:rsid w:val="0032270F"/>
    <w:rsid w:val="003D3A25"/>
    <w:rsid w:val="004259D4"/>
    <w:rsid w:val="004711B1"/>
    <w:rsid w:val="004D73B6"/>
    <w:rsid w:val="005B60FA"/>
    <w:rsid w:val="0064794F"/>
    <w:rsid w:val="00691282"/>
    <w:rsid w:val="007237A0"/>
    <w:rsid w:val="00735417"/>
    <w:rsid w:val="007B5C36"/>
    <w:rsid w:val="007C213E"/>
    <w:rsid w:val="009428FD"/>
    <w:rsid w:val="00970038"/>
    <w:rsid w:val="009D4050"/>
    <w:rsid w:val="009D6DBD"/>
    <w:rsid w:val="00A12E18"/>
    <w:rsid w:val="00AD24EC"/>
    <w:rsid w:val="00BA7F24"/>
    <w:rsid w:val="00BE20BF"/>
    <w:rsid w:val="00C1307E"/>
    <w:rsid w:val="00CC442B"/>
    <w:rsid w:val="00CD22A1"/>
    <w:rsid w:val="00D011A0"/>
    <w:rsid w:val="00D51C44"/>
    <w:rsid w:val="00DC6280"/>
    <w:rsid w:val="00DE159F"/>
    <w:rsid w:val="00EF39F5"/>
    <w:rsid w:val="00F36B75"/>
    <w:rsid w:val="00F81E09"/>
    <w:rsid w:val="00FC40F8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FC628-4A88-4C85-88BA-276316D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282"/>
    <w:rPr>
      <w:b/>
      <w:bCs/>
    </w:rPr>
  </w:style>
  <w:style w:type="paragraph" w:customStyle="1" w:styleId="norm">
    <w:name w:val="norm"/>
    <w:basedOn w:val="Normal"/>
    <w:link w:val="normChar"/>
    <w:rsid w:val="0069128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691282"/>
    <w:rPr>
      <w:rFonts w:ascii="Arial Armenian" w:eastAsia="Times New Roman" w:hAnsi="Arial Armeni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Kilinyan</dc:creator>
  <cp:keywords/>
  <dc:description/>
  <cp:lastModifiedBy>Lusine Sargsyan</cp:lastModifiedBy>
  <cp:revision>20</cp:revision>
  <dcterms:created xsi:type="dcterms:W3CDTF">2023-04-06T13:03:00Z</dcterms:created>
  <dcterms:modified xsi:type="dcterms:W3CDTF">2023-04-20T10:54:00Z</dcterms:modified>
</cp:coreProperties>
</file>