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FB" w:rsidRPr="003945AE" w:rsidRDefault="007555FB" w:rsidP="003945AE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  <w:r w:rsidRPr="003945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ՆԱԽԱԳԻԾ</w:t>
      </w:r>
    </w:p>
    <w:p w:rsidR="007555FB" w:rsidRPr="003945AE" w:rsidRDefault="007555FB" w:rsidP="003945AE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3945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ՀԱՅԱՍՏԱՆԻ ՀԱՆՐԱՊԵՏՈՒԹՅԱՆ ԿԱՌԱՎԱՐՈՒԹՅՈՒՆ</w:t>
      </w:r>
      <w:r w:rsidRPr="003945A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:rsidR="007555FB" w:rsidRPr="003945AE" w:rsidRDefault="007555FB" w:rsidP="003945AE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3945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Ո Ր Ո Շ ՈՒ Մ</w:t>
      </w:r>
    </w:p>
    <w:p w:rsidR="007555FB" w:rsidRPr="003945AE" w:rsidRDefault="007555FB" w:rsidP="003945AE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945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———————</w:t>
      </w:r>
      <w:r w:rsidRPr="003945AE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20</w:t>
      </w:r>
      <w:r w:rsidRPr="003945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23</w:t>
      </w:r>
      <w:r w:rsidRPr="003945AE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FE4AF2" w:rsidRPr="003945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թվականի</w:t>
      </w:r>
      <w:r w:rsidRPr="003945AE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N </w:t>
      </w:r>
      <w:r w:rsidRPr="003945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——— Ն</w:t>
      </w:r>
    </w:p>
    <w:p w:rsidR="007555FB" w:rsidRPr="003945AE" w:rsidRDefault="007555FB" w:rsidP="003945AE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3945AE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 xml:space="preserve">ՀԱՅԱՍՏԱՆԻ ՀԱՆՐԱՊԵՏՈՒԹՅԱՆ ԿԱՌԱՎԱՐՈՒԹՅԱՆ 2022 ԹՎԱԿԱՆԻ ԴԵԿՏԵՄԲԵՐԻ  1-Ի N1825-Ն ՈՐՈՇՄԱՆ ՄԵՋ ՓՈՓՈԽՈՒԹՅՈՒՆՆԵՐ ԵՎ </w:t>
      </w:r>
      <w:r w:rsidR="00581CE6" w:rsidRPr="003945AE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>ԼՐԱՑՈՒՄ</w:t>
      </w:r>
      <w:r w:rsidRPr="003945AE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 xml:space="preserve"> ԿԱՏԱՐԵԼՈՒ ՄԱՍԻՆ</w:t>
      </w:r>
    </w:p>
    <w:p w:rsidR="007555FB" w:rsidRPr="003945AE" w:rsidRDefault="007555FB" w:rsidP="003945AE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</w:pPr>
    </w:p>
    <w:p w:rsidR="007555FB" w:rsidRPr="003945AE" w:rsidRDefault="002A6E7A" w:rsidP="003945AE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3945A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    </w:t>
      </w:r>
      <w:r w:rsidR="004D21EB" w:rsidRPr="003945A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  </w:t>
      </w:r>
      <w:r w:rsidR="007555FB" w:rsidRPr="003945A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33-րդ հոդվածը՝ Հայաստանի Հանրապետության կառավարությունը </w:t>
      </w:r>
      <w:r w:rsidR="007555FB" w:rsidRPr="003945AE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D506A2" w:rsidRPr="003945AE" w:rsidRDefault="007555FB" w:rsidP="003945AE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3945A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Հայաստանի Հանրապետության կառավարության 2022 թվականի դեկտեմբերի 1-ի «Հայաստանի Հանրապետությունից արտահանման և Հայաստանի Հանրապետություն ներմուծման համար արգելված սնդիկի հավելիչով արտադրանքի ցանկը</w:t>
      </w:r>
      <w:r w:rsidRPr="003945AE">
        <w:rPr>
          <w:rFonts w:eastAsia="GHEA Grapalat" w:cs="Calibri"/>
          <w:sz w:val="24"/>
          <w:szCs w:val="24"/>
          <w:highlight w:val="white"/>
          <w:lang w:val="hy-AM"/>
        </w:rPr>
        <w:t> </w:t>
      </w:r>
      <w:r w:rsidRPr="003945A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սահմանելու մասին»  N1825-</w:t>
      </w:r>
      <w:r w:rsidR="00DB47AB" w:rsidRPr="003945A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Ն </w:t>
      </w:r>
      <w:r w:rsidRPr="003945A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որոշման </w:t>
      </w:r>
      <w:r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(այսուհետ՝ Որոշում) </w:t>
      </w:r>
      <w:r w:rsidR="00C90AE9">
        <w:rPr>
          <w:rFonts w:ascii="GHEA Grapalat" w:eastAsia="GHEA Grapalat" w:hAnsi="GHEA Grapalat" w:cs="GHEA Grapalat"/>
          <w:sz w:val="24"/>
          <w:szCs w:val="24"/>
          <w:lang w:val="hy-AM"/>
        </w:rPr>
        <w:t>նախաբանից</w:t>
      </w:r>
      <w:r w:rsidR="00D506A2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="00310E69" w:rsidRPr="003945AE">
        <w:rPr>
          <w:rFonts w:ascii="GHEA Grapalat" w:eastAsia="Times New Roman" w:hAnsi="GHEA Grapalat"/>
          <w:sz w:val="24"/>
          <w:szCs w:val="24"/>
          <w:lang w:val="hy-AM"/>
        </w:rPr>
        <w:t>29-րդ հոդվածի 1-ին մասի 1-ին և 3-5-րդ կետերի,</w:t>
      </w:r>
      <w:r w:rsidR="00D506A2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» բառ</w:t>
      </w:r>
      <w:r w:rsidR="00310E69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երը</w:t>
      </w:r>
      <w:r w:rsidR="00D506A2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10E69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հանել</w:t>
      </w:r>
      <w:r w:rsidR="00B1730E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7555FB" w:rsidRPr="003945AE" w:rsidRDefault="00D506A2" w:rsidP="003945AE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</w:t>
      </w:r>
      <w:r w:rsidR="007555FB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2-րդ կետն ուժը կորցրած ճանաչել։</w:t>
      </w:r>
      <w:r w:rsidR="007555FB" w:rsidRPr="003945A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D020E" w:rsidRPr="003945AE" w:rsidRDefault="002D020E" w:rsidP="003945AE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3-րդ կետի 1-ին և 2-րդ ենթակետերը ուժը կորցրած ճանաչել։ </w:t>
      </w:r>
    </w:p>
    <w:p w:rsidR="0098718E" w:rsidRPr="003945AE" w:rsidRDefault="0098718E" w:rsidP="003945AE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360" w:lineRule="auto"/>
        <w:ind w:hanging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3-րդ </w:t>
      </w:r>
      <w:r w:rsidR="002D020E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կետի 3-րդ ենթակետը</w:t>
      </w:r>
      <w:r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շարադրել հետևյալ խմբագրությամբ.</w:t>
      </w:r>
    </w:p>
    <w:p w:rsidR="00F22091" w:rsidRPr="003945AE" w:rsidRDefault="0098718E" w:rsidP="003945AE">
      <w:pPr>
        <w:pStyle w:val="ListParagraph"/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2D020E"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3) </w:t>
      </w:r>
      <w:r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սնդիկի հավելիչով այն արտադրանքի</w:t>
      </w:r>
      <w:r w:rsidR="00287C17"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287C17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(ապրանքների)</w:t>
      </w:r>
      <w:r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վրա, որոնց սահմանահատման ժամանակ առկա է ներմուծողի կամ արտահանողի կողմից կազմված և հաստատված </w:t>
      </w:r>
      <w:r w:rsidR="00FE1B67"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գրավոր հայտարարությունը</w:t>
      </w:r>
      <w:r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՝ քաղաքացիական պաշտպանության, ռազմական, հետազոտությունների, </w:t>
      </w:r>
      <w:r w:rsidR="001D0722"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փորձարկումների, </w:t>
      </w:r>
      <w:r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սարքերի չափաբերման և որպես չափանմուշ օգտագործման նպատակով արտադրանքի անհրաժեշտության վերաբերյալ</w:t>
      </w:r>
      <w:r w:rsidR="001804C5"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, </w:t>
      </w:r>
      <w:r w:rsidR="00804B00" w:rsidRPr="00394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արտադրանքի առուվաճառքի կամ </w:t>
      </w:r>
      <w:r w:rsidR="00804B00" w:rsidRPr="003945AE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մատակարարման պայ</w:t>
      </w:r>
      <w:r w:rsidR="004D21EB" w:rsidRPr="003945AE">
        <w:rPr>
          <w:rFonts w:ascii="GHEA Grapalat" w:eastAsia="Times New Roman" w:hAnsi="GHEA Grapalat"/>
          <w:sz w:val="24"/>
          <w:szCs w:val="24"/>
          <w:lang w:val="hy-AM" w:eastAsia="ru-RU"/>
        </w:rPr>
        <w:t>մանագիրը, համաձայանագիրը, հաշիվ-</w:t>
      </w:r>
      <w:r w:rsidR="00804B00" w:rsidRPr="00394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ապրաքագիրը կամ ինվոյսը, </w:t>
      </w:r>
      <w:r w:rsidR="001804C5" w:rsidRPr="003945AE">
        <w:rPr>
          <w:rFonts w:ascii="GHEA Grapalat" w:eastAsia="Times New Roman" w:hAnsi="GHEA Grapalat"/>
          <w:sz w:val="24"/>
          <w:szCs w:val="24"/>
          <w:lang w:val="hy-AM" w:eastAsia="ru-RU"/>
        </w:rPr>
        <w:t>ինչը ն</w:t>
      </w:r>
      <w:r w:rsidR="000E3676" w:rsidRPr="00394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երառում է նաև մաքսային սահմանով սույն </w:t>
      </w:r>
      <w:r w:rsidR="00C90AE9">
        <w:rPr>
          <w:rFonts w:ascii="GHEA Grapalat" w:eastAsia="Times New Roman" w:hAnsi="GHEA Grapalat"/>
          <w:sz w:val="24"/>
          <w:szCs w:val="24"/>
          <w:lang w:val="hy-AM" w:eastAsia="ru-RU"/>
        </w:rPr>
        <w:t>ենթա</w:t>
      </w:r>
      <w:r w:rsidR="000E3676" w:rsidRPr="00394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կետով սահմանված </w:t>
      </w:r>
      <w:r w:rsidR="000E3676"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նպատակով </w:t>
      </w:r>
      <w:r w:rsidR="001804C5"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փոխադրվող արտադրանքի քաշը և ծավալը</w:t>
      </w:r>
      <w:r w:rsidRPr="003945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։</w:t>
      </w:r>
      <w:r w:rsidR="00891141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8F75F7" w:rsidRPr="003945AE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A57F7A" w:rsidRPr="003945AE" w:rsidRDefault="00B87985" w:rsidP="003945AE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3945AE">
        <w:rPr>
          <w:rFonts w:ascii="GHEA Grapalat" w:hAnsi="GHEA Grapalat"/>
          <w:sz w:val="24"/>
          <w:szCs w:val="24"/>
          <w:lang w:val="hy-AM"/>
        </w:rPr>
        <w:t>Որոշումը</w:t>
      </w:r>
      <w:r w:rsidR="00A57F7A" w:rsidRPr="003945AE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 </w:t>
      </w:r>
      <w:r w:rsidRPr="003945AE">
        <w:rPr>
          <w:rFonts w:ascii="GHEA Grapalat" w:hAnsi="GHEA Grapalat"/>
          <w:sz w:val="24"/>
          <w:szCs w:val="24"/>
          <w:lang w:val="hy-AM"/>
        </w:rPr>
        <w:t>3.1</w:t>
      </w:r>
      <w:r w:rsidR="00A57F7A" w:rsidRPr="003945AE">
        <w:rPr>
          <w:rFonts w:ascii="GHEA Grapalat" w:hAnsi="GHEA Grapalat"/>
          <w:sz w:val="24"/>
          <w:szCs w:val="24"/>
          <w:lang w:val="hy-AM"/>
        </w:rPr>
        <w:t>-</w:t>
      </w:r>
      <w:r w:rsidR="00C90AE9">
        <w:rPr>
          <w:rFonts w:ascii="GHEA Grapalat" w:hAnsi="GHEA Grapalat"/>
          <w:sz w:val="24"/>
          <w:szCs w:val="24"/>
          <w:lang w:val="hy-AM"/>
        </w:rPr>
        <w:t>ին</w:t>
      </w:r>
      <w:r w:rsidR="00A57F7A" w:rsidRPr="003945AE">
        <w:rPr>
          <w:rFonts w:ascii="GHEA Grapalat" w:hAnsi="GHEA Grapalat"/>
          <w:sz w:val="24"/>
          <w:szCs w:val="24"/>
          <w:lang w:val="hy-AM"/>
        </w:rPr>
        <w:t xml:space="preserve"> կետով. </w:t>
      </w:r>
    </w:p>
    <w:p w:rsidR="00192A1E" w:rsidRPr="003945AE" w:rsidRDefault="00B87985" w:rsidP="003945A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945AE">
        <w:rPr>
          <w:rFonts w:ascii="GHEA Grapalat" w:eastAsia="GHEA Grapalat" w:hAnsi="GHEA Grapalat" w:cs="GHEA Grapalat"/>
          <w:highlight w:val="white"/>
          <w:lang w:val="hy-AM"/>
        </w:rPr>
        <w:t>«</w:t>
      </w:r>
      <w:r w:rsidR="00F22091" w:rsidRPr="003945AE">
        <w:rPr>
          <w:rFonts w:ascii="GHEA Grapalat" w:hAnsi="GHEA Grapalat"/>
          <w:lang w:val="hy-AM"/>
        </w:rPr>
        <w:t>3.</w:t>
      </w:r>
      <w:r w:rsidR="0098718E" w:rsidRPr="003945AE">
        <w:rPr>
          <w:rFonts w:ascii="GHEA Grapalat" w:hAnsi="GHEA Grapalat"/>
          <w:lang w:val="hy-AM"/>
        </w:rPr>
        <w:t>1</w:t>
      </w:r>
      <w:r w:rsidR="00192A1E" w:rsidRPr="003945AE">
        <w:rPr>
          <w:rFonts w:ascii="GHEA Grapalat" w:hAnsi="GHEA Grapalat"/>
          <w:lang w:val="hy-AM"/>
        </w:rPr>
        <w:t xml:space="preserve">. </w:t>
      </w:r>
      <w:r w:rsidR="008F75F7" w:rsidRPr="003945AE">
        <w:rPr>
          <w:rFonts w:ascii="GHEA Grapalat" w:hAnsi="GHEA Grapalat"/>
          <w:lang w:val="hy-AM"/>
        </w:rPr>
        <w:t xml:space="preserve">Սույն որոշման կարգավորման շրջանակներում, սույն որոշման հավելվածով սահմանված արտադրանքի ցանկի 3-րդ </w:t>
      </w:r>
      <w:r w:rsidR="00287C17" w:rsidRPr="003945AE">
        <w:rPr>
          <w:rFonts w:ascii="GHEA Grapalat" w:hAnsi="GHEA Grapalat"/>
          <w:lang w:val="hy-AM"/>
        </w:rPr>
        <w:t>կետ</w:t>
      </w:r>
      <w:r w:rsidR="008F75F7" w:rsidRPr="003945AE">
        <w:rPr>
          <w:rFonts w:ascii="GHEA Grapalat" w:hAnsi="GHEA Grapalat"/>
          <w:lang w:val="hy-AM"/>
        </w:rPr>
        <w:t xml:space="preserve">ում նշված </w:t>
      </w:r>
      <w:r w:rsidR="00287C17" w:rsidRPr="003945AE">
        <w:rPr>
          <w:rFonts w:ascii="GHEA Grapalat" w:hAnsi="GHEA Grapalat"/>
          <w:lang w:val="hy-AM"/>
        </w:rPr>
        <w:t>արտադրանքը</w:t>
      </w:r>
      <w:r w:rsidR="008F75F7" w:rsidRPr="003945AE">
        <w:rPr>
          <w:rFonts w:ascii="GHEA Grapalat" w:hAnsi="GHEA Grapalat"/>
          <w:lang w:val="hy-AM"/>
        </w:rPr>
        <w:t xml:space="preserve"> համարվում</w:t>
      </w:r>
      <w:r w:rsidR="00287C17" w:rsidRPr="003945AE">
        <w:rPr>
          <w:rFonts w:ascii="GHEA Grapalat" w:hAnsi="GHEA Grapalat"/>
          <w:lang w:val="hy-AM"/>
        </w:rPr>
        <w:t xml:space="preserve"> է</w:t>
      </w:r>
      <w:r w:rsidR="008F75F7" w:rsidRPr="003945AE">
        <w:rPr>
          <w:rFonts w:ascii="GHEA Grapalat" w:hAnsi="GHEA Grapalat"/>
          <w:lang w:val="hy-AM"/>
        </w:rPr>
        <w:t xml:space="preserve"> սնդիկային, եթե </w:t>
      </w:r>
      <w:r w:rsidR="00287C17" w:rsidRPr="003945AE">
        <w:rPr>
          <w:rFonts w:ascii="GHEA Grapalat" w:hAnsi="GHEA Grapalat"/>
          <w:lang w:val="hy-AM"/>
        </w:rPr>
        <w:t>այն</w:t>
      </w:r>
      <w:r w:rsidR="008F75F7" w:rsidRPr="003945AE">
        <w:rPr>
          <w:rFonts w:ascii="GHEA Grapalat" w:hAnsi="GHEA Grapalat"/>
          <w:lang w:val="hy-AM"/>
        </w:rPr>
        <w:t xml:space="preserve"> հայտարարատուի կողմից մաքսային հայտարարագրի համապատասխան դաշտում հայտարարագրվել </w:t>
      </w:r>
      <w:r w:rsidR="00287C17" w:rsidRPr="003945AE">
        <w:rPr>
          <w:rFonts w:ascii="GHEA Grapalat" w:hAnsi="GHEA Grapalat"/>
          <w:lang w:val="hy-AM"/>
        </w:rPr>
        <w:t>է</w:t>
      </w:r>
      <w:r w:rsidR="008F75F7" w:rsidRPr="003945AE">
        <w:rPr>
          <w:rFonts w:ascii="GHEA Grapalat" w:hAnsi="GHEA Grapalat"/>
          <w:lang w:val="hy-AM"/>
        </w:rPr>
        <w:t xml:space="preserve"> որպես սնդիկ պարունակող </w:t>
      </w:r>
      <w:r w:rsidR="00287C17" w:rsidRPr="003945AE">
        <w:rPr>
          <w:rFonts w:ascii="GHEA Grapalat" w:hAnsi="GHEA Grapalat"/>
          <w:lang w:val="hy-AM"/>
        </w:rPr>
        <w:t>արտադրանք</w:t>
      </w:r>
      <w:r w:rsidR="008F75F7" w:rsidRPr="003945AE">
        <w:rPr>
          <w:rFonts w:ascii="GHEA Grapalat" w:hAnsi="GHEA Grapalat"/>
          <w:lang w:val="hy-AM"/>
        </w:rPr>
        <w:t xml:space="preserve"> կամ այդ  </w:t>
      </w:r>
      <w:r w:rsidR="00287C17" w:rsidRPr="003945AE">
        <w:rPr>
          <w:rFonts w:ascii="GHEA Grapalat" w:hAnsi="GHEA Grapalat"/>
          <w:lang w:val="hy-AM"/>
        </w:rPr>
        <w:t>արտադրանքի</w:t>
      </w:r>
      <w:r w:rsidR="008F75F7" w:rsidRPr="003945AE">
        <w:rPr>
          <w:rFonts w:ascii="GHEA Grapalat" w:hAnsi="GHEA Grapalat"/>
          <w:lang w:val="hy-AM"/>
        </w:rPr>
        <w:t xml:space="preserve"> մաքսային հսկողության արդյունքում (այդ թվում՝ տեղեկատվական բաց աղբյուրների օգտագործմամբ) պարզվել է, որ </w:t>
      </w:r>
      <w:r w:rsidR="00287C17" w:rsidRPr="003945AE">
        <w:rPr>
          <w:rFonts w:ascii="GHEA Grapalat" w:hAnsi="GHEA Grapalat"/>
          <w:lang w:val="hy-AM"/>
        </w:rPr>
        <w:t>այն</w:t>
      </w:r>
      <w:r w:rsidR="008F75F7" w:rsidRPr="003945AE">
        <w:rPr>
          <w:rFonts w:ascii="GHEA Grapalat" w:hAnsi="GHEA Grapalat"/>
          <w:lang w:val="hy-AM"/>
        </w:rPr>
        <w:t xml:space="preserve"> </w:t>
      </w:r>
      <w:r w:rsidR="00287C17" w:rsidRPr="003945AE">
        <w:rPr>
          <w:rFonts w:ascii="GHEA Grapalat" w:hAnsi="GHEA Grapalat"/>
          <w:lang w:val="hy-AM"/>
        </w:rPr>
        <w:t xml:space="preserve">հանդիսանում է </w:t>
      </w:r>
      <w:r w:rsidR="008F75F7" w:rsidRPr="003945AE">
        <w:rPr>
          <w:rFonts w:ascii="GHEA Grapalat" w:hAnsi="GHEA Grapalat"/>
          <w:lang w:val="hy-AM"/>
        </w:rPr>
        <w:t xml:space="preserve">հեղուկ սնդիկով աշխատող </w:t>
      </w:r>
      <w:r w:rsidR="00287C17" w:rsidRPr="003945AE">
        <w:rPr>
          <w:rFonts w:ascii="GHEA Grapalat" w:hAnsi="GHEA Grapalat"/>
          <w:lang w:val="hy-AM"/>
        </w:rPr>
        <w:t>չափման միջոց (</w:t>
      </w:r>
      <w:r w:rsidR="008F75F7" w:rsidRPr="003945AE">
        <w:rPr>
          <w:rFonts w:ascii="GHEA Grapalat" w:hAnsi="GHEA Grapalat"/>
          <w:lang w:val="hy-AM"/>
        </w:rPr>
        <w:t>սարք</w:t>
      </w:r>
      <w:r w:rsidR="00287C17" w:rsidRPr="003945AE">
        <w:rPr>
          <w:rFonts w:ascii="GHEA Grapalat" w:hAnsi="GHEA Grapalat"/>
          <w:lang w:val="hy-AM"/>
        </w:rPr>
        <w:t>)</w:t>
      </w:r>
      <w:r w:rsidR="008F75F7" w:rsidRPr="003945AE">
        <w:rPr>
          <w:rFonts w:ascii="GHEA Grapalat" w:hAnsi="GHEA Grapalat"/>
          <w:lang w:val="hy-AM"/>
        </w:rPr>
        <w:t xml:space="preserve"> կամ այդ </w:t>
      </w:r>
      <w:r w:rsidR="00287C17" w:rsidRPr="003945AE">
        <w:rPr>
          <w:rFonts w:ascii="GHEA Grapalat" w:hAnsi="GHEA Grapalat"/>
          <w:lang w:val="hy-AM"/>
        </w:rPr>
        <w:t>արտադրանքում</w:t>
      </w:r>
      <w:r w:rsidR="008F75F7" w:rsidRPr="003945AE">
        <w:rPr>
          <w:rFonts w:ascii="GHEA Grapalat" w:hAnsi="GHEA Grapalat"/>
          <w:lang w:val="hy-AM"/>
        </w:rPr>
        <w:t xml:space="preserve"> առկա են հեղուկ սնդիկով լցված մասեր կամ դրանց մակնշվածքում, փաթեթավորման վրա կամ </w:t>
      </w:r>
      <w:r w:rsidR="00287C17" w:rsidRPr="003945AE">
        <w:rPr>
          <w:rFonts w:ascii="GHEA Grapalat" w:hAnsi="GHEA Grapalat"/>
          <w:lang w:val="hy-AM"/>
        </w:rPr>
        <w:t>արտադրանքն</w:t>
      </w:r>
      <w:r w:rsidR="008F75F7" w:rsidRPr="003945AE">
        <w:rPr>
          <w:rFonts w:ascii="GHEA Grapalat" w:hAnsi="GHEA Grapalat"/>
          <w:lang w:val="hy-AM"/>
        </w:rPr>
        <w:t xml:space="preserve"> ուղեկցող փաստաթղթերում առկա են տվյալներ՝ </w:t>
      </w:r>
      <w:r w:rsidR="00287C17" w:rsidRPr="003945AE">
        <w:rPr>
          <w:rFonts w:ascii="GHEA Grapalat" w:hAnsi="GHEA Grapalat"/>
          <w:lang w:val="hy-AM"/>
        </w:rPr>
        <w:t>արտադրանքում</w:t>
      </w:r>
      <w:r w:rsidR="008F75F7" w:rsidRPr="003945AE">
        <w:rPr>
          <w:rFonts w:ascii="GHEA Grapalat" w:hAnsi="GHEA Grapalat"/>
          <w:lang w:val="hy-AM"/>
        </w:rPr>
        <w:t xml:space="preserve"> սնդիկի պարունակության վերաբերյալ։</w:t>
      </w:r>
      <w:r w:rsidR="00192A1E" w:rsidRPr="003945AE">
        <w:rPr>
          <w:rFonts w:ascii="GHEA Grapalat" w:hAnsi="GHEA Grapalat" w:cs="Arial"/>
          <w:lang w:val="hy-AM"/>
        </w:rPr>
        <w:t>»։</w:t>
      </w:r>
    </w:p>
    <w:p w:rsidR="007555FB" w:rsidRPr="003945AE" w:rsidRDefault="004D21EB" w:rsidP="003945A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45AE">
        <w:rPr>
          <w:rFonts w:ascii="GHEA Grapalat" w:hAnsi="GHEA Grapalat"/>
          <w:sz w:val="24"/>
          <w:szCs w:val="24"/>
          <w:lang w:val="hy-AM"/>
        </w:rPr>
        <w:t>6</w:t>
      </w:r>
      <w:r w:rsidR="007555FB" w:rsidRPr="003945AE">
        <w:rPr>
          <w:rFonts w:ascii="GHEA Grapalat" w:hAnsi="GHEA Grapalat"/>
          <w:sz w:val="24"/>
          <w:szCs w:val="24"/>
          <w:lang w:val="hy-AM"/>
        </w:rPr>
        <w:t xml:space="preserve">.  Որոշման 4-րդ կետում </w:t>
      </w:r>
      <w:r w:rsidR="007555FB" w:rsidRPr="003945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«շրջակա միջավայրի նախարարին` սույն որոշումն ուժի մեջ մտնելուց հետո եռօրյա ժամկետում» բառերը փոխարինել </w:t>
      </w:r>
      <w:r w:rsidR="007555FB" w:rsidRPr="003945AE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7555FB" w:rsidRPr="003945AE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«էկոնոմիկայի նախարարին` սահմանված կարգով»</w:t>
      </w:r>
      <w:r w:rsidR="00F22091" w:rsidRPr="003945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բառերով</w:t>
      </w:r>
      <w:r w:rsidR="007555FB" w:rsidRPr="003945AE">
        <w:rPr>
          <w:rFonts w:ascii="GHEA Grapalat" w:hAnsi="GHEA Grapalat"/>
          <w:sz w:val="24"/>
          <w:szCs w:val="24"/>
          <w:lang w:val="hy-AM"/>
        </w:rPr>
        <w:t>:</w:t>
      </w:r>
    </w:p>
    <w:p w:rsidR="007555FB" w:rsidRPr="003945AE" w:rsidRDefault="004D21EB" w:rsidP="003945AE">
      <w:pPr>
        <w:pStyle w:val="ListParagraph"/>
        <w:spacing w:after="0" w:line="360" w:lineRule="auto"/>
        <w:ind w:left="90" w:hanging="9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945AE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7555FB" w:rsidRPr="003945A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E744EE" w:rsidRPr="003945A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7555FB" w:rsidRPr="003945AE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 հավելվածը շարադրել նոր խմբագրությամբ` համաձայն հավելվածի։</w:t>
      </w:r>
    </w:p>
    <w:p w:rsidR="007555FB" w:rsidRPr="003945AE" w:rsidRDefault="004D21EB" w:rsidP="003945A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45AE">
        <w:rPr>
          <w:rFonts w:ascii="GHEA Grapalat" w:hAnsi="GHEA Grapalat"/>
          <w:sz w:val="24"/>
          <w:szCs w:val="24"/>
          <w:lang w:val="hy-AM"/>
        </w:rPr>
        <w:t>8</w:t>
      </w:r>
      <w:r w:rsidR="007555FB" w:rsidRPr="003945AE">
        <w:rPr>
          <w:rFonts w:ascii="GHEA Grapalat" w:hAnsi="GHEA Grapalat"/>
          <w:sz w:val="24"/>
          <w:szCs w:val="24"/>
          <w:lang w:val="hy-AM"/>
        </w:rPr>
        <w:t xml:space="preserve">.   Սույն որոշումն ուժի մեջ է մտնում </w:t>
      </w:r>
      <w:r w:rsidR="007612FB" w:rsidRPr="003945AE">
        <w:rPr>
          <w:rFonts w:ascii="GHEA Grapalat" w:hAnsi="GHEA Grapalat"/>
          <w:sz w:val="24"/>
          <w:szCs w:val="24"/>
          <w:lang w:val="hy-AM"/>
        </w:rPr>
        <w:t xml:space="preserve">Եվրասիական տնտեսական հանձնաժողովին սույն որոշման ընդունման մասին </w:t>
      </w:r>
      <w:r w:rsidR="007555FB" w:rsidRPr="003945AE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7612FB" w:rsidRPr="00394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ծանուցման</w:t>
      </w:r>
      <w:r w:rsidR="002018CB" w:rsidRPr="00394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7612FB" w:rsidRPr="00394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555FB" w:rsidRPr="00394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հաջորդող օրվանից</w:t>
      </w:r>
      <w:r w:rsidR="002951B8" w:rsidRPr="00394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դրա</w:t>
      </w:r>
      <w:r w:rsidR="002951B8" w:rsidRPr="003945AE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 xml:space="preserve"> գործողությունը տարածվում է 2023 թվականի հունվարի 1-ից հետո ծագած հարաբերությունների վրա:</w:t>
      </w:r>
    </w:p>
    <w:p w:rsidR="003F0C11" w:rsidRPr="003945AE" w:rsidRDefault="003F0C11" w:rsidP="003945A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744EE" w:rsidRPr="003945AE" w:rsidRDefault="00E744EE" w:rsidP="003945AE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</w:pPr>
    </w:p>
    <w:p w:rsidR="007555FB" w:rsidRPr="003945AE" w:rsidRDefault="007555FB" w:rsidP="003945AE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</w:pP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lastRenderedPageBreak/>
        <w:t>Հավելված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br/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ՀՀ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կառավարության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20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2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3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թվականի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br/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———-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 N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—Ն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որոշման</w:t>
      </w:r>
    </w:p>
    <w:p w:rsidR="007555FB" w:rsidRPr="003945AE" w:rsidRDefault="007555FB" w:rsidP="003945AE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</w:pP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«Հավելված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br/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ՀՀ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կառավարության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20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2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2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թվականի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br/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դեկտեմբերի 1-ի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N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1825-Ն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</w:t>
      </w:r>
      <w:r w:rsidRPr="003945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որոշման</w:t>
      </w:r>
    </w:p>
    <w:p w:rsidR="007555FB" w:rsidRPr="003945AE" w:rsidRDefault="007555FB" w:rsidP="003945AE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</w:pPr>
    </w:p>
    <w:p w:rsidR="007555FB" w:rsidRPr="003945AE" w:rsidRDefault="007555FB" w:rsidP="003945A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3945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Ց</w:t>
      </w:r>
      <w:r w:rsidRPr="003945AE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Pr="003945A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Ա</w:t>
      </w:r>
      <w:r w:rsidRPr="003945AE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Pr="003945A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Ն</w:t>
      </w:r>
      <w:r w:rsidRPr="003945AE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Pr="003945A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Կ</w:t>
      </w:r>
    </w:p>
    <w:p w:rsidR="007555FB" w:rsidRPr="003945AE" w:rsidRDefault="007555FB" w:rsidP="003945AE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</w:pPr>
      <w:r w:rsidRPr="003945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 xml:space="preserve">ՍՆԴԻԿԻ ՀԱՎԵԼԻՉՈՎ ԱՐՏԱԴՐԱՆՔԻ, ՈՐՈՆՑ ԱՐՏԱՀԱՆՈՒՄԸ ՀԱՅԱՍՏԱՆԻ ՀԱՆՐԱՊԵՏՈՒԹՅՈՒՆԻՑ ԵՎ ՆԵՐՄՈՒԾՈՒՄԸ ՀԱՅԱՍՏԱՆԻ ՀԱՆՐԱՊԵՏՈՒԹՅՈՒՆ ԱՐԳԵԼՎԱԾ Է </w:t>
      </w:r>
    </w:p>
    <w:tbl>
      <w:tblPr>
        <w:tblStyle w:val="TableGrid"/>
        <w:tblW w:w="9805" w:type="dxa"/>
        <w:tblInd w:w="-185" w:type="dxa"/>
        <w:tblLook w:val="04A0" w:firstRow="1" w:lastRow="0" w:firstColumn="1" w:lastColumn="0" w:noHBand="0" w:noVBand="1"/>
      </w:tblPr>
      <w:tblGrid>
        <w:gridCol w:w="450"/>
        <w:gridCol w:w="7110"/>
        <w:gridCol w:w="2245"/>
      </w:tblGrid>
      <w:tr w:rsidR="007555FB" w:rsidRPr="00C90AE9" w:rsidTr="00E326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E32604" w:rsidP="003945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7555FB" w:rsidP="003945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Արտադրանքի անվանումը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7555FB" w:rsidP="003945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Ծածկագիրն ըստ ԵԱՏՄ ԱՏԳ ԱԱ-ի</w:t>
            </w:r>
          </w:p>
        </w:tc>
      </w:tr>
      <w:tr w:rsidR="007555FB" w:rsidRPr="003945AE" w:rsidTr="00E326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3945AE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Առաջնային տարրեր և առաջնային մարտկոցներ՝ սնդիկ-օքսիդային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8506 30 000 0</w:t>
            </w:r>
          </w:p>
        </w:tc>
      </w:tr>
      <w:tr w:rsidR="007555FB" w:rsidRPr="003945AE" w:rsidTr="00E326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945AE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Սնդիկային լամպեր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8539 32 200 1</w:t>
            </w:r>
          </w:p>
        </w:tc>
      </w:tr>
      <w:tr w:rsidR="007555FB" w:rsidRPr="00C90AE9" w:rsidTr="008F75F7">
        <w:trPr>
          <w:trHeight w:val="19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FB" w:rsidRPr="003945AE" w:rsidRDefault="009C615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 w:rsidR="007555FB" w:rsidRPr="003945AE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04" w:rsidRPr="003945AE" w:rsidRDefault="007555FB" w:rsidP="003945AE">
            <w:pPr>
              <w:spacing w:line="360" w:lineRule="auto"/>
              <w:ind w:left="-29" w:right="-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Սնդիկային</w:t>
            </w: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ոչ էլեկտրոնային</w:t>
            </w:r>
            <w:r w:rsidR="003811BD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չափ</w:t>
            </w:r>
            <w:r w:rsidR="00CD498D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ման</w:t>
            </w: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3811BD" w:rsidRPr="003945A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միջոցներ (սարքեր)</w:t>
            </w: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՝ </w:t>
            </w:r>
          </w:p>
          <w:p w:rsidR="001811FA" w:rsidRPr="003945AE" w:rsidRDefault="001811FA" w:rsidP="003945AE">
            <w:pPr>
              <w:spacing w:line="360" w:lineRule="auto"/>
              <w:ind w:left="-29" w:right="-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7555FB" w:rsidRPr="003945AE" w:rsidRDefault="007555FB" w:rsidP="003945AE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բարոմետրեր</w:t>
            </w:r>
            <w:r w:rsidR="00DE7028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DE7028" w:rsidRPr="003945A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DE7028" w:rsidRPr="003945AE"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FFFFF"/>
                <w:lang w:val="hy-AM"/>
              </w:rPr>
              <w:t>մթնոլորտային ճնշաչափ)</w:t>
            </w:r>
          </w:p>
          <w:p w:rsidR="007555FB" w:rsidRPr="003945AE" w:rsidRDefault="007555FB" w:rsidP="003945AE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հիգրոմետրեր</w:t>
            </w:r>
            <w:r w:rsidR="00E32604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E32604" w:rsidRPr="003945A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E32604" w:rsidRPr="003945AE"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FFFFF"/>
                <w:lang w:val="hy-AM"/>
              </w:rPr>
              <w:t>մթնոլորտային օդի և այլ գազի խոնավաչափ)</w:t>
            </w:r>
          </w:p>
          <w:p w:rsidR="007555FB" w:rsidRPr="003945AE" w:rsidRDefault="007555FB" w:rsidP="003945AE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մանոմետրեր</w:t>
            </w:r>
            <w:r w:rsidR="00E32604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E32604" w:rsidRPr="003945A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E32604" w:rsidRPr="003945AE"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FFFFF"/>
                <w:lang w:val="hy-AM"/>
              </w:rPr>
              <w:t>հեղուկների և գազերի ճնշաչափ)</w:t>
            </w:r>
          </w:p>
          <w:p w:rsidR="007555FB" w:rsidRPr="003945AE" w:rsidRDefault="007555FB" w:rsidP="003945AE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</w:t>
            </w:r>
            <w:r w:rsidR="00E32604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ջերմաչափեր</w:t>
            </w:r>
            <w:r w:rsidR="00E32604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սֆիգմոմանոմետրեր</w:t>
            </w:r>
            <w:r w:rsidR="00E32604" w:rsidRPr="00394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E32604" w:rsidRPr="003945A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E32604" w:rsidRPr="003945AE"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FFFFF"/>
                <w:lang w:val="hy-AM"/>
              </w:rPr>
              <w:t>արյան ճնշաչափ)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9025 80 200 0</w:t>
            </w:r>
            <w:r w:rsidRPr="003945AE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-ից</w:t>
            </w: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9025 80 800 0</w:t>
            </w:r>
            <w:r w:rsidRPr="003945AE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-ից</w:t>
            </w: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9026 20 800 0</w:t>
            </w:r>
            <w:r w:rsidRPr="003945AE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-ից</w:t>
            </w:r>
          </w:p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9026 20 400 0</w:t>
            </w:r>
            <w:r w:rsidRPr="003945AE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-ից</w:t>
            </w:r>
          </w:p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9025 11-ից</w:t>
            </w:r>
          </w:p>
          <w:p w:rsidR="007555FB" w:rsidRPr="003945AE" w:rsidRDefault="007555F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9018 90 100 0</w:t>
            </w:r>
            <w:r w:rsidRPr="003945AE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-ից</w:t>
            </w:r>
          </w:p>
        </w:tc>
      </w:tr>
      <w:tr w:rsidR="009A4571" w:rsidRPr="003945AE" w:rsidTr="00E32604">
        <w:trPr>
          <w:trHeight w:val="12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71" w:rsidRPr="003945AE" w:rsidRDefault="009C615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4</w:t>
            </w:r>
            <w:r w:rsidR="009A4571" w:rsidRPr="003945AE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7110" w:type="dxa"/>
          </w:tcPr>
          <w:p w:rsidR="009A4571" w:rsidRPr="003945AE" w:rsidRDefault="009A4571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hy-AM"/>
              </w:rPr>
              <w:t>Սնդիկ</w:t>
            </w:r>
            <w:r w:rsidR="00A2316B" w:rsidRPr="003945AE">
              <w:rPr>
                <w:rFonts w:ascii="GHEA Grapalat" w:hAnsi="GHEA Grapalat"/>
                <w:sz w:val="24"/>
                <w:szCs w:val="24"/>
                <w:lang w:val="hy-AM"/>
              </w:rPr>
              <w:t>ի քլորիդ, սնդիկի երկքլորիդ, սնդիկի ցիանիդ, սնդիկի օքսիցիանիդ</w:t>
            </w:r>
          </w:p>
        </w:tc>
        <w:tc>
          <w:tcPr>
            <w:tcW w:w="2245" w:type="dxa"/>
          </w:tcPr>
          <w:p w:rsidR="009A4571" w:rsidRPr="003945AE" w:rsidRDefault="00A2316B" w:rsidP="003945A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5AE">
              <w:rPr>
                <w:rFonts w:ascii="GHEA Grapalat" w:hAnsi="GHEA Grapalat"/>
                <w:sz w:val="24"/>
                <w:szCs w:val="24"/>
                <w:lang w:val="ru-RU"/>
              </w:rPr>
              <w:t>2852 10 000 8</w:t>
            </w:r>
            <w:r w:rsidR="009A4571" w:rsidRPr="003945AE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-ից</w:t>
            </w:r>
          </w:p>
        </w:tc>
      </w:tr>
    </w:tbl>
    <w:p w:rsidR="007555FB" w:rsidRPr="003945AE" w:rsidRDefault="007555FB" w:rsidP="003945A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A4571" w:rsidRPr="003945AE" w:rsidRDefault="007555FB" w:rsidP="003945A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45AE">
        <w:rPr>
          <w:rFonts w:ascii="GHEA Grapalat" w:hAnsi="GHEA Grapalat"/>
          <w:sz w:val="24"/>
          <w:szCs w:val="24"/>
          <w:lang w:val="hy-AM"/>
        </w:rPr>
        <w:t xml:space="preserve">Սույն ցանկում ներառված </w:t>
      </w:r>
      <w:r w:rsidRPr="003945AE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ապրանքների (արտադրանքի) անվանման և </w:t>
      </w:r>
      <w:r w:rsidRPr="003945AE">
        <w:rPr>
          <w:rFonts w:ascii="GHEA Grapalat" w:hAnsi="GHEA Grapalat"/>
          <w:sz w:val="24"/>
          <w:szCs w:val="24"/>
          <w:lang w:val="hy-AM"/>
        </w:rPr>
        <w:t xml:space="preserve">ԵԱՏՄ </w:t>
      </w:r>
      <w:r w:rsidRPr="003945AE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ԱՏԳ ԱԱ ծածկագրի միջև անհամապատասխանությունների դեպքում ծածկագրերը կրում են կողմնորոշիչ բնույթ և անհրաժեշտ է առաջնորդվել ապրանքների անվանումներով։</w:t>
      </w:r>
      <w:r w:rsidR="00EE1D9D" w:rsidRPr="003945AE">
        <w:rPr>
          <w:rFonts w:ascii="GHEA Grapalat" w:eastAsiaTheme="minorHAnsi" w:hAnsi="GHEA Grapalat" w:cstheme="minorBidi"/>
          <w:sz w:val="24"/>
          <w:szCs w:val="24"/>
          <w:lang w:val="hy-AM"/>
        </w:rPr>
        <w:t>»։</w:t>
      </w:r>
    </w:p>
    <w:p w:rsidR="00B41DBE" w:rsidRPr="003945AE" w:rsidRDefault="00B41DBE" w:rsidP="003945A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B41DBE" w:rsidRPr="003945AE" w:rsidSect="00E32604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649"/>
    <w:multiLevelType w:val="hybridMultilevel"/>
    <w:tmpl w:val="77D480C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354E"/>
    <w:multiLevelType w:val="hybridMultilevel"/>
    <w:tmpl w:val="C39A66FC"/>
    <w:lvl w:ilvl="0" w:tplc="6912577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C7A4D"/>
    <w:multiLevelType w:val="hybridMultilevel"/>
    <w:tmpl w:val="49B07442"/>
    <w:lvl w:ilvl="0" w:tplc="B5CE0D4A">
      <w:start w:val="7"/>
      <w:numFmt w:val="decimal"/>
      <w:lvlText w:val="%1."/>
      <w:lvlJc w:val="left"/>
      <w:pPr>
        <w:ind w:left="45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A085D55"/>
    <w:multiLevelType w:val="multilevel"/>
    <w:tmpl w:val="866A08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15"/>
    <w:rsid w:val="0002539B"/>
    <w:rsid w:val="00026F61"/>
    <w:rsid w:val="00056A5F"/>
    <w:rsid w:val="00074F73"/>
    <w:rsid w:val="000818F8"/>
    <w:rsid w:val="000E3676"/>
    <w:rsid w:val="000F59CB"/>
    <w:rsid w:val="00104703"/>
    <w:rsid w:val="00127750"/>
    <w:rsid w:val="001405C1"/>
    <w:rsid w:val="001804C5"/>
    <w:rsid w:val="001811FA"/>
    <w:rsid w:val="001848B1"/>
    <w:rsid w:val="00192A1E"/>
    <w:rsid w:val="001D0722"/>
    <w:rsid w:val="001F17D6"/>
    <w:rsid w:val="002018CB"/>
    <w:rsid w:val="00267B20"/>
    <w:rsid w:val="00287C17"/>
    <w:rsid w:val="002951B8"/>
    <w:rsid w:val="002A6E7A"/>
    <w:rsid w:val="002D020E"/>
    <w:rsid w:val="00310E69"/>
    <w:rsid w:val="003332E4"/>
    <w:rsid w:val="003811BD"/>
    <w:rsid w:val="003945AE"/>
    <w:rsid w:val="003A42CD"/>
    <w:rsid w:val="003D33C7"/>
    <w:rsid w:val="003E5800"/>
    <w:rsid w:val="003F0C11"/>
    <w:rsid w:val="003F3B33"/>
    <w:rsid w:val="00451EBC"/>
    <w:rsid w:val="004C64E4"/>
    <w:rsid w:val="004D21EB"/>
    <w:rsid w:val="0052112E"/>
    <w:rsid w:val="00530F0E"/>
    <w:rsid w:val="005315C9"/>
    <w:rsid w:val="00533E1E"/>
    <w:rsid w:val="005568A9"/>
    <w:rsid w:val="00581CE6"/>
    <w:rsid w:val="00642207"/>
    <w:rsid w:val="00644515"/>
    <w:rsid w:val="006468FD"/>
    <w:rsid w:val="0068087C"/>
    <w:rsid w:val="006B05CA"/>
    <w:rsid w:val="006E78AA"/>
    <w:rsid w:val="006F10EA"/>
    <w:rsid w:val="007555FB"/>
    <w:rsid w:val="007612FB"/>
    <w:rsid w:val="0077756E"/>
    <w:rsid w:val="007B6DE2"/>
    <w:rsid w:val="007D14C8"/>
    <w:rsid w:val="007D75CE"/>
    <w:rsid w:val="00801520"/>
    <w:rsid w:val="00804B00"/>
    <w:rsid w:val="00822A8F"/>
    <w:rsid w:val="008426BB"/>
    <w:rsid w:val="00860CD5"/>
    <w:rsid w:val="00874AFC"/>
    <w:rsid w:val="00881C8F"/>
    <w:rsid w:val="00891141"/>
    <w:rsid w:val="008D4D62"/>
    <w:rsid w:val="008D635D"/>
    <w:rsid w:val="008F75F7"/>
    <w:rsid w:val="00937245"/>
    <w:rsid w:val="009777E7"/>
    <w:rsid w:val="0098718E"/>
    <w:rsid w:val="009A4571"/>
    <w:rsid w:val="009A7439"/>
    <w:rsid w:val="009C53AC"/>
    <w:rsid w:val="009C615B"/>
    <w:rsid w:val="009D0E0B"/>
    <w:rsid w:val="00A2316B"/>
    <w:rsid w:val="00A4502A"/>
    <w:rsid w:val="00A51DE9"/>
    <w:rsid w:val="00A533C9"/>
    <w:rsid w:val="00A55EBC"/>
    <w:rsid w:val="00A57F7A"/>
    <w:rsid w:val="00A63822"/>
    <w:rsid w:val="00A7239A"/>
    <w:rsid w:val="00A81F3C"/>
    <w:rsid w:val="00AC7A25"/>
    <w:rsid w:val="00AD4E75"/>
    <w:rsid w:val="00AE4D4B"/>
    <w:rsid w:val="00AE7803"/>
    <w:rsid w:val="00AF5884"/>
    <w:rsid w:val="00B1730E"/>
    <w:rsid w:val="00B3100E"/>
    <w:rsid w:val="00B41DBE"/>
    <w:rsid w:val="00B8092F"/>
    <w:rsid w:val="00B87985"/>
    <w:rsid w:val="00BB3F28"/>
    <w:rsid w:val="00C00638"/>
    <w:rsid w:val="00C0316A"/>
    <w:rsid w:val="00C249C6"/>
    <w:rsid w:val="00C31E1F"/>
    <w:rsid w:val="00C3303D"/>
    <w:rsid w:val="00C3549F"/>
    <w:rsid w:val="00C776D8"/>
    <w:rsid w:val="00C90AE9"/>
    <w:rsid w:val="00CB1878"/>
    <w:rsid w:val="00CD498D"/>
    <w:rsid w:val="00CE6AB3"/>
    <w:rsid w:val="00D02926"/>
    <w:rsid w:val="00D2258A"/>
    <w:rsid w:val="00D24D35"/>
    <w:rsid w:val="00D506A2"/>
    <w:rsid w:val="00D51004"/>
    <w:rsid w:val="00DB47AB"/>
    <w:rsid w:val="00DE7028"/>
    <w:rsid w:val="00E20C3F"/>
    <w:rsid w:val="00E32604"/>
    <w:rsid w:val="00E52E96"/>
    <w:rsid w:val="00E744EE"/>
    <w:rsid w:val="00EE1D9D"/>
    <w:rsid w:val="00F17B87"/>
    <w:rsid w:val="00F22091"/>
    <w:rsid w:val="00F415DE"/>
    <w:rsid w:val="00F936D8"/>
    <w:rsid w:val="00FD14E1"/>
    <w:rsid w:val="00FE1B67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286C6-7350-4E16-B196-F7A8847D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555FB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555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5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2023-01-26T11:34:00Z</cp:lastPrinted>
  <dcterms:created xsi:type="dcterms:W3CDTF">2023-04-13T11:07:00Z</dcterms:created>
  <dcterms:modified xsi:type="dcterms:W3CDTF">2023-04-13T11:07:00Z</dcterms:modified>
</cp:coreProperties>
</file>