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F6" w:rsidRPr="008F3A7B" w:rsidRDefault="009278F6" w:rsidP="00E178EF">
      <w:pPr>
        <w:spacing w:after="0" w:line="276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Times New Roman"/>
          <w:b/>
          <w:i/>
          <w:sz w:val="24"/>
          <w:szCs w:val="24"/>
        </w:rPr>
        <w:t>ՆԱԽԱԳԻԾ</w:t>
      </w:r>
      <w:r w:rsidRPr="008F3A7B">
        <w:rPr>
          <w:rFonts w:ascii="GHEA Grapalat" w:eastAsia="Times New Roman" w:hAnsi="GHEA Grapalat" w:cs="Times New Roman"/>
          <w:b/>
          <w:i/>
          <w:sz w:val="24"/>
          <w:szCs w:val="24"/>
          <w:lang w:val="smn-FI"/>
        </w:rPr>
        <w:t xml:space="preserve"> </w:t>
      </w:r>
    </w:p>
    <w:p w:rsidR="009278F6" w:rsidRPr="008F3A7B" w:rsidRDefault="009278F6" w:rsidP="00E178EF">
      <w:pPr>
        <w:spacing w:after="0" w:line="276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smn-FI"/>
        </w:rPr>
      </w:pPr>
    </w:p>
    <w:p w:rsidR="009278F6" w:rsidRPr="008F3A7B" w:rsidRDefault="009278F6" w:rsidP="00E178EF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:rsidR="009278F6" w:rsidRPr="008F3A7B" w:rsidRDefault="009278F6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 </w:t>
      </w:r>
      <w:r w:rsidRPr="008F3A7B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="00777882" w:rsidRPr="008F3A7B">
        <w:rPr>
          <w:rFonts w:ascii="GHEA Grapalat" w:eastAsia="Times New Roman" w:hAnsi="GHEA Grapalat" w:cs="Sylfaen"/>
          <w:b/>
          <w:sz w:val="24"/>
          <w:szCs w:val="24"/>
        </w:rPr>
        <w:t xml:space="preserve"> ԿԱՌԱՎԱՐՈՒԹՅՈՒՆ</w:t>
      </w:r>
    </w:p>
    <w:p w:rsidR="009278F6" w:rsidRPr="008F3A7B" w:rsidRDefault="009278F6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77882" w:rsidRPr="008F3A7B" w:rsidRDefault="00777882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b/>
          <w:sz w:val="24"/>
          <w:szCs w:val="24"/>
        </w:rPr>
        <w:t>ՈՐՈՇՈՒՄ</w:t>
      </w:r>
    </w:p>
    <w:p w:rsidR="009278F6" w:rsidRPr="008F3A7B" w:rsidRDefault="009278F6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:rsidR="009278F6" w:rsidRPr="008F3A7B" w:rsidRDefault="00E847EE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smn-FI"/>
        </w:rPr>
      </w:pPr>
      <w:r>
        <w:rPr>
          <w:rFonts w:ascii="GHEA Grapalat" w:eastAsia="Times New Roman" w:hAnsi="GHEA Grapalat" w:cs="Times New Roman"/>
          <w:sz w:val="24"/>
          <w:szCs w:val="24"/>
          <w:lang w:val="smn-FI"/>
        </w:rPr>
        <w:t>մարտի</w:t>
      </w:r>
      <w:r w:rsidR="00777882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2023 թվականի N     -Ն</w:t>
      </w:r>
    </w:p>
    <w:p w:rsidR="009278F6" w:rsidRPr="008F3A7B" w:rsidRDefault="009278F6" w:rsidP="00E178EF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</w:p>
    <w:p w:rsidR="00777882" w:rsidRPr="008F3A7B" w:rsidRDefault="00777882" w:rsidP="00E178EF">
      <w:pPr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ՔՐԵԱԿԱՆ ՎԱՐՈՒՅԹՆԵՐՈՎ ՊԵՏՈՒԹՅԱՆԸ</w:t>
      </w:r>
      <w:r w:rsidR="00C25859"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,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ՀԱՄԱՅՆՔԻՆ</w:t>
      </w:r>
      <w:r w:rsidR="00C25859"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, ՖԻԶԻԿԱԿԱՆ ԵՎ ԻՐԱՎԱԲԱՆԱԿԱՆ ԱՆՁԱՆՑ </w:t>
      </w:r>
      <w:r w:rsidR="00E05588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ՊԱՏՃԱՌՎԱԾ ՎՆԱՍԻ ՎԵՐԱԿԱՆԳՆՄԱՆ, </w:t>
      </w:r>
      <w:r w:rsidR="00E178EF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ՎԵՐԱԿԱՆԳՆՎԱԾ ԳՈՒՄԱՐՆԵՐԻ ՏՆՕՐԻՆՄԱՆ ԵՎ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ՀԱՇՎԱՌՄԱՆ, </w:t>
      </w:r>
      <w:r w:rsidR="00E05588" w:rsidRPr="00E05588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ՀԱՄԱՊԱՏԱՍԽԱՆ ՏՎՅԱԼՆԵՐԻ ՀՐԱՊԱՐԱԿՄԱՆ,</w:t>
      </w:r>
      <w:r w:rsidR="00E05588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ԻՆՉՊԵՍ ՆԱԵՎ ՈՐՊԵՍ ԳՐԱՎ ՊԱՀԱՏՎՈՒԹՅԱՆ ՀԱՆՁՆՎԱԾ ԴՐԱՄԱԿԱՆ ՄԻՋՈՑՆԵՐԻ ԵՎ ԱՐԳԵԼԱԴՐՎԱԾ ԴՐԱՄԱԿԱՆ ՄԻՋՈՑՆԵՐԻ ՀԱՇՎԱՌՄԱՆ </w:t>
      </w:r>
      <w:r w:rsidR="00E05588" w:rsidRPr="00E05588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ԵՎ ՏՎՅԱԼՆԵՐԻ ՀՐԱՊԱՐԱԿՄԱՆ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ԿԱՐԳԸ ՍԱՀՄԱՆԵԼՈՒ ՄԱՍԻՆ</w:t>
      </w:r>
    </w:p>
    <w:p w:rsidR="009278F6" w:rsidRPr="008F3A7B" w:rsidRDefault="009278F6" w:rsidP="00E178EF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</w:p>
    <w:p w:rsidR="009278F6" w:rsidRPr="008F3A7B" w:rsidRDefault="00777882" w:rsidP="00E178EF">
      <w:pPr>
        <w:spacing w:after="0" w:line="276" w:lineRule="auto"/>
        <w:ind w:firstLine="630"/>
        <w:contextualSpacing/>
        <w:jc w:val="both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8F3A7B">
        <w:rPr>
          <w:rFonts w:ascii="GHEA Grapalat" w:eastAsia="Times New Roman" w:hAnsi="GHEA Grapalat" w:cs="Sylfaen"/>
          <w:sz w:val="24"/>
          <w:szCs w:val="24"/>
        </w:rPr>
        <w:t xml:space="preserve">Հիմք ընդունելով Հայաստանի Հանրապետության քրեական դատավարության օրենսգրքի 483-րդ հոդվածի 24.1-ին մասը՝ Հայաստանի Հանրապետության կառավարությունը </w:t>
      </w:r>
      <w:r w:rsidRPr="008F3A7B">
        <w:rPr>
          <w:rFonts w:ascii="GHEA Grapalat" w:eastAsia="Times New Roman" w:hAnsi="GHEA Grapalat" w:cs="Sylfaen"/>
          <w:b/>
          <w:i/>
          <w:sz w:val="24"/>
          <w:szCs w:val="24"/>
        </w:rPr>
        <w:t>որոշում է.</w:t>
      </w:r>
    </w:p>
    <w:p w:rsidR="00777882" w:rsidRPr="008F3A7B" w:rsidRDefault="00777882" w:rsidP="00E178EF">
      <w:pPr>
        <w:pStyle w:val="ListParagraph"/>
        <w:numPr>
          <w:ilvl w:val="0"/>
          <w:numId w:val="8"/>
        </w:numPr>
        <w:tabs>
          <w:tab w:val="left" w:pos="1170"/>
        </w:tabs>
        <w:spacing w:after="0" w:line="276" w:lineRule="auto"/>
        <w:ind w:left="0" w:firstLine="630"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sz w:val="24"/>
          <w:szCs w:val="24"/>
          <w:lang w:val="smn-FI"/>
        </w:rPr>
        <w:t xml:space="preserve">Սահմանել </w:t>
      </w:r>
      <w:r w:rsidR="00A9431F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քրեական վարույթներով պետությանը</w:t>
      </w:r>
      <w:r w:rsidR="00C25859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,</w:t>
      </w:r>
      <w:r w:rsidR="00A9431F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համայնքին</w:t>
      </w:r>
      <w:r w:rsidR="00C25859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, ֆիզիկական և իրավաբանական անձանց</w:t>
      </w:r>
      <w:r w:rsidR="00E05588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պատճառված վնասի վերականգնման, </w:t>
      </w:r>
      <w:r w:rsidR="00E178EF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վերականգնված գումարների տնօրինման և </w:t>
      </w:r>
      <w:r w:rsidR="00A9431F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հաշվառման, </w:t>
      </w:r>
      <w:r w:rsidR="00E05588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համապատասխան տվյալների հրապարակման, </w:t>
      </w:r>
      <w:r w:rsidR="00A9431F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ինչպես նաև որպես գրավ </w:t>
      </w:r>
      <w:r w:rsidR="00A36D26">
        <w:rPr>
          <w:rFonts w:ascii="GHEA Grapalat" w:eastAsia="Times New Roman" w:hAnsi="GHEA Grapalat" w:cs="Times New Roman"/>
          <w:sz w:val="24"/>
          <w:szCs w:val="24"/>
          <w:lang w:val="smn-FI"/>
        </w:rPr>
        <w:t>պահատվության հանձնված</w:t>
      </w:r>
      <w:r w:rsidR="00A36D26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="00970C46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դրամական միջոցներ</w:t>
      </w:r>
      <w:r w:rsidR="004413C1">
        <w:rPr>
          <w:rFonts w:ascii="GHEA Grapalat" w:eastAsia="Times New Roman" w:hAnsi="GHEA Grapalat" w:cs="Times New Roman"/>
          <w:sz w:val="24"/>
          <w:szCs w:val="24"/>
          <w:lang w:val="smn-FI"/>
        </w:rPr>
        <w:t>ի</w:t>
      </w:r>
      <w:r w:rsidR="00970C46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="00A9431F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և արգելադրված դրամական միջոցների հաշվառման</w:t>
      </w:r>
      <w:r w:rsidR="00E05588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="00E05588" w:rsidRPr="00455346">
        <w:rPr>
          <w:rFonts w:ascii="GHEA Grapalat" w:eastAsia="Times New Roman" w:hAnsi="GHEA Grapalat" w:cs="Times New Roman"/>
          <w:sz w:val="24"/>
          <w:szCs w:val="24"/>
          <w:lang w:val="smn-FI"/>
        </w:rPr>
        <w:t>հաշվառման</w:t>
      </w:r>
      <w:r w:rsidR="00E05588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և տվյալների հրապարակման</w:t>
      </w:r>
      <w:r w:rsidR="00A9431F"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կարգը</w:t>
      </w:r>
      <w:r w:rsidR="00A9431F" w:rsidRPr="008F3A7B">
        <w:rPr>
          <w:rFonts w:ascii="GHEA Grapalat" w:eastAsia="Times New Roman" w:hAnsi="GHEA Grapalat" w:cs="Sylfaen"/>
          <w:sz w:val="24"/>
          <w:szCs w:val="24"/>
          <w:lang w:val="smn-FI"/>
        </w:rPr>
        <w:t>՝ համաձայն հավելվածի:</w:t>
      </w:r>
    </w:p>
    <w:p w:rsidR="00E178EF" w:rsidRPr="008F3A7B" w:rsidRDefault="00E178EF" w:rsidP="00E178EF">
      <w:pPr>
        <w:pStyle w:val="ListParagraph"/>
        <w:numPr>
          <w:ilvl w:val="0"/>
          <w:numId w:val="8"/>
        </w:numPr>
        <w:tabs>
          <w:tab w:val="left" w:pos="720"/>
        </w:tabs>
        <w:spacing w:after="0" w:line="276" w:lineRule="auto"/>
        <w:ind w:left="0"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F3A7B">
        <w:rPr>
          <w:rFonts w:ascii="GHEA Grapalat" w:hAnsi="GHEA Grapalat" w:cs="Sylfaen"/>
          <w:sz w:val="24"/>
          <w:szCs w:val="24"/>
        </w:rPr>
        <w:t>Սույն</w:t>
      </w:r>
      <w:r w:rsidRPr="008F3A7B">
        <w:rPr>
          <w:rFonts w:ascii="GHEA Grapalat" w:hAnsi="GHEA Grapalat"/>
          <w:sz w:val="24"/>
          <w:szCs w:val="24"/>
        </w:rPr>
        <w:t xml:space="preserve"> որոշումն ուժի մեջ մտնելուց հետո՝ տասնօրյա ժամկետում, Հայաստանի Հանրապետության կենտրոնական բանկը մշակում է </w:t>
      </w:r>
      <w:r w:rsidRPr="008F3A7B">
        <w:rPr>
          <w:rFonts w:ascii="GHEA Grapalat" w:hAnsi="GHEA Grapalat"/>
          <w:b/>
          <w:sz w:val="24"/>
          <w:szCs w:val="24"/>
          <w:lang w:val="hy-AM"/>
        </w:rPr>
        <w:t>մեկ միասնական գանձապետական հաշվեհամարին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 xml:space="preserve">կամ դատախազության կողմից վարվող դեպոզիտային հաշվին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վճարումներ </w:t>
      </w:r>
      <w:r w:rsidRPr="008F3A7B">
        <w:rPr>
          <w:rFonts w:ascii="GHEA Grapalat" w:hAnsi="GHEA Grapalat"/>
          <w:sz w:val="24"/>
          <w:szCs w:val="24"/>
        </w:rPr>
        <w:t xml:space="preserve">ընդունելու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վճարման անդորրագրի օրինակելի ձև և շրջաբերականով </w:t>
      </w:r>
      <w:r w:rsidRPr="008F3A7B">
        <w:rPr>
          <w:rFonts w:ascii="GHEA Grapalat" w:hAnsi="GHEA Grapalat"/>
          <w:sz w:val="24"/>
          <w:szCs w:val="24"/>
        </w:rPr>
        <w:t xml:space="preserve">ուղարկում  </w:t>
      </w:r>
      <w:r w:rsidRPr="008F3A7B">
        <w:rPr>
          <w:rFonts w:ascii="GHEA Grapalat" w:hAnsi="GHEA Grapalat"/>
          <w:sz w:val="24"/>
          <w:szCs w:val="24"/>
          <w:lang w:val="hy-AM"/>
        </w:rPr>
        <w:t>բոլոր առևտրային բանկերին: Նշված անդորրագիրը պարտադիր պետք է ներառի նախաքննական մարմնի անվանումը, վարույթի համարը, մեղադրյալի տվյալները (առկայության դեպքում), վճարման նպատակը:</w:t>
      </w:r>
    </w:p>
    <w:p w:rsidR="00E178EF" w:rsidRPr="00751A83" w:rsidRDefault="00E178EF" w:rsidP="00E178EF">
      <w:pPr>
        <w:pStyle w:val="ListParagraph"/>
        <w:numPr>
          <w:ilvl w:val="0"/>
          <w:numId w:val="8"/>
        </w:numPr>
        <w:tabs>
          <w:tab w:val="left" w:pos="0"/>
          <w:tab w:val="left" w:pos="1080"/>
        </w:tabs>
        <w:spacing w:after="0" w:line="276" w:lineRule="auto"/>
        <w:ind w:left="0"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F3A7B">
        <w:rPr>
          <w:rFonts w:ascii="GHEA Grapalat" w:hAnsi="GHEA Grapalat"/>
          <w:sz w:val="24"/>
          <w:szCs w:val="24"/>
        </w:rPr>
        <w:t xml:space="preserve">Սույն որոշումն ուժի մեջ մտնելուց հետո՝ տասնօրյա ժամկետում, </w:t>
      </w:r>
      <w:r w:rsidRPr="008F3A7B">
        <w:rPr>
          <w:rFonts w:ascii="GHEA Grapalat" w:hAnsi="GHEA Grapalat"/>
          <w:sz w:val="24"/>
          <w:szCs w:val="24"/>
          <w:lang w:val="hy-AM"/>
        </w:rPr>
        <w:t>պետությանը և համայնքներին պատճառված վնասների վերականգնման նպատակով Հ</w:t>
      </w:r>
      <w:r w:rsidRPr="008F3A7B">
        <w:rPr>
          <w:rFonts w:ascii="GHEA Grapalat" w:hAnsi="GHEA Grapalat"/>
          <w:sz w:val="24"/>
          <w:szCs w:val="24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դատախազության, նախկին Հ</w:t>
      </w:r>
      <w:r w:rsidRPr="008F3A7B">
        <w:rPr>
          <w:rFonts w:ascii="GHEA Grapalat" w:hAnsi="GHEA Grapalat"/>
          <w:sz w:val="24"/>
          <w:szCs w:val="24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հատուկ քննչական ծառայության, Հ</w:t>
      </w:r>
      <w:r w:rsidRPr="008F3A7B">
        <w:rPr>
          <w:rFonts w:ascii="GHEA Grapalat" w:hAnsi="GHEA Grapalat"/>
          <w:sz w:val="24"/>
          <w:szCs w:val="24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քննչական կոմիտեի դեպոզիտային հաշվիվներին վճարված գումարները,</w:t>
      </w:r>
      <w:r w:rsidRPr="008F3A7B">
        <w:rPr>
          <w:rFonts w:ascii="GHEA Grapalat" w:hAnsi="GHEA Grapalat"/>
          <w:sz w:val="24"/>
          <w:szCs w:val="24"/>
        </w:rPr>
        <w:t xml:space="preserve">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հաշվեհամարում առկա </w:t>
      </w:r>
      <w:r w:rsidRPr="008F3A7B">
        <w:rPr>
          <w:rFonts w:ascii="GHEA Grapalat" w:hAnsi="GHEA Grapalat"/>
          <w:sz w:val="24"/>
          <w:szCs w:val="24"/>
          <w:lang w:val="hy-AM"/>
        </w:rPr>
        <w:lastRenderedPageBreak/>
        <w:t>գումարները, Հ</w:t>
      </w:r>
      <w:r w:rsidRPr="008F3A7B">
        <w:rPr>
          <w:rFonts w:ascii="GHEA Grapalat" w:hAnsi="GHEA Grapalat"/>
          <w:sz w:val="24"/>
          <w:szCs w:val="24"/>
        </w:rPr>
        <w:t xml:space="preserve">այաստանի </w:t>
      </w:r>
      <w:r w:rsidRPr="00751A83">
        <w:rPr>
          <w:rFonts w:ascii="GHEA Grapalat" w:hAnsi="GHEA Grapalat"/>
          <w:sz w:val="24"/>
          <w:szCs w:val="24"/>
          <w:lang w:val="hy-AM"/>
        </w:rPr>
        <w:t>Հ</w:t>
      </w:r>
      <w:r w:rsidRPr="00751A83">
        <w:rPr>
          <w:rFonts w:ascii="GHEA Grapalat" w:hAnsi="GHEA Grapalat"/>
          <w:sz w:val="24"/>
          <w:szCs w:val="24"/>
        </w:rPr>
        <w:t>անրապետության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կենտրոնական բանկում ի պահ հանձնված գումարները և Հ</w:t>
      </w:r>
      <w:r w:rsidRPr="00751A83">
        <w:rPr>
          <w:rFonts w:ascii="GHEA Grapalat" w:hAnsi="GHEA Grapalat"/>
          <w:sz w:val="24"/>
          <w:szCs w:val="24"/>
        </w:rPr>
        <w:t xml:space="preserve">այաստանի </w:t>
      </w:r>
      <w:r w:rsidRPr="00751A83">
        <w:rPr>
          <w:rFonts w:ascii="GHEA Grapalat" w:hAnsi="GHEA Grapalat"/>
          <w:sz w:val="24"/>
          <w:szCs w:val="24"/>
          <w:lang w:val="hy-AM"/>
        </w:rPr>
        <w:t>Հ</w:t>
      </w:r>
      <w:r w:rsidRPr="00751A83">
        <w:rPr>
          <w:rFonts w:ascii="GHEA Grapalat" w:hAnsi="GHEA Grapalat"/>
          <w:sz w:val="24"/>
          <w:szCs w:val="24"/>
        </w:rPr>
        <w:t>անրապետության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ծառայության քննչական դեպարտամենտում </w:t>
      </w:r>
      <w:r w:rsidRPr="00751A83">
        <w:rPr>
          <w:rFonts w:ascii="GHEA Grapalat" w:hAnsi="GHEA Grapalat"/>
          <w:sz w:val="24"/>
          <w:szCs w:val="24"/>
        </w:rPr>
        <w:t>քննված/</w:t>
      </w:r>
      <w:r w:rsidRPr="00751A83">
        <w:rPr>
          <w:rFonts w:ascii="GHEA Grapalat" w:hAnsi="GHEA Grapalat"/>
          <w:sz w:val="24"/>
          <w:szCs w:val="24"/>
          <w:lang w:val="hy-AM"/>
        </w:rPr>
        <w:t>քննվող գործերով</w:t>
      </w:r>
      <w:r w:rsidRPr="00751A83">
        <w:rPr>
          <w:rFonts w:ascii="GHEA Grapalat" w:hAnsi="GHEA Grapalat"/>
          <w:sz w:val="24"/>
          <w:szCs w:val="24"/>
        </w:rPr>
        <w:t>/վարույթներով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վերականգնված և փաստացի Հ</w:t>
      </w:r>
      <w:r w:rsidRPr="00751A83">
        <w:rPr>
          <w:rFonts w:ascii="GHEA Grapalat" w:hAnsi="GHEA Grapalat"/>
          <w:sz w:val="24"/>
          <w:szCs w:val="24"/>
        </w:rPr>
        <w:t xml:space="preserve">այաստանի </w:t>
      </w:r>
      <w:r w:rsidRPr="00751A83">
        <w:rPr>
          <w:rFonts w:ascii="GHEA Grapalat" w:hAnsi="GHEA Grapalat"/>
          <w:sz w:val="24"/>
          <w:szCs w:val="24"/>
          <w:lang w:val="hy-AM"/>
        </w:rPr>
        <w:t>Հ</w:t>
      </w:r>
      <w:r w:rsidRPr="00751A83">
        <w:rPr>
          <w:rFonts w:ascii="GHEA Grapalat" w:hAnsi="GHEA Grapalat"/>
          <w:sz w:val="24"/>
          <w:szCs w:val="24"/>
        </w:rPr>
        <w:t>անրապետության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ծառայությունում գտնվող գումարները ինչպես նաև այն գումարները, որոնց ծագման աղբյուրը օբյեկտիվորեն հնարավոր չէ պարզել, ենթակա են փոխանցման պետությանը պատճառված վնասի վերականգման մեկ միասնական գանձապետական հաշվեհամարին:</w:t>
      </w:r>
    </w:p>
    <w:p w:rsidR="00E178EF" w:rsidRPr="008F3A7B" w:rsidRDefault="00E178EF" w:rsidP="00E178EF">
      <w:pPr>
        <w:pStyle w:val="ListParagraph"/>
        <w:numPr>
          <w:ilvl w:val="0"/>
          <w:numId w:val="8"/>
        </w:numPr>
        <w:tabs>
          <w:tab w:val="left" w:pos="0"/>
          <w:tab w:val="left" w:pos="1080"/>
        </w:tabs>
        <w:spacing w:after="0" w:line="276" w:lineRule="auto"/>
        <w:ind w:left="0" w:firstLine="63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751A83">
        <w:rPr>
          <w:rFonts w:ascii="GHEA Grapalat" w:hAnsi="GHEA Grapalat"/>
          <w:sz w:val="24"/>
          <w:szCs w:val="24"/>
        </w:rPr>
        <w:t>Սույն որոշումն ուժի մեջ մտնելուց հետո</w:t>
      </w:r>
      <w:r w:rsidRPr="008F3A7B">
        <w:rPr>
          <w:rFonts w:ascii="GHEA Grapalat" w:hAnsi="GHEA Grapalat"/>
          <w:sz w:val="24"/>
          <w:szCs w:val="24"/>
        </w:rPr>
        <w:t xml:space="preserve">՝ տասնօրյա ժամկետում, </w:t>
      </w:r>
      <w:r w:rsidRPr="008F3A7B">
        <w:rPr>
          <w:rFonts w:ascii="GHEA Grapalat" w:hAnsi="GHEA Grapalat"/>
          <w:sz w:val="24"/>
          <w:szCs w:val="24"/>
          <w:lang w:val="hy-AM"/>
        </w:rPr>
        <w:t>նախաքննական մարմինների դեպոզիտ հաշիվներին առկա՝ գույքի արգելադրման կամ որպես գրավ փոխանցված գումարները ենթակա են հաշվանցման ՀՀ դատախազության դեպոզիտ հաշվին:</w:t>
      </w:r>
    </w:p>
    <w:p w:rsidR="00A9431F" w:rsidRPr="008F3A7B" w:rsidRDefault="00A9431F" w:rsidP="00E178EF">
      <w:pPr>
        <w:pStyle w:val="ListParagraph"/>
        <w:numPr>
          <w:ilvl w:val="0"/>
          <w:numId w:val="8"/>
        </w:numPr>
        <w:tabs>
          <w:tab w:val="left" w:pos="1170"/>
        </w:tabs>
        <w:spacing w:after="0" w:line="276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Սույն որոշումն ուժի մեջ է մտնում պաշտոնական հրապարակմանը հաջորդող օրվանից:</w:t>
      </w:r>
    </w:p>
    <w:p w:rsidR="009278F6" w:rsidRPr="008F3A7B" w:rsidRDefault="009278F6" w:rsidP="00E178EF">
      <w:pPr>
        <w:spacing w:after="0" w:line="276" w:lineRule="auto"/>
        <w:ind w:firstLine="63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</w:p>
    <w:p w:rsidR="009278F6" w:rsidRPr="008F3A7B" w:rsidRDefault="009278F6" w:rsidP="00E178EF">
      <w:pPr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</w:p>
    <w:p w:rsidR="009278F6" w:rsidRPr="008F3A7B" w:rsidRDefault="009278F6" w:rsidP="00E178EF">
      <w:pPr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</w:p>
    <w:p w:rsidR="009278F6" w:rsidRPr="008F3A7B" w:rsidRDefault="009278F6" w:rsidP="00E178EF">
      <w:pPr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</w:p>
    <w:p w:rsidR="00A9431F" w:rsidRPr="008F3A7B" w:rsidRDefault="00A9431F" w:rsidP="00E178EF">
      <w:pPr>
        <w:spacing w:line="276" w:lineRule="auto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br w:type="page"/>
      </w:r>
    </w:p>
    <w:p w:rsidR="00A9431F" w:rsidRPr="00E847EE" w:rsidRDefault="00A9431F" w:rsidP="00E178EF">
      <w:pPr>
        <w:spacing w:line="276" w:lineRule="auto"/>
        <w:ind w:left="666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Հավելված</w:t>
      </w:r>
    </w:p>
    <w:p w:rsidR="00A9431F" w:rsidRPr="00E847EE" w:rsidRDefault="00A9431F" w:rsidP="00E178EF">
      <w:pPr>
        <w:spacing w:line="276" w:lineRule="auto"/>
        <w:ind w:left="666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ՀՀ կառավարության 2023 թվականի </w:t>
      </w:r>
      <w:r w:rsidR="00E847EE"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t>մարտի</w:t>
      </w: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-ի N   - Ն որոշման</w:t>
      </w:r>
    </w:p>
    <w:p w:rsidR="00A9431F" w:rsidRPr="00E847EE" w:rsidRDefault="00A9431F" w:rsidP="00E178EF">
      <w:pPr>
        <w:spacing w:line="276" w:lineRule="auto"/>
        <w:ind w:left="720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A9431F" w:rsidRPr="008F3A7B" w:rsidRDefault="00A9431F" w:rsidP="00E178EF">
      <w:pPr>
        <w:spacing w:line="276" w:lineRule="auto"/>
        <w:ind w:firstLine="720"/>
        <w:jc w:val="center"/>
        <w:rPr>
          <w:rFonts w:ascii="GHEA Grapalat" w:eastAsia="Times New Roman" w:hAnsi="GHEA Grapalat" w:cs="Times New Roman"/>
          <w:b/>
          <w:sz w:val="28"/>
          <w:szCs w:val="28"/>
          <w:lang w:val="af-ZA"/>
        </w:rPr>
      </w:pPr>
      <w:r w:rsidRPr="008F3A7B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>ԿԱՐԳ</w:t>
      </w:r>
    </w:p>
    <w:p w:rsidR="00A9431F" w:rsidRDefault="00E05588" w:rsidP="00E178EF">
      <w:pPr>
        <w:spacing w:line="276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ՔՐԵԱԿԱՆ ՎԱՐՈՒՅԹՆԵՐՈՎ ՊԵՏՈՒԹՅԱՆԸ, ՀԱՄԱՅՆՔԻՆ, ՖԻԶԻԿԱԿԱՆ ԵՎ ԻՐԱՎԱԲԱՆԱԿԱՆ ԱՆՁԱՆՑ </w:t>
      </w:r>
      <w:r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ՊԱՏՃԱՌՎԱԾ ՎՆԱՍԻ ՎԵՐԱԿԱՆԳՆՄԱՆ, </w:t>
      </w:r>
      <w:r w:rsidR="00E178EF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ՎԵՐԱԿԱՆԳՆՎԱԾ ԳՈՒՄԱՐՆԵՐԻ ՏՆՕՐԻՆՄԱՆ ԵՎ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ՀԱՇՎԱՌՄԱՆ, </w:t>
      </w:r>
      <w:r w:rsidRPr="00E05588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ՀԱՄԱՊԱՏԱՍԽԱՆ ՏՎՅԱԼՆԵՐԻ ՀՐԱՊԱՐԱԿՄԱՆ,</w:t>
      </w:r>
      <w:r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ԻՆՉՊԵՍ ՆԱԵՎ ՈՐՊԵՍ ԳՐԱՎ ՊԱՀԱՏՎՈՒԹՅԱՆ ՀԱՆՁՆՎԱԾ ԴՐԱՄԱԿԱՆ ՄԻՋՈՑՆԵՐԻ ԵՎ ԱՐԳԵԼԱԴՐՎԱԾ ԴՐԱՄԱԿԱՆ ՄԻՋՈՑՆԵՐԻ ՀԱՇՎԱՌՄԱՆ </w:t>
      </w:r>
      <w:r w:rsidRPr="00E05588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ԵՎ ՏՎՅԱԼՆԵՐԻ ՀՐԱՊԱՐԱԿՄԱՆ</w:t>
      </w:r>
    </w:p>
    <w:p w:rsidR="00E05588" w:rsidRPr="008F3A7B" w:rsidRDefault="00E05588" w:rsidP="00E178EF">
      <w:pPr>
        <w:spacing w:line="276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:rsidR="00FA15F1" w:rsidRPr="008F3A7B" w:rsidRDefault="00970C46" w:rsidP="00E178EF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ՊԵՏՈՒԹՅԱՆԸ</w:t>
      </w:r>
      <w:r w:rsidR="00C25859"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,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C25859"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ՀԱՄԱՅՆՔԻՆ, ՖԻԶԻԿԱԿԱՆ ԵՎ ԻՐԱՎԱԲԱՆԱԿԱՆ ԱՆՁԱՆՑ</w:t>
      </w:r>
      <w:r w:rsidR="00C25859"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ՊԱՏՃԱՌՎԱԾ ՎՆԱՍԻ ՎԵՐԱԿԱՆԳՆՈՒՄԸ, </w:t>
      </w:r>
      <w:r w:rsidR="00E178EF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ՎԵՐԱԿԱՆԳՆՎԱԾ ԳՈՒՄԱՐՆԵՐԻ ՏՆՕՐԻՆՈՒՄԸ ԵՎ 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ՈՐՊԵՍ ԳՐԱՎ ԴՐԱՄԱԿԱՆ ՄԻՋՈՑՆԵՐԸ ՊԱՀԱՏՎՈՒԹՅԱՆ ՀԱՆՁՆԵԼԸ ԵՎ ԱՐԳԵԼԱԴՐՎԱԾ ԴՐԱՄԱԿԱՆ ՄԻՋՈՑՆԵՐԻ ՄՈՒԾՈՒՄԸ</w:t>
      </w:r>
    </w:p>
    <w:p w:rsidR="00970C46" w:rsidRPr="008F3A7B" w:rsidRDefault="00970C46" w:rsidP="00E178EF">
      <w:pPr>
        <w:pStyle w:val="ListParagraph"/>
        <w:tabs>
          <w:tab w:val="left" w:pos="1080"/>
        </w:tabs>
        <w:spacing w:line="276" w:lineRule="auto"/>
        <w:ind w:left="1440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5535B3" w:rsidRPr="00E05588" w:rsidRDefault="00CA7912" w:rsidP="00E178EF">
      <w:pPr>
        <w:pStyle w:val="ListParagraph"/>
        <w:numPr>
          <w:ilvl w:val="0"/>
          <w:numId w:val="9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F3A7B">
        <w:rPr>
          <w:rFonts w:ascii="GHEA Grapalat" w:hAnsi="GHEA Grapalat" w:cs="Sylfaen"/>
          <w:sz w:val="24"/>
          <w:szCs w:val="24"/>
        </w:rPr>
        <w:t>Ք</w:t>
      </w:r>
      <w:r w:rsidRPr="008F3A7B">
        <w:rPr>
          <w:rFonts w:ascii="GHEA Grapalat" w:hAnsi="GHEA Grapalat" w:cs="Sylfaen"/>
          <w:sz w:val="24"/>
          <w:szCs w:val="24"/>
          <w:lang w:val="hy-AM"/>
        </w:rPr>
        <w:t>րեական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5B3" w:rsidRPr="008F3A7B">
        <w:rPr>
          <w:rFonts w:ascii="GHEA Grapalat" w:hAnsi="GHEA Grapalat"/>
          <w:sz w:val="24"/>
          <w:szCs w:val="24"/>
        </w:rPr>
        <w:t>վարույթներով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պետությանը և համայնքներին պատճառված վնասների վերականգնման նպատակով գումարները վճարվում են պետությանը պատճառված վնասի վերականգման՝ Հ</w:t>
      </w:r>
      <w:r w:rsidRPr="008F3A7B">
        <w:rPr>
          <w:rFonts w:ascii="GHEA Grapalat" w:hAnsi="GHEA Grapalat"/>
          <w:sz w:val="24"/>
          <w:szCs w:val="24"/>
        </w:rPr>
        <w:t xml:space="preserve">այաստանի Հանրապետության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կողմից վարվող մեկ միասնական գանձապետական հաշվեհամարին:</w:t>
      </w:r>
      <w:r w:rsidR="00E0558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 xml:space="preserve">Հայաստանի Հանրապետության քրեական օրենսգրքի </w:t>
      </w:r>
      <w:r w:rsidR="00983BD7" w:rsidRPr="00E05588">
        <w:rPr>
          <w:rFonts w:ascii="GHEA Grapalat" w:hAnsi="GHEA Grapalat"/>
          <w:sz w:val="24"/>
          <w:szCs w:val="24"/>
        </w:rPr>
        <w:t xml:space="preserve">285-րդ, 286-րդ, 288-րդ կամ </w:t>
      </w:r>
      <w:r w:rsidR="005535B3" w:rsidRPr="00E05588">
        <w:rPr>
          <w:rFonts w:ascii="GHEA Grapalat" w:hAnsi="GHEA Grapalat"/>
          <w:sz w:val="24"/>
          <w:szCs w:val="24"/>
        </w:rPr>
        <w:t>290-րդ հոդված</w:t>
      </w:r>
      <w:r w:rsidR="00983BD7" w:rsidRPr="00E05588">
        <w:rPr>
          <w:rFonts w:ascii="GHEA Grapalat" w:hAnsi="GHEA Grapalat"/>
          <w:sz w:val="24"/>
          <w:szCs w:val="24"/>
        </w:rPr>
        <w:t>ներ</w:t>
      </w:r>
      <w:r w:rsidR="005535B3" w:rsidRPr="00E05588">
        <w:rPr>
          <w:rFonts w:ascii="GHEA Grapalat" w:hAnsi="GHEA Grapalat"/>
          <w:sz w:val="24"/>
          <w:szCs w:val="24"/>
        </w:rPr>
        <w:t xml:space="preserve">ով նախատեսված հանցանքի հատկանիշներով հարուցված քրեական վարույթներով պետությանը պատճառված վնասը վերականգնվում </w:t>
      </w:r>
      <w:r w:rsidR="00983BD7" w:rsidRPr="00E05588">
        <w:rPr>
          <w:rFonts w:ascii="GHEA Grapalat" w:hAnsi="GHEA Grapalat"/>
          <w:sz w:val="24"/>
          <w:szCs w:val="24"/>
        </w:rPr>
        <w:t>է կամ</w:t>
      </w:r>
      <w:r w:rsidR="00745CB2" w:rsidRPr="00E05588">
        <w:rPr>
          <w:rFonts w:ascii="GHEA Grapalat" w:hAnsi="GHEA Grapalat"/>
          <w:sz w:val="24"/>
          <w:szCs w:val="24"/>
        </w:rPr>
        <w:t xml:space="preserve"> հարկ վճարողի միասնական հաշվին կամ </w:t>
      </w:r>
      <w:r w:rsidR="00745CB2" w:rsidRPr="00E05588">
        <w:rPr>
          <w:rFonts w:ascii="GHEA Grapalat" w:hAnsi="GHEA Grapalat"/>
          <w:sz w:val="24"/>
          <w:szCs w:val="24"/>
          <w:lang w:val="hy-AM"/>
        </w:rPr>
        <w:t>Հ</w:t>
      </w:r>
      <w:r w:rsidR="00745CB2" w:rsidRPr="00E05588">
        <w:rPr>
          <w:rFonts w:ascii="GHEA Grapalat" w:hAnsi="GHEA Grapalat"/>
          <w:sz w:val="24"/>
          <w:szCs w:val="24"/>
        </w:rPr>
        <w:t xml:space="preserve">այաստանի Հանրապետության </w:t>
      </w:r>
      <w:r w:rsidR="00745CB2" w:rsidRPr="00E05588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կողմից վարվող մեկ միասնական գանձապետական հաշվեհամարին</w:t>
      </w:r>
      <w:r w:rsidR="00745CB2" w:rsidRPr="00E05588">
        <w:rPr>
          <w:rFonts w:ascii="GHEA Grapalat" w:hAnsi="GHEA Grapalat"/>
          <w:sz w:val="24"/>
          <w:szCs w:val="24"/>
        </w:rPr>
        <w:t>:</w:t>
      </w:r>
    </w:p>
    <w:p w:rsidR="008F3A7B" w:rsidRPr="00751A83" w:rsidRDefault="00C25859" w:rsidP="00E178EF">
      <w:pPr>
        <w:pStyle w:val="ListParagraph"/>
        <w:numPr>
          <w:ilvl w:val="0"/>
          <w:numId w:val="9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F3A7B">
        <w:rPr>
          <w:rFonts w:ascii="GHEA Grapalat" w:hAnsi="GHEA Grapalat" w:cs="Sylfaen"/>
          <w:sz w:val="24"/>
          <w:szCs w:val="24"/>
        </w:rPr>
        <w:t>Ք</w:t>
      </w:r>
      <w:r w:rsidRPr="008F3A7B">
        <w:rPr>
          <w:rFonts w:ascii="GHEA Grapalat" w:hAnsi="GHEA Grapalat" w:cs="Sylfaen"/>
          <w:sz w:val="24"/>
          <w:szCs w:val="24"/>
          <w:lang w:val="hy-AM"/>
        </w:rPr>
        <w:t>րեական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5B3" w:rsidRPr="008F3A7B">
        <w:rPr>
          <w:rFonts w:ascii="GHEA Grapalat" w:hAnsi="GHEA Grapalat"/>
          <w:sz w:val="24"/>
          <w:szCs w:val="24"/>
        </w:rPr>
        <w:t>վարույթներով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մինչդատական վարույթի փուլում </w:t>
      </w:r>
      <w:r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ֆիզիկական և իրավաբանական անձանց պատճառված վնասի վերականգնման</w:t>
      </w:r>
      <w:r w:rsidRPr="008F3A7B">
        <w:rPr>
          <w:rFonts w:ascii="GHEA Grapalat" w:hAnsi="GHEA Grapalat"/>
          <w:sz w:val="24"/>
          <w:szCs w:val="24"/>
        </w:rPr>
        <w:t xml:space="preserve"> նպատակով գումարները, ո</w:t>
      </w:r>
      <w:r w:rsidR="00CA7912" w:rsidRPr="008F3A7B">
        <w:rPr>
          <w:rFonts w:ascii="GHEA Grapalat" w:hAnsi="GHEA Grapalat"/>
          <w:sz w:val="24"/>
          <w:szCs w:val="24"/>
        </w:rPr>
        <w:t>րպես գույք արգելադրված Հայաստանի Հանրապետության դրամը</w:t>
      </w:r>
      <w:r w:rsidR="008C1999" w:rsidRPr="008F3A7B">
        <w:rPr>
          <w:rFonts w:ascii="GHEA Grapalat" w:hAnsi="GHEA Grapalat"/>
          <w:sz w:val="24"/>
          <w:szCs w:val="24"/>
        </w:rPr>
        <w:t xml:space="preserve"> մուծվում </w:t>
      </w:r>
      <w:r w:rsidRPr="008F3A7B">
        <w:rPr>
          <w:rFonts w:ascii="GHEA Grapalat" w:hAnsi="GHEA Grapalat"/>
          <w:sz w:val="24"/>
          <w:szCs w:val="24"/>
        </w:rPr>
        <w:t>են</w:t>
      </w:r>
      <w:r w:rsidR="008C1999" w:rsidRPr="008F3A7B">
        <w:rPr>
          <w:rFonts w:ascii="GHEA Grapalat" w:hAnsi="GHEA Grapalat"/>
          <w:sz w:val="24"/>
          <w:szCs w:val="24"/>
        </w:rPr>
        <w:t>, իսկ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 xml:space="preserve"> որպես գրավ</w:t>
      </w:r>
      <w:r w:rsidR="008C1999" w:rsidRPr="008F3A7B">
        <w:rPr>
          <w:rFonts w:ascii="GHEA Grapalat" w:hAnsi="GHEA Grapalat"/>
          <w:sz w:val="24"/>
          <w:szCs w:val="24"/>
        </w:rPr>
        <w:t>՝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999" w:rsidRPr="008F3A7B">
        <w:rPr>
          <w:rFonts w:ascii="GHEA Grapalat" w:hAnsi="GHEA Grapalat"/>
          <w:sz w:val="24"/>
          <w:szCs w:val="24"/>
        </w:rPr>
        <w:t xml:space="preserve">դրամական միջոցները պահատվության են 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999" w:rsidRPr="008F3A7B">
        <w:rPr>
          <w:rFonts w:ascii="GHEA Grapalat" w:hAnsi="GHEA Grapalat"/>
          <w:sz w:val="24"/>
          <w:szCs w:val="24"/>
        </w:rPr>
        <w:t xml:space="preserve">հանձնվում 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>Հ</w:t>
      </w:r>
      <w:r w:rsidR="008C1999" w:rsidRPr="008F3A7B">
        <w:rPr>
          <w:rFonts w:ascii="GHEA Grapalat" w:hAnsi="GHEA Grapalat"/>
          <w:sz w:val="24"/>
          <w:szCs w:val="24"/>
        </w:rPr>
        <w:t xml:space="preserve">այաստանի 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>Հ</w:t>
      </w:r>
      <w:r w:rsidR="008C1999" w:rsidRPr="008F3A7B">
        <w:rPr>
          <w:rFonts w:ascii="GHEA Grapalat" w:hAnsi="GHEA Grapalat"/>
          <w:sz w:val="24"/>
          <w:szCs w:val="24"/>
        </w:rPr>
        <w:t>անրապետության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 դեպոզիտ </w:t>
      </w:r>
      <w:r w:rsidR="008C1999" w:rsidRPr="008F3A7B">
        <w:rPr>
          <w:rFonts w:ascii="GHEA Grapalat" w:hAnsi="GHEA Grapalat"/>
          <w:sz w:val="24"/>
          <w:szCs w:val="24"/>
          <w:lang w:val="hy-AM"/>
        </w:rPr>
        <w:t>հաշվին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>:</w:t>
      </w:r>
      <w:r w:rsidR="008F3A7B" w:rsidRPr="008F3A7B">
        <w:rPr>
          <w:rFonts w:ascii="GHEA Grapalat" w:hAnsi="GHEA Grapalat"/>
          <w:sz w:val="24"/>
          <w:szCs w:val="24"/>
        </w:rPr>
        <w:t xml:space="preserve"> </w:t>
      </w:r>
      <w:r w:rsidR="008F3A7B">
        <w:rPr>
          <w:rFonts w:ascii="GHEA Grapalat" w:hAnsi="GHEA Grapalat"/>
          <w:sz w:val="24"/>
          <w:szCs w:val="24"/>
        </w:rPr>
        <w:t xml:space="preserve">Դատական վարույթի փուլում </w:t>
      </w:r>
      <w:r w:rsidR="008F3A7B" w:rsidRPr="008F3A7B">
        <w:rPr>
          <w:rFonts w:ascii="GHEA Grapalat" w:hAnsi="GHEA Grapalat"/>
          <w:sz w:val="24"/>
          <w:szCs w:val="24"/>
        </w:rPr>
        <w:t xml:space="preserve">որպես գույք արգելադրված Հայաստանի Հանրապետության դրամը </w:t>
      </w:r>
      <w:r w:rsidR="008F3A7B" w:rsidRPr="00751A83">
        <w:rPr>
          <w:rFonts w:ascii="GHEA Grapalat" w:hAnsi="GHEA Grapalat"/>
          <w:sz w:val="24"/>
          <w:szCs w:val="24"/>
        </w:rPr>
        <w:t>մուծվում են, իսկ</w:t>
      </w:r>
      <w:r w:rsidR="008F3A7B" w:rsidRPr="00751A83">
        <w:rPr>
          <w:rFonts w:ascii="GHEA Grapalat" w:hAnsi="GHEA Grapalat"/>
          <w:sz w:val="24"/>
          <w:szCs w:val="24"/>
          <w:lang w:val="hy-AM"/>
        </w:rPr>
        <w:t xml:space="preserve"> որպես գրավ</w:t>
      </w:r>
      <w:r w:rsidR="008F3A7B" w:rsidRPr="00751A83">
        <w:rPr>
          <w:rFonts w:ascii="GHEA Grapalat" w:hAnsi="GHEA Grapalat"/>
          <w:sz w:val="24"/>
          <w:szCs w:val="24"/>
        </w:rPr>
        <w:t>՝</w:t>
      </w:r>
      <w:r w:rsidR="008F3A7B" w:rsidRPr="00751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 xml:space="preserve">դրամական միջոցները պահատվության են </w:t>
      </w:r>
      <w:r w:rsidR="008F3A7B" w:rsidRPr="00751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հանձնվում այն դատարանի դեպոզիտ, որի վարույթում գտնվում է գործը</w:t>
      </w:r>
      <w:r w:rsidR="00CA3D38" w:rsidRPr="00751A83">
        <w:rPr>
          <w:rFonts w:ascii="GHEA Grapalat" w:hAnsi="GHEA Grapalat"/>
          <w:sz w:val="24"/>
          <w:szCs w:val="24"/>
        </w:rPr>
        <w:t>:</w:t>
      </w:r>
    </w:p>
    <w:p w:rsidR="008C1999" w:rsidRPr="00751A83" w:rsidRDefault="008C1999" w:rsidP="00E178EF">
      <w:pPr>
        <w:pStyle w:val="ListParagraph"/>
        <w:numPr>
          <w:ilvl w:val="0"/>
          <w:numId w:val="9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51A83">
        <w:rPr>
          <w:rFonts w:ascii="GHEA Grapalat" w:hAnsi="GHEA Grapalat"/>
          <w:sz w:val="24"/>
          <w:szCs w:val="24"/>
          <w:lang w:val="hy-AM"/>
        </w:rPr>
        <w:lastRenderedPageBreak/>
        <w:t>Պետությանը</w:t>
      </w:r>
      <w:r w:rsidR="00C25859" w:rsidRPr="00751A83">
        <w:rPr>
          <w:rFonts w:ascii="GHEA Grapalat" w:hAnsi="GHEA Grapalat"/>
          <w:sz w:val="24"/>
          <w:szCs w:val="24"/>
        </w:rPr>
        <w:t xml:space="preserve"> և համայնքին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 xml:space="preserve">(ներառյալ՝ </w:t>
      </w:r>
      <w:r w:rsidR="005535B3" w:rsidRPr="00751A83">
        <w:rPr>
          <w:rFonts w:ascii="GHEA Grapalat" w:hAnsi="GHEA Grapalat"/>
          <w:sz w:val="24"/>
          <w:szCs w:val="24"/>
        </w:rPr>
        <w:t>համայնքային, պետական և պետական ոչ առևտրային կազմակերպություններին պատճառված վնասի վերականգնման</w:t>
      </w:r>
      <w:r w:rsidR="00C25859" w:rsidRPr="00751A83">
        <w:rPr>
          <w:rFonts w:ascii="GHEA Grapalat" w:hAnsi="GHEA Grapalat"/>
          <w:sz w:val="24"/>
          <w:szCs w:val="24"/>
        </w:rPr>
        <w:t xml:space="preserve">) </w:t>
      </w:r>
      <w:r w:rsidRPr="00751A83">
        <w:rPr>
          <w:rFonts w:ascii="GHEA Grapalat" w:hAnsi="GHEA Grapalat"/>
          <w:sz w:val="24"/>
          <w:szCs w:val="24"/>
          <w:lang w:val="hy-AM"/>
        </w:rPr>
        <w:t>պատճառված վնասի վերականգման Հ</w:t>
      </w:r>
      <w:r w:rsidRPr="00751A83">
        <w:rPr>
          <w:rFonts w:ascii="GHEA Grapalat" w:hAnsi="GHEA Grapalat"/>
          <w:sz w:val="24"/>
          <w:szCs w:val="24"/>
        </w:rPr>
        <w:t xml:space="preserve">այաստանի Հանրապետության 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</w:t>
      </w:r>
      <w:r w:rsidRPr="00751A83">
        <w:rPr>
          <w:rFonts w:ascii="GHEA Grapalat" w:hAnsi="GHEA Grapalat"/>
          <w:sz w:val="24"/>
          <w:szCs w:val="24"/>
        </w:rPr>
        <w:t xml:space="preserve"> </w:t>
      </w:r>
      <w:r w:rsidRPr="00751A83">
        <w:rPr>
          <w:rFonts w:ascii="GHEA Grapalat" w:hAnsi="GHEA Grapalat"/>
          <w:sz w:val="24"/>
          <w:szCs w:val="24"/>
          <w:lang w:val="hy-AM"/>
        </w:rPr>
        <w:t>կողմից վարվող մեկ միասնական գանձապետական հաշվեհամարին</w:t>
      </w:r>
      <w:r w:rsidRPr="00751A83">
        <w:rPr>
          <w:rFonts w:ascii="GHEA Grapalat" w:hAnsi="GHEA Grapalat"/>
          <w:sz w:val="24"/>
          <w:szCs w:val="24"/>
        </w:rPr>
        <w:t xml:space="preserve"> առկա դրամական միջոցները տնօրինում է Հայաստանի </w:t>
      </w:r>
      <w:r w:rsidR="008E3767" w:rsidRPr="00751A83">
        <w:rPr>
          <w:rFonts w:ascii="GHEA Grapalat" w:hAnsi="GHEA Grapalat"/>
          <w:sz w:val="24"/>
          <w:szCs w:val="24"/>
        </w:rPr>
        <w:t>Հանրապետության ֆինանսների նախարարությունը:</w:t>
      </w:r>
    </w:p>
    <w:p w:rsidR="008E3767" w:rsidRPr="00751A83" w:rsidRDefault="008E3767" w:rsidP="00E178EF">
      <w:pPr>
        <w:pStyle w:val="ListParagraph"/>
        <w:numPr>
          <w:ilvl w:val="0"/>
          <w:numId w:val="9"/>
        </w:numPr>
        <w:tabs>
          <w:tab w:val="left" w:pos="72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51A83">
        <w:rPr>
          <w:rFonts w:ascii="GHEA Grapalat" w:hAnsi="GHEA Grapalat"/>
          <w:sz w:val="24"/>
          <w:szCs w:val="24"/>
          <w:lang w:val="hy-AM"/>
        </w:rPr>
        <w:t xml:space="preserve">Կոնկրետ վարույթով անձի ռեաբիլիտացիայի կամ </w:t>
      </w:r>
      <w:r w:rsidRPr="00751A83">
        <w:rPr>
          <w:rFonts w:ascii="GHEA Grapalat" w:hAnsi="GHEA Grapalat"/>
          <w:sz w:val="24"/>
          <w:szCs w:val="24"/>
        </w:rPr>
        <w:t>օրենքով նախատեսված այլ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դեպքերում վերջինիս կողմից մեկ միասնական գանձապետական հաշվեհամարին պետությանը և համայնքներին պատճառված վնասի վերականգնման նպատակով վճարված գումարները ենթակա են վերադարձման պետական բյուջեի միջոցների հաշվին: </w:t>
      </w:r>
      <w:r w:rsidR="00C95D58" w:rsidRPr="00751A83">
        <w:rPr>
          <w:rFonts w:ascii="GHEA Grapalat" w:hAnsi="GHEA Grapalat"/>
          <w:sz w:val="24"/>
          <w:szCs w:val="24"/>
        </w:rPr>
        <w:t>Գ</w:t>
      </w:r>
      <w:r w:rsidRPr="00751A83">
        <w:rPr>
          <w:rFonts w:ascii="GHEA Grapalat" w:hAnsi="GHEA Grapalat" w:cs="Sylfaen"/>
          <w:sz w:val="24"/>
          <w:szCs w:val="24"/>
          <w:lang w:val="hy-AM"/>
        </w:rPr>
        <w:t>ումարների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վերադարձ կատարելիս դիմումին </w:t>
      </w:r>
      <w:r w:rsidR="00C95D58" w:rsidRPr="00751A83">
        <w:rPr>
          <w:rFonts w:ascii="GHEA Grapalat" w:hAnsi="GHEA Grapalat"/>
          <w:sz w:val="24"/>
          <w:szCs w:val="24"/>
        </w:rPr>
        <w:t xml:space="preserve">կցվում </w:t>
      </w:r>
      <w:r w:rsidR="00C25859" w:rsidRPr="00751A83">
        <w:rPr>
          <w:rFonts w:ascii="GHEA Grapalat" w:hAnsi="GHEA Grapalat"/>
          <w:sz w:val="24"/>
          <w:szCs w:val="24"/>
        </w:rPr>
        <w:t>են վնասի վերականգնման նպատակով գումարի վճարումը հավաստող վճարային անդորրագիրը</w:t>
      </w:r>
      <w:r w:rsidR="00BA2C58" w:rsidRPr="00751A83">
        <w:rPr>
          <w:rFonts w:ascii="GHEA Grapalat" w:hAnsi="GHEA Grapalat"/>
          <w:sz w:val="24"/>
          <w:szCs w:val="24"/>
        </w:rPr>
        <w:t>, եզրափակիչ դատավարական ակտը</w:t>
      </w:r>
      <w:r w:rsidR="00C25859" w:rsidRPr="00751A83">
        <w:rPr>
          <w:rFonts w:ascii="GHEA Grapalat" w:hAnsi="GHEA Grapalat"/>
          <w:sz w:val="24"/>
          <w:szCs w:val="24"/>
        </w:rPr>
        <w:t xml:space="preserve"> և 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ՀՀ դատախազության կողմից տրված համապատասխան տեղեկանք՝ պետությանը և համայնքներին պատճառված վնասի վերականգնման նպատակով վճարված գումարների վերադարձման հիմքերի վերաբերյալ:</w:t>
      </w:r>
    </w:p>
    <w:p w:rsidR="00C95D58" w:rsidRPr="00751A83" w:rsidRDefault="00C95D58" w:rsidP="00E178EF">
      <w:pPr>
        <w:pStyle w:val="ListParagraph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51A83">
        <w:rPr>
          <w:rFonts w:ascii="GHEA Grapalat" w:hAnsi="GHEA Grapalat"/>
          <w:sz w:val="24"/>
          <w:szCs w:val="24"/>
          <w:lang w:val="hy-AM"/>
        </w:rPr>
        <w:t xml:space="preserve">Պատճառված վնասի վերականգնման դեպքում տվյալ քրեական վարույթով եզրափակիչ դատական ակտը կամ դատավարական որոշումն օրինական ուժի մեջ մտնելուց հետո պետական բյուջեից հաշվանցում է կատարվում տվյալ համայնքի բյուջե՝ </w:t>
      </w:r>
      <w:r w:rsidRPr="00751A83">
        <w:rPr>
          <w:rFonts w:ascii="GHEA Grapalat" w:hAnsi="GHEA Grapalat"/>
          <w:sz w:val="24"/>
          <w:szCs w:val="24"/>
        </w:rPr>
        <w:t>համայնքին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պատճառված վնասի վերականգնման նպատակով մեկ միասնական գանձապետական հաշվեհամարին վճարված գումարի չափով:</w:t>
      </w:r>
    </w:p>
    <w:p w:rsidR="00C95D58" w:rsidRPr="00751A83" w:rsidRDefault="005535B3" w:rsidP="00E178EF">
      <w:pPr>
        <w:pStyle w:val="ListParagraph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51A83">
        <w:rPr>
          <w:rFonts w:ascii="GHEA Grapalat" w:hAnsi="GHEA Grapalat"/>
          <w:sz w:val="24"/>
          <w:szCs w:val="24"/>
        </w:rPr>
        <w:t xml:space="preserve">Համայնքային, պետական և պետական ոչ առևտրային կազմակերպություններին </w:t>
      </w:r>
      <w:r w:rsidR="00C95D58" w:rsidRPr="00751A83">
        <w:rPr>
          <w:rFonts w:ascii="GHEA Grapalat" w:hAnsi="GHEA Grapalat"/>
          <w:sz w:val="24"/>
          <w:szCs w:val="24"/>
          <w:lang w:val="hy-AM"/>
        </w:rPr>
        <w:t xml:space="preserve">պատճառված վնասի վերականգնման դեպքում տվյալ քրեական վարույթով եզրափակիչ դատական ակտը կամ դատավարական որոշումն օրինական ուժի մեջ մտնելուց հետո հսկող դատախազը </w:t>
      </w:r>
      <w:r w:rsidR="00C95D58" w:rsidRPr="00751A83">
        <w:rPr>
          <w:rFonts w:ascii="GHEA Grapalat" w:hAnsi="GHEA Grapalat"/>
          <w:sz w:val="24"/>
          <w:szCs w:val="24"/>
        </w:rPr>
        <w:t>տասնօրյա ժամկետում</w:t>
      </w:r>
      <w:r w:rsidR="00C95D58" w:rsidRPr="00751A83">
        <w:rPr>
          <w:rFonts w:ascii="GHEA Grapalat" w:hAnsi="GHEA Grapalat"/>
          <w:sz w:val="24"/>
          <w:szCs w:val="24"/>
          <w:lang w:val="hy-AM"/>
        </w:rPr>
        <w:t xml:space="preserve"> գրություն է ուղարկում Հ</w:t>
      </w:r>
      <w:r w:rsidR="00C95D58" w:rsidRPr="00751A83">
        <w:rPr>
          <w:rFonts w:ascii="GHEA Grapalat" w:hAnsi="GHEA Grapalat"/>
          <w:sz w:val="24"/>
          <w:szCs w:val="24"/>
        </w:rPr>
        <w:t xml:space="preserve">այաստանի </w:t>
      </w:r>
      <w:r w:rsidR="00C95D58" w:rsidRPr="00751A83">
        <w:rPr>
          <w:rFonts w:ascii="GHEA Grapalat" w:hAnsi="GHEA Grapalat"/>
          <w:sz w:val="24"/>
          <w:szCs w:val="24"/>
          <w:lang w:val="hy-AM"/>
        </w:rPr>
        <w:t>Հ</w:t>
      </w:r>
      <w:r w:rsidR="00C95D58" w:rsidRPr="00751A83">
        <w:rPr>
          <w:rFonts w:ascii="GHEA Grapalat" w:hAnsi="GHEA Grapalat"/>
          <w:sz w:val="24"/>
          <w:szCs w:val="24"/>
        </w:rPr>
        <w:t>անրապետության</w:t>
      </w:r>
      <w:r w:rsidR="00C95D58" w:rsidRPr="00751A83">
        <w:rPr>
          <w:rFonts w:ascii="GHEA Grapalat" w:hAnsi="GHEA Grapalat"/>
          <w:sz w:val="24"/>
          <w:szCs w:val="24"/>
          <w:lang w:val="hy-AM"/>
        </w:rPr>
        <w:t xml:space="preserve"> ֆինանսների նախարարություն՝ վնասի վերականգնման նպատակով մեկ միասնական գանձապետական հաշվեհամարին վճարված գումարի չափով համապատասխան համայնքի կամ պետության մասնակցությամբ գործող իրավաբանական անձանց վճարում կատարելու վերաբերյալ:</w:t>
      </w:r>
    </w:p>
    <w:p w:rsidR="00E178EF" w:rsidRDefault="00E178EF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970C46" w:rsidRPr="008F3A7B" w:rsidRDefault="00970C46" w:rsidP="00E178EF">
      <w:pPr>
        <w:pStyle w:val="ListParagraph"/>
        <w:tabs>
          <w:tab w:val="left" w:pos="1134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70C46" w:rsidRPr="008F3A7B" w:rsidRDefault="00970C46" w:rsidP="00E178EF">
      <w:pPr>
        <w:pStyle w:val="ListParagraph"/>
        <w:numPr>
          <w:ilvl w:val="0"/>
          <w:numId w:val="11"/>
        </w:numPr>
        <w:tabs>
          <w:tab w:val="left" w:pos="1134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8F3A7B">
        <w:rPr>
          <w:rFonts w:ascii="GHEA Grapalat" w:hAnsi="GHEA Grapalat"/>
          <w:b/>
          <w:sz w:val="24"/>
          <w:szCs w:val="24"/>
        </w:rPr>
        <w:t>ՏՎՅԱԼՆԵՐԻ ՀԱՇՎԱՌՈՒՄԸ ԵՎ ՀՐԱՊԱՐԱԿՈՒՄԸ</w:t>
      </w:r>
    </w:p>
    <w:p w:rsidR="00970C46" w:rsidRPr="008F3A7B" w:rsidRDefault="00970C46" w:rsidP="00E178EF">
      <w:pPr>
        <w:pStyle w:val="ListParagraph"/>
        <w:tabs>
          <w:tab w:val="left" w:pos="1134"/>
        </w:tabs>
        <w:spacing w:after="0" w:line="276" w:lineRule="auto"/>
        <w:ind w:left="1440"/>
        <w:rPr>
          <w:rFonts w:ascii="GHEA Grapalat" w:hAnsi="GHEA Grapalat"/>
          <w:b/>
          <w:sz w:val="24"/>
          <w:szCs w:val="24"/>
          <w:u w:val="single"/>
        </w:rPr>
      </w:pPr>
    </w:p>
    <w:p w:rsidR="00C95D58" w:rsidRPr="008F3A7B" w:rsidRDefault="00C95D58" w:rsidP="00E178EF">
      <w:pPr>
        <w:pStyle w:val="ListParagraph"/>
        <w:numPr>
          <w:ilvl w:val="0"/>
          <w:numId w:val="9"/>
        </w:numPr>
        <w:tabs>
          <w:tab w:val="left" w:pos="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8F3A7B">
        <w:rPr>
          <w:rFonts w:ascii="GHEA Grapalat" w:hAnsi="GHEA Grapalat"/>
          <w:sz w:val="24"/>
          <w:szCs w:val="24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</w:t>
      </w:r>
      <w:r w:rsidRPr="008F3A7B">
        <w:rPr>
          <w:rFonts w:ascii="GHEA Grapalat" w:hAnsi="GHEA Grapalat"/>
          <w:sz w:val="24"/>
          <w:szCs w:val="24"/>
        </w:rPr>
        <w:t xml:space="preserve">ունը </w:t>
      </w:r>
      <w:r w:rsidR="00745CB2" w:rsidRPr="008F3A7B">
        <w:rPr>
          <w:rFonts w:ascii="GHEA Grapalat" w:hAnsi="GHEA Grapalat"/>
          <w:sz w:val="24"/>
          <w:szCs w:val="24"/>
        </w:rPr>
        <w:t xml:space="preserve">և Հայաստանի Հանրապետության քննչական կոմիտեն </w:t>
      </w:r>
      <w:r w:rsidRPr="008F3A7B">
        <w:rPr>
          <w:rFonts w:ascii="GHEA Grapalat" w:hAnsi="GHEA Grapalat"/>
          <w:sz w:val="24"/>
          <w:szCs w:val="24"/>
        </w:rPr>
        <w:t>մինչև յուրաքանչյուր կիսամյակին հաջորդող ամսվա</w:t>
      </w:r>
      <w:r w:rsidR="00C25859" w:rsidRPr="008F3A7B">
        <w:rPr>
          <w:rFonts w:ascii="GHEA Grapalat" w:hAnsi="GHEA Grapalat"/>
          <w:sz w:val="24"/>
          <w:szCs w:val="24"/>
        </w:rPr>
        <w:t xml:space="preserve"> 10</w:t>
      </w:r>
      <w:r w:rsidRPr="008F3A7B">
        <w:rPr>
          <w:rFonts w:ascii="GHEA Grapalat" w:hAnsi="GHEA Grapalat"/>
          <w:sz w:val="24"/>
          <w:szCs w:val="24"/>
        </w:rPr>
        <w:t>-ը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C25859" w:rsidRPr="008F3A7B">
        <w:rPr>
          <w:rFonts w:ascii="GHEA Grapalat" w:hAnsi="GHEA Grapalat"/>
          <w:sz w:val="24"/>
          <w:szCs w:val="24"/>
        </w:rPr>
        <w:t xml:space="preserve">ՀՀ գլխավոր դատախազություն </w:t>
      </w:r>
      <w:r w:rsidR="00745CB2" w:rsidRPr="008F3A7B">
        <w:rPr>
          <w:rFonts w:ascii="GHEA Grapalat" w:hAnsi="GHEA Grapalat"/>
          <w:sz w:val="24"/>
          <w:szCs w:val="24"/>
        </w:rPr>
        <w:t>են</w:t>
      </w:r>
      <w:r w:rsidR="00C25859" w:rsidRPr="008F3A7B">
        <w:rPr>
          <w:rFonts w:ascii="GHEA Grapalat" w:hAnsi="GHEA Grapalat"/>
          <w:sz w:val="24"/>
          <w:szCs w:val="24"/>
        </w:rPr>
        <w:t xml:space="preserve"> փոխանցում տեղեկատվություն՝ </w:t>
      </w:r>
      <w:r w:rsidR="00931D95" w:rsidRPr="008F3A7B">
        <w:rPr>
          <w:rFonts w:ascii="GHEA Grapalat" w:hAnsi="GHEA Grapalat"/>
          <w:sz w:val="24"/>
          <w:szCs w:val="24"/>
        </w:rPr>
        <w:t xml:space="preserve">հաշվետու կիսամյակի ընթացքում </w:t>
      </w:r>
      <w:r w:rsidR="00745CB2" w:rsidRPr="008F3A7B">
        <w:rPr>
          <w:rFonts w:ascii="GHEA Grapalat" w:hAnsi="GHEA Grapalat"/>
          <w:sz w:val="24"/>
          <w:szCs w:val="24"/>
        </w:rPr>
        <w:t xml:space="preserve">համապատասխանաբար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մեկ միասնական գանձապետական հաշվեհամարին </w:t>
      </w:r>
      <w:r w:rsidR="00745CB2" w:rsidRPr="008F3A7B">
        <w:rPr>
          <w:rFonts w:ascii="GHEA Grapalat" w:hAnsi="GHEA Grapalat"/>
          <w:sz w:val="24"/>
          <w:szCs w:val="24"/>
        </w:rPr>
        <w:t xml:space="preserve">և հարկ վճարողի միասնական հաշվին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պետությանը և համայնքներին պատճառված վնասների վերականգնման նպատակով փոխանցված գումարների 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>վերաբերյալ</w:t>
      </w:r>
      <w:r w:rsidRPr="008F3A7B">
        <w:rPr>
          <w:rFonts w:ascii="GHEA Grapalat" w:hAnsi="GHEA Grapalat"/>
          <w:sz w:val="24"/>
          <w:szCs w:val="24"/>
          <w:lang w:val="hy-AM"/>
        </w:rPr>
        <w:t>:</w:t>
      </w:r>
    </w:p>
    <w:p w:rsidR="00FA15F1" w:rsidRPr="008F3A7B" w:rsidRDefault="00DF7327" w:rsidP="00E178EF">
      <w:pPr>
        <w:pStyle w:val="ListParagraph"/>
        <w:numPr>
          <w:ilvl w:val="0"/>
          <w:numId w:val="9"/>
        </w:numPr>
        <w:tabs>
          <w:tab w:val="left" w:pos="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8F3A7B">
        <w:rPr>
          <w:rFonts w:ascii="GHEA Grapalat" w:hAnsi="GHEA Grapalat"/>
          <w:sz w:val="24"/>
          <w:szCs w:val="24"/>
        </w:rPr>
        <w:t xml:space="preserve">Հայաստանի Հանրապետության գլխավոր դատախազությունը մինչև յուրաքանչյուր կիսամյակին հաջորդող ամսվա </w:t>
      </w:r>
      <w:r w:rsidR="00745CB2" w:rsidRPr="008F3A7B">
        <w:rPr>
          <w:rFonts w:ascii="GHEA Grapalat" w:hAnsi="GHEA Grapalat"/>
          <w:sz w:val="24"/>
          <w:szCs w:val="24"/>
        </w:rPr>
        <w:t>20</w:t>
      </w:r>
      <w:r w:rsidRPr="008F3A7B">
        <w:rPr>
          <w:rFonts w:ascii="GHEA Grapalat" w:hAnsi="GHEA Grapalat"/>
          <w:sz w:val="24"/>
          <w:szCs w:val="24"/>
        </w:rPr>
        <w:t>-ը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տեղեկատվություն </w:t>
      </w:r>
      <w:r w:rsidRPr="008F3A7B">
        <w:rPr>
          <w:rFonts w:ascii="GHEA Grapalat" w:hAnsi="GHEA Grapalat"/>
          <w:sz w:val="24"/>
          <w:szCs w:val="24"/>
        </w:rPr>
        <w:t xml:space="preserve">է հրապարակում </w:t>
      </w:r>
      <w:r w:rsidR="00C25859" w:rsidRPr="008F3A7B">
        <w:rPr>
          <w:rFonts w:ascii="GHEA Grapalat" w:hAnsi="GHEA Grapalat"/>
          <w:sz w:val="24"/>
          <w:szCs w:val="24"/>
        </w:rPr>
        <w:t xml:space="preserve">հաշվետու կիսամյակի ընթացքում 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>մեկ միասնական գանձապետական հաշվեհամարին պետությանը և համայնքներին պատճառված վնասների վերականգնման նպատակով փոխանցված գումարների վերաբերյալ</w:t>
      </w:r>
      <w:r w:rsidR="00C25859" w:rsidRPr="008F3A7B">
        <w:rPr>
          <w:rFonts w:ascii="GHEA Grapalat" w:hAnsi="GHEA Grapalat"/>
          <w:sz w:val="24"/>
          <w:szCs w:val="24"/>
        </w:rPr>
        <w:t>, ինչպես նաև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D95" w:rsidRPr="008F3A7B">
        <w:rPr>
          <w:rFonts w:ascii="GHEA Grapalat" w:hAnsi="GHEA Grapalat"/>
          <w:sz w:val="24"/>
          <w:szCs w:val="24"/>
          <w:lang w:val="hy-AM"/>
        </w:rPr>
        <w:t>Հ</w:t>
      </w:r>
      <w:r w:rsidR="00931D95" w:rsidRPr="008F3A7B">
        <w:rPr>
          <w:rFonts w:ascii="GHEA Grapalat" w:hAnsi="GHEA Grapalat"/>
          <w:sz w:val="24"/>
          <w:szCs w:val="24"/>
        </w:rPr>
        <w:t xml:space="preserve">այաստանի </w:t>
      </w:r>
      <w:r w:rsidR="00931D95" w:rsidRPr="008F3A7B">
        <w:rPr>
          <w:rFonts w:ascii="GHEA Grapalat" w:hAnsi="GHEA Grapalat"/>
          <w:sz w:val="24"/>
          <w:szCs w:val="24"/>
          <w:lang w:val="hy-AM"/>
        </w:rPr>
        <w:t>Հ</w:t>
      </w:r>
      <w:r w:rsidR="00931D95" w:rsidRPr="008F3A7B">
        <w:rPr>
          <w:rFonts w:ascii="GHEA Grapalat" w:hAnsi="GHEA Grapalat"/>
          <w:sz w:val="24"/>
          <w:szCs w:val="24"/>
        </w:rPr>
        <w:t>անրապետության</w:t>
      </w:r>
      <w:r w:rsidR="00931D95"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 դեպոզիտ հաշվին</w:t>
      </w:r>
      <w:r w:rsidR="00931D95" w:rsidRPr="008F3A7B">
        <w:rPr>
          <w:rFonts w:ascii="GHEA Grapalat" w:hAnsi="GHEA Grapalat"/>
          <w:sz w:val="24"/>
          <w:szCs w:val="24"/>
        </w:rPr>
        <w:t xml:space="preserve"> մուծված՝ որպես գույք արգելադրված Հայաստանի Հանրապետության դրամի, ինչպես նաև</w:t>
      </w:r>
      <w:r w:rsidR="00931D95" w:rsidRPr="008F3A7B">
        <w:rPr>
          <w:rFonts w:ascii="GHEA Grapalat" w:hAnsi="GHEA Grapalat"/>
          <w:sz w:val="24"/>
          <w:szCs w:val="24"/>
          <w:lang w:val="hy-AM"/>
        </w:rPr>
        <w:t xml:space="preserve"> որպես գրավ</w:t>
      </w:r>
      <w:r w:rsidR="00931D95" w:rsidRPr="008F3A7B">
        <w:rPr>
          <w:rFonts w:ascii="GHEA Grapalat" w:hAnsi="GHEA Grapalat"/>
          <w:sz w:val="24"/>
          <w:szCs w:val="24"/>
        </w:rPr>
        <w:t>՝</w:t>
      </w:r>
      <w:r w:rsidR="00931D95"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D95" w:rsidRPr="008F3A7B">
        <w:rPr>
          <w:rFonts w:ascii="GHEA Grapalat" w:hAnsi="GHEA Grapalat"/>
          <w:sz w:val="24"/>
          <w:szCs w:val="24"/>
        </w:rPr>
        <w:t>պահատվության</w:t>
      </w:r>
      <w:r w:rsidR="00FA15F1" w:rsidRPr="008F3A7B">
        <w:rPr>
          <w:rFonts w:ascii="GHEA Grapalat" w:hAnsi="GHEA Grapalat"/>
          <w:sz w:val="24"/>
          <w:szCs w:val="24"/>
        </w:rPr>
        <w:t xml:space="preserve"> հանձնված գումարների մասին՝ </w:t>
      </w:r>
      <w:r w:rsidR="00FA15F1" w:rsidRPr="008F3A7B">
        <w:rPr>
          <w:rFonts w:ascii="GHEA Grapalat" w:hAnsi="GHEA Grapalat"/>
          <w:sz w:val="24"/>
          <w:szCs w:val="24"/>
          <w:lang w:val="hy-AM"/>
        </w:rPr>
        <w:t>ըստ նախաքննական մարմինների տարբերակման:</w:t>
      </w:r>
    </w:p>
    <w:p w:rsidR="008F3A7B" w:rsidRPr="008F3A7B" w:rsidRDefault="008F3A7B" w:rsidP="00E178EF">
      <w:pPr>
        <w:pStyle w:val="ListParagraph"/>
        <w:numPr>
          <w:ilvl w:val="0"/>
          <w:numId w:val="9"/>
        </w:numPr>
        <w:tabs>
          <w:tab w:val="left" w:pos="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8F3A7B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</w:rPr>
        <w:t>դատական դեպարտամենտը</w:t>
      </w:r>
      <w:r w:rsidRPr="008F3A7B">
        <w:rPr>
          <w:rFonts w:ascii="GHEA Grapalat" w:hAnsi="GHEA Grapalat"/>
          <w:sz w:val="24"/>
          <w:szCs w:val="24"/>
        </w:rPr>
        <w:t xml:space="preserve"> մինչև յուրաքանչյուր կիսամյակին հաջորդող ամսվա 20-ը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տեղեկատվություն </w:t>
      </w:r>
      <w:r w:rsidRPr="008F3A7B">
        <w:rPr>
          <w:rFonts w:ascii="GHEA Grapalat" w:hAnsi="GHEA Grapalat"/>
          <w:sz w:val="24"/>
          <w:szCs w:val="24"/>
        </w:rPr>
        <w:t>է հրապարակում հաշվետու կիսամյակի ընթացքում</w:t>
      </w:r>
      <w:r>
        <w:rPr>
          <w:rFonts w:ascii="GHEA Grapalat" w:hAnsi="GHEA Grapalat"/>
          <w:sz w:val="24"/>
          <w:szCs w:val="24"/>
        </w:rPr>
        <w:t xml:space="preserve"> դատարանների դեպոզիտներ մուծված՝ արգելադրված կամ որպես գրավ պահատվության հանձնված դրամական միջոցների վերաբերյալ:</w:t>
      </w:r>
    </w:p>
    <w:p w:rsidR="00970C46" w:rsidRPr="008F3A7B" w:rsidRDefault="00970C46" w:rsidP="00E178EF">
      <w:pPr>
        <w:pStyle w:val="ListParagraph"/>
        <w:tabs>
          <w:tab w:val="left" w:pos="0"/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70C46" w:rsidRPr="008F3A7B" w:rsidSect="009278F6">
      <w:footerReference w:type="default" r:id="rId8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ED" w:rsidRDefault="00C13EED">
      <w:pPr>
        <w:spacing w:after="0" w:line="240" w:lineRule="auto"/>
      </w:pPr>
      <w:r>
        <w:separator/>
      </w:r>
    </w:p>
  </w:endnote>
  <w:endnote w:type="continuationSeparator" w:id="0">
    <w:p w:rsidR="00C13EED" w:rsidRDefault="00C1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1F" w:rsidRDefault="001374BB">
    <w:pPr>
      <w:pStyle w:val="Footer"/>
      <w:jc w:val="right"/>
    </w:pPr>
    <w:r>
      <w:fldChar w:fldCharType="begin"/>
    </w:r>
    <w:r w:rsidR="005D581F">
      <w:instrText xml:space="preserve"> PAGE   \* MERGEFORMAT </w:instrText>
    </w:r>
    <w:r>
      <w:fldChar w:fldCharType="separate"/>
    </w:r>
    <w:r w:rsidR="00E847EE">
      <w:rPr>
        <w:noProof/>
      </w:rPr>
      <w:t>5</w:t>
    </w:r>
    <w:r>
      <w:fldChar w:fldCharType="end"/>
    </w:r>
  </w:p>
  <w:p w:rsidR="005D581F" w:rsidRDefault="005D58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ED" w:rsidRDefault="00C13EED">
      <w:pPr>
        <w:spacing w:after="0" w:line="240" w:lineRule="auto"/>
      </w:pPr>
      <w:r>
        <w:separator/>
      </w:r>
    </w:p>
  </w:footnote>
  <w:footnote w:type="continuationSeparator" w:id="0">
    <w:p w:rsidR="00C13EED" w:rsidRDefault="00C1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8D0"/>
    <w:multiLevelType w:val="hybridMultilevel"/>
    <w:tmpl w:val="BF769DE4"/>
    <w:lvl w:ilvl="0" w:tplc="B76E7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E277B5"/>
    <w:multiLevelType w:val="hybridMultilevel"/>
    <w:tmpl w:val="5596C07A"/>
    <w:lvl w:ilvl="0" w:tplc="B7D627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F52C26"/>
    <w:multiLevelType w:val="hybridMultilevel"/>
    <w:tmpl w:val="21F0597A"/>
    <w:lvl w:ilvl="0" w:tplc="5D06084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C172807"/>
    <w:multiLevelType w:val="hybridMultilevel"/>
    <w:tmpl w:val="B66A8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7BD"/>
    <w:multiLevelType w:val="hybridMultilevel"/>
    <w:tmpl w:val="4C665CD4"/>
    <w:lvl w:ilvl="0" w:tplc="4BC055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4B613D"/>
    <w:multiLevelType w:val="hybridMultilevel"/>
    <w:tmpl w:val="1602B25A"/>
    <w:lvl w:ilvl="0" w:tplc="A000D21C">
      <w:start w:val="1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CC0428"/>
    <w:multiLevelType w:val="hybridMultilevel"/>
    <w:tmpl w:val="61F69900"/>
    <w:lvl w:ilvl="0" w:tplc="5D0608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6388F"/>
    <w:multiLevelType w:val="hybridMultilevel"/>
    <w:tmpl w:val="C76C2512"/>
    <w:lvl w:ilvl="0" w:tplc="7DB04EBA">
      <w:start w:val="1"/>
      <w:numFmt w:val="decimal"/>
      <w:lvlText w:val="%1)"/>
      <w:lvlJc w:val="left"/>
      <w:pPr>
        <w:ind w:left="735" w:hanging="36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DB1360E"/>
    <w:multiLevelType w:val="hybridMultilevel"/>
    <w:tmpl w:val="1B5CF582"/>
    <w:lvl w:ilvl="0" w:tplc="322053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735953"/>
    <w:multiLevelType w:val="hybridMultilevel"/>
    <w:tmpl w:val="3D3A36DC"/>
    <w:lvl w:ilvl="0" w:tplc="0B1226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DB1A89"/>
    <w:multiLevelType w:val="hybridMultilevel"/>
    <w:tmpl w:val="374608C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315"/>
    <w:rsid w:val="00094A43"/>
    <w:rsid w:val="000D4896"/>
    <w:rsid w:val="0010251B"/>
    <w:rsid w:val="00134177"/>
    <w:rsid w:val="001374BB"/>
    <w:rsid w:val="00145D27"/>
    <w:rsid w:val="00196946"/>
    <w:rsid w:val="001D6F05"/>
    <w:rsid w:val="001F781E"/>
    <w:rsid w:val="00233063"/>
    <w:rsid w:val="00282C53"/>
    <w:rsid w:val="00297C12"/>
    <w:rsid w:val="002B6BD8"/>
    <w:rsid w:val="00325C14"/>
    <w:rsid w:val="00331517"/>
    <w:rsid w:val="00355315"/>
    <w:rsid w:val="00365130"/>
    <w:rsid w:val="003A1B4E"/>
    <w:rsid w:val="003B748A"/>
    <w:rsid w:val="003C2BD7"/>
    <w:rsid w:val="003F0E1F"/>
    <w:rsid w:val="004254C1"/>
    <w:rsid w:val="004413C1"/>
    <w:rsid w:val="00447782"/>
    <w:rsid w:val="00454224"/>
    <w:rsid w:val="00472C37"/>
    <w:rsid w:val="00487B93"/>
    <w:rsid w:val="004A5E56"/>
    <w:rsid w:val="004B34B0"/>
    <w:rsid w:val="004C2FDB"/>
    <w:rsid w:val="0054010B"/>
    <w:rsid w:val="005403EE"/>
    <w:rsid w:val="00552606"/>
    <w:rsid w:val="005535B3"/>
    <w:rsid w:val="005C0715"/>
    <w:rsid w:val="005D581F"/>
    <w:rsid w:val="0062212D"/>
    <w:rsid w:val="0063303D"/>
    <w:rsid w:val="006464A5"/>
    <w:rsid w:val="00692251"/>
    <w:rsid w:val="00694211"/>
    <w:rsid w:val="00700B61"/>
    <w:rsid w:val="0070617A"/>
    <w:rsid w:val="00714381"/>
    <w:rsid w:val="00745CB2"/>
    <w:rsid w:val="00751A83"/>
    <w:rsid w:val="00777882"/>
    <w:rsid w:val="007D572F"/>
    <w:rsid w:val="007D6FD5"/>
    <w:rsid w:val="007E1C09"/>
    <w:rsid w:val="00806719"/>
    <w:rsid w:val="008279BB"/>
    <w:rsid w:val="00853758"/>
    <w:rsid w:val="00890556"/>
    <w:rsid w:val="0089438B"/>
    <w:rsid w:val="008C1999"/>
    <w:rsid w:val="008E3767"/>
    <w:rsid w:val="008F3A7B"/>
    <w:rsid w:val="009203D2"/>
    <w:rsid w:val="009278F6"/>
    <w:rsid w:val="00931D95"/>
    <w:rsid w:val="00937AEA"/>
    <w:rsid w:val="00945BB5"/>
    <w:rsid w:val="00970C46"/>
    <w:rsid w:val="00983BD7"/>
    <w:rsid w:val="00A033A8"/>
    <w:rsid w:val="00A05CAE"/>
    <w:rsid w:val="00A36D26"/>
    <w:rsid w:val="00A4699A"/>
    <w:rsid w:val="00A9431F"/>
    <w:rsid w:val="00AF4CD4"/>
    <w:rsid w:val="00B73344"/>
    <w:rsid w:val="00BA2C58"/>
    <w:rsid w:val="00BF7695"/>
    <w:rsid w:val="00C128E1"/>
    <w:rsid w:val="00C13EED"/>
    <w:rsid w:val="00C232FD"/>
    <w:rsid w:val="00C25859"/>
    <w:rsid w:val="00C37047"/>
    <w:rsid w:val="00C55ED2"/>
    <w:rsid w:val="00C56C79"/>
    <w:rsid w:val="00C60D7B"/>
    <w:rsid w:val="00C632E8"/>
    <w:rsid w:val="00C95D58"/>
    <w:rsid w:val="00CA28D9"/>
    <w:rsid w:val="00CA3D38"/>
    <w:rsid w:val="00CA7912"/>
    <w:rsid w:val="00CC5E40"/>
    <w:rsid w:val="00CD4BCF"/>
    <w:rsid w:val="00CE362D"/>
    <w:rsid w:val="00D33DC2"/>
    <w:rsid w:val="00D655DC"/>
    <w:rsid w:val="00DC2070"/>
    <w:rsid w:val="00DC3BA5"/>
    <w:rsid w:val="00DC51DC"/>
    <w:rsid w:val="00DD7227"/>
    <w:rsid w:val="00DF7327"/>
    <w:rsid w:val="00DF76F0"/>
    <w:rsid w:val="00E05588"/>
    <w:rsid w:val="00E178EF"/>
    <w:rsid w:val="00E33D8C"/>
    <w:rsid w:val="00E4563C"/>
    <w:rsid w:val="00E45EF1"/>
    <w:rsid w:val="00E47E7F"/>
    <w:rsid w:val="00E76D58"/>
    <w:rsid w:val="00E847EE"/>
    <w:rsid w:val="00EA4976"/>
    <w:rsid w:val="00F2721A"/>
    <w:rsid w:val="00F35161"/>
    <w:rsid w:val="00F802CC"/>
    <w:rsid w:val="00FA15F1"/>
    <w:rsid w:val="00FD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7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8F6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uiPriority w:val="34"/>
    <w:qFormat/>
    <w:rsid w:val="006942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42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85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537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45EF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EF1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A7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9D1D-1411-4335-81CB-DAD2BEE9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Amirkhanyan</dc:creator>
  <cp:keywords>https://mul2-moj.gov.am/tasks/555859/oneclick/Nakhagic_karavarutyan voroshum (3) (1).docx?token=8e57d74da456a692fc7da516db83be53</cp:keywords>
  <dc:description/>
  <cp:lastModifiedBy>Ar-Lazaryan</cp:lastModifiedBy>
  <cp:revision>53</cp:revision>
  <cp:lastPrinted>2022-12-29T06:51:00Z</cp:lastPrinted>
  <dcterms:created xsi:type="dcterms:W3CDTF">2022-10-10T07:31:00Z</dcterms:created>
  <dcterms:modified xsi:type="dcterms:W3CDTF">2023-03-14T13:01:00Z</dcterms:modified>
</cp:coreProperties>
</file>