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F" w:rsidRPr="00F0046B" w:rsidRDefault="0056388F" w:rsidP="00BC18E7">
      <w:pPr>
        <w:spacing w:line="360" w:lineRule="auto"/>
        <w:rPr>
          <w:rFonts w:ascii="GHEA Mariam" w:hAnsi="GHEA Mariam"/>
          <w:sz w:val="22"/>
          <w:szCs w:val="22"/>
        </w:rPr>
      </w:pPr>
    </w:p>
    <w:p w:rsidR="00911ACE" w:rsidRPr="00A82395" w:rsidRDefault="00911ACE" w:rsidP="00A82395">
      <w:pPr>
        <w:pStyle w:val="Heading1"/>
        <w:spacing w:line="276" w:lineRule="auto"/>
        <w:jc w:val="center"/>
        <w:rPr>
          <w:rFonts w:ascii="GHEA Mariam" w:hAnsi="GHEA Mariam" w:cs="Sylfaen"/>
          <w:b/>
          <w:szCs w:val="24"/>
        </w:rPr>
      </w:pPr>
      <w:r w:rsidRPr="00A82395">
        <w:rPr>
          <w:rFonts w:ascii="GHEA Mariam" w:hAnsi="GHEA Mariam" w:cs="Sylfaen"/>
          <w:b/>
          <w:szCs w:val="24"/>
        </w:rPr>
        <w:t>ՀԻՄՆԱՎՈՐՈՒՄ</w:t>
      </w:r>
    </w:p>
    <w:p w:rsidR="00911ACE" w:rsidRPr="00A82395" w:rsidRDefault="00911ACE" w:rsidP="00A82395">
      <w:pPr>
        <w:spacing w:line="276" w:lineRule="auto"/>
        <w:rPr>
          <w:rFonts w:ascii="GHEA Mariam" w:hAnsi="GHEA Mariam"/>
          <w:b/>
        </w:rPr>
      </w:pPr>
    </w:p>
    <w:p w:rsidR="00911ACE" w:rsidRPr="00A82395" w:rsidRDefault="00A82395" w:rsidP="00A82395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b/>
        </w:rPr>
      </w:pPr>
      <w:r w:rsidRPr="00A82395">
        <w:rPr>
          <w:rFonts w:ascii="GHEA Mariam" w:hAnsi="GHEA Mariam"/>
          <w:b/>
          <w:lang w:val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 ՕՐԵՆՔՈՒՄ ԼՐԱՑՈՒՄ</w:t>
      </w:r>
      <w:r w:rsidR="00381BAB">
        <w:rPr>
          <w:rFonts w:ascii="GHEA Mariam" w:hAnsi="GHEA Mariam"/>
          <w:b/>
          <w:lang w:val="hy-AM"/>
        </w:rPr>
        <w:t>ՆԵՐ</w:t>
      </w:r>
      <w:r w:rsidRPr="00A82395">
        <w:rPr>
          <w:rFonts w:ascii="GHEA Mariam" w:hAnsi="GHEA Mariam"/>
          <w:b/>
          <w:lang w:val="hy-AM"/>
        </w:rPr>
        <w:t xml:space="preserve"> ԵՎ ՓՈՓՈԽՈՒԹՅՈՒՆՆԵՐ</w:t>
      </w:r>
      <w:r w:rsidRPr="00A82395">
        <w:rPr>
          <w:rFonts w:ascii="GHEA Mariam" w:hAnsi="GHEA Mariam"/>
          <w:b/>
        </w:rPr>
        <w:t xml:space="preserve"> ԿԱՏԱՐԵԼՈՒ ՄԱՍԻՆ</w:t>
      </w:r>
      <w:r w:rsidR="00AD4D19" w:rsidRPr="00A82395">
        <w:rPr>
          <w:rFonts w:ascii="GHEA Mariam" w:hAnsi="GHEA Mariam"/>
          <w:b/>
          <w:lang w:val="hy-AM"/>
        </w:rPr>
        <w:t xml:space="preserve">» </w:t>
      </w:r>
      <w:r w:rsidR="000F09D2" w:rsidRPr="00A82395">
        <w:rPr>
          <w:rStyle w:val="Strong"/>
          <w:rFonts w:ascii="GHEA Mariam" w:hAnsi="GHEA Mariam" w:cs="Sylfaen"/>
        </w:rPr>
        <w:t xml:space="preserve"> </w:t>
      </w:r>
      <w:r w:rsidR="00050389" w:rsidRPr="00A82395">
        <w:rPr>
          <w:rStyle w:val="Strong"/>
          <w:rFonts w:ascii="GHEA Mariam" w:hAnsi="GHEA Mariam" w:cs="Sylfaen"/>
        </w:rPr>
        <w:t xml:space="preserve">ՀԱՅԱՍՏԱՆԻ </w:t>
      </w:r>
      <w:r w:rsidR="00911ACE" w:rsidRPr="00A82395">
        <w:rPr>
          <w:rStyle w:val="Strong"/>
          <w:rFonts w:ascii="GHEA Mariam" w:hAnsi="GHEA Mariam" w:cs="Sylfaen"/>
        </w:rPr>
        <w:t>Հ</w:t>
      </w:r>
      <w:r w:rsidR="00050389" w:rsidRPr="00A82395">
        <w:rPr>
          <w:rStyle w:val="Strong"/>
          <w:rFonts w:ascii="GHEA Mariam" w:hAnsi="GHEA Mariam" w:cs="Sylfaen"/>
        </w:rPr>
        <w:t>ԱՆՐԱՊԵՏՈՒԹՅԱՆ</w:t>
      </w:r>
      <w:r w:rsidR="00911ACE" w:rsidRPr="00A82395">
        <w:rPr>
          <w:rStyle w:val="Strong"/>
          <w:rFonts w:ascii="GHEA Mariam" w:hAnsi="GHEA Mariam" w:cs="Sylfaen"/>
        </w:rPr>
        <w:t xml:space="preserve"> </w:t>
      </w:r>
      <w:r w:rsidR="00AD4D19" w:rsidRPr="00A82395">
        <w:rPr>
          <w:rStyle w:val="Strong"/>
          <w:rFonts w:ascii="GHEA Mariam" w:hAnsi="GHEA Mariam" w:cs="Sylfaen"/>
          <w:lang w:val="hy-AM"/>
        </w:rPr>
        <w:t>ՕՐԵՆՔԻ</w:t>
      </w:r>
      <w:r w:rsidR="00911ACE" w:rsidRPr="00A82395">
        <w:rPr>
          <w:rStyle w:val="Strong"/>
          <w:rFonts w:ascii="GHEA Mariam" w:hAnsi="GHEA Mariam" w:cs="Sylfaen"/>
        </w:rPr>
        <w:t xml:space="preserve"> ԸՆԴՈՒՆՄԱՆ ԱՆՀՐԱԺԵՇՏՈՒԹՅԱՆ ՎԵՐԱԲԵՐՅԱԼ</w:t>
      </w:r>
    </w:p>
    <w:p w:rsidR="00911ACE" w:rsidRPr="00A82395" w:rsidRDefault="00911ACE" w:rsidP="00A82395">
      <w:pPr>
        <w:spacing w:line="276" w:lineRule="auto"/>
        <w:rPr>
          <w:rFonts w:ascii="GHEA Mariam" w:hAnsi="GHEA Mariam"/>
        </w:rPr>
      </w:pPr>
    </w:p>
    <w:p w:rsidR="00911ACE" w:rsidRPr="00A82395" w:rsidRDefault="00911ACE" w:rsidP="00A82395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82395">
        <w:rPr>
          <w:rFonts w:ascii="GHEA Mariam" w:hAnsi="GHEA Mariam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  <w:r w:rsidR="00284FC8" w:rsidRPr="00A82395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A82395" w:rsidRDefault="0056388F" w:rsidP="00A82395">
      <w:pPr>
        <w:spacing w:line="276" w:lineRule="auto"/>
        <w:jc w:val="both"/>
        <w:rPr>
          <w:rFonts w:ascii="GHEA Mariam" w:hAnsi="GHEA Mariam"/>
          <w:lang w:val="hy-AM"/>
        </w:rPr>
      </w:pPr>
      <w:r w:rsidRPr="00A82395">
        <w:rPr>
          <w:rFonts w:ascii="GHEA Mariam" w:hAnsi="GHEA Mariam"/>
        </w:rPr>
        <w:t xml:space="preserve">   </w:t>
      </w:r>
      <w:r w:rsidR="00284D56">
        <w:rPr>
          <w:rFonts w:ascii="GHEA Mariam" w:hAnsi="GHEA Mariam"/>
          <w:lang w:val="hy-AM"/>
        </w:rPr>
        <w:t>1</w:t>
      </w:r>
      <w:r w:rsidR="00284D56">
        <w:rPr>
          <w:rFonts w:ascii="GHEA Mariam" w:hAnsi="GHEA Mariam"/>
        </w:rPr>
        <w:t>)</w:t>
      </w:r>
      <w:r w:rsidR="00284D56">
        <w:rPr>
          <w:rFonts w:ascii="GHEA Mariam" w:hAnsi="GHEA Mariam"/>
          <w:lang w:val="hy-AM"/>
        </w:rPr>
        <w:t xml:space="preserve"> </w:t>
      </w:r>
      <w:r w:rsidR="00AD4D19" w:rsidRPr="00A82395">
        <w:rPr>
          <w:rFonts w:ascii="GHEA Mariam" w:hAnsi="GHEA Mariam"/>
          <w:lang w:val="hy-AM"/>
        </w:rPr>
        <w:t xml:space="preserve">Ներկայումս անշարժ գույքի հարկով հարկման նպատակով հողամասերի </w:t>
      </w:r>
      <w:r w:rsidR="00AD4D19" w:rsidRPr="00A82395">
        <w:rPr>
          <w:rFonts w:ascii="GHEA Mariam" w:hAnsi="GHEA Mariam"/>
        </w:rPr>
        <w:t>(</w:t>
      </w:r>
      <w:r w:rsidR="00AD4D19" w:rsidRPr="00A82395">
        <w:rPr>
          <w:rFonts w:ascii="GHEA Mariam" w:hAnsi="GHEA Mariam"/>
          <w:lang w:val="hy-AM"/>
        </w:rPr>
        <w:t>բացառությամբ գյուղատնտեսական նշանակության հողերի</w:t>
      </w:r>
      <w:r w:rsidR="00AD4D19" w:rsidRPr="00A82395">
        <w:rPr>
          <w:rFonts w:ascii="GHEA Mariam" w:hAnsi="GHEA Mariam"/>
        </w:rPr>
        <w:t>)</w:t>
      </w:r>
      <w:r w:rsidR="00AD4D19" w:rsidRPr="00A82395">
        <w:rPr>
          <w:rFonts w:ascii="GHEA Mariam" w:hAnsi="GHEA Mariam"/>
          <w:lang w:val="hy-AM"/>
        </w:rPr>
        <w:t xml:space="preserve"> և դրանց բարելավումների </w:t>
      </w:r>
      <w:r w:rsidR="00AD4D19" w:rsidRPr="00A82395">
        <w:rPr>
          <w:rFonts w:ascii="GHEA Mariam" w:hAnsi="GHEA Mariam"/>
        </w:rPr>
        <w:t>(</w:t>
      </w:r>
      <w:r w:rsidR="00AD4D19" w:rsidRPr="00A82395">
        <w:rPr>
          <w:rFonts w:ascii="GHEA Mariam" w:hAnsi="GHEA Mariam"/>
          <w:lang w:val="hy-AM"/>
        </w:rPr>
        <w:t>բացառությամբ հողամասերի բարելավումներ համարվող բազմաբնակարան բնակելի շենքի բնակարանների, բազմաբնակարան շենքի ոչ բնակելի տարածքների, բազմաբնակարան բնակելի շենքերում տեղակայված ավտոտնակաների, բազմաբնակարան բնակելի շենքերում տեղակայված հասարակական և արտադրական նշանակության շինությունների</w:t>
      </w:r>
      <w:r w:rsidR="00AD4D19" w:rsidRPr="00A82395">
        <w:rPr>
          <w:rFonts w:ascii="GHEA Mariam" w:hAnsi="GHEA Mariam"/>
        </w:rPr>
        <w:t>)</w:t>
      </w:r>
      <w:r w:rsidR="00AD4D19" w:rsidRPr="00A82395">
        <w:rPr>
          <w:rFonts w:ascii="GHEA Mariam" w:hAnsi="GHEA Mariam"/>
          <w:lang w:val="hy-AM"/>
        </w:rPr>
        <w:t xml:space="preserve"> շուկայական արժեքին մոտարկված կադաստրային գնահատման ժամանակ շինության մաս կազմող</w:t>
      </w:r>
      <w:r w:rsidR="00284D56">
        <w:rPr>
          <w:rFonts w:ascii="GHEA Mariam" w:hAnsi="GHEA Mariam"/>
          <w:lang w:val="hy-AM"/>
        </w:rPr>
        <w:t>՝</w:t>
      </w:r>
      <w:r w:rsidR="00AD4D19" w:rsidRPr="00A82395">
        <w:rPr>
          <w:rFonts w:ascii="GHEA Mariam" w:hAnsi="GHEA Mariam"/>
          <w:lang w:val="hy-AM"/>
        </w:rPr>
        <w:t xml:space="preserve"> հարթակները, բաց պատշգամբները, ծածկերը, արտաքին աստիճանահարթակներն ու աստիճանավանդակները, հարթ տանիքները գնահատվում են </w:t>
      </w:r>
      <w:r w:rsidR="005F08A8" w:rsidRPr="00A82395">
        <w:rPr>
          <w:rFonts w:ascii="GHEA Mariam" w:hAnsi="GHEA Mariam"/>
          <w:lang w:val="hy-AM"/>
        </w:rPr>
        <w:t xml:space="preserve">համապատասխան հարկում գտնվող տվյալ </w:t>
      </w:r>
      <w:r w:rsidR="00AD4D19" w:rsidRPr="00A82395">
        <w:rPr>
          <w:rFonts w:ascii="GHEA Mariam" w:hAnsi="GHEA Mariam"/>
          <w:lang w:val="hy-AM"/>
        </w:rPr>
        <w:t xml:space="preserve">շինության </w:t>
      </w:r>
      <w:r w:rsidR="005F08A8" w:rsidRPr="00A82395">
        <w:rPr>
          <w:rFonts w:ascii="GHEA Mariam" w:hAnsi="GHEA Mariam"/>
          <w:lang w:val="hy-AM"/>
        </w:rPr>
        <w:t>գնահատման կարգով, և արժեքի ձևավորման ժամանակ դրանց նկատմամբ կիրառվում է տվյալ շինության համապատասխան գնագոյացման գործոնն</w:t>
      </w:r>
      <w:r w:rsidR="00A82395">
        <w:rPr>
          <w:rFonts w:ascii="GHEA Mariam" w:hAnsi="GHEA Mariam"/>
          <w:lang w:val="hy-AM"/>
        </w:rPr>
        <w:t>երի մեծությունների գործակիցները, իսկ շինության մաս չկազմող հարթակների ու հենապատերի գնահատություն չի կատարվում։</w:t>
      </w:r>
    </w:p>
    <w:p w:rsidR="00284D56" w:rsidRDefault="00284D56" w:rsidP="00284D56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Քանի որ արժեքային առումով </w:t>
      </w:r>
      <w:r w:rsidRPr="00A82395">
        <w:rPr>
          <w:rFonts w:ascii="GHEA Mariam" w:hAnsi="GHEA Mariam"/>
          <w:lang w:val="hy-AM"/>
        </w:rPr>
        <w:t>շինության մաս կազմող</w:t>
      </w:r>
      <w:r>
        <w:rPr>
          <w:rFonts w:ascii="GHEA Mariam" w:hAnsi="GHEA Mariam"/>
          <w:lang w:val="hy-AM"/>
        </w:rPr>
        <w:t>՝</w:t>
      </w:r>
      <w:r w:rsidRPr="00A82395">
        <w:rPr>
          <w:rFonts w:ascii="GHEA Mariam" w:hAnsi="GHEA Mariam"/>
          <w:lang w:val="hy-AM"/>
        </w:rPr>
        <w:t xml:space="preserve"> հարթակները, բաց պատշգամբները, ծածկերը, արտաքին աստիճանահարթակներն ու աստիճանավանդակները, հարթ տանիքները</w:t>
      </w:r>
      <w:r>
        <w:rPr>
          <w:rFonts w:ascii="GHEA Mariam" w:hAnsi="GHEA Mariam"/>
          <w:lang w:val="hy-AM"/>
        </w:rPr>
        <w:t xml:space="preserve"> տարբերվում են հիմնական շինության արժեքից, հետևաբար անհրաժեշտություն է առաջանում կատարելու դրանց տարբերակված գնահատություն, իսկ ներկայումս չգնահատվող առանձին հարթակներն ու հենապատերը գնահատել և նույնպես ընդգրկել հարկման բազա։</w:t>
      </w:r>
    </w:p>
    <w:p w:rsidR="00284D56" w:rsidRDefault="00A82395" w:rsidP="00A82395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284D56">
        <w:rPr>
          <w:rFonts w:ascii="GHEA Mariam" w:hAnsi="GHEA Mariam"/>
          <w:lang w:val="hy-AM"/>
        </w:rPr>
        <w:t>2</w:t>
      </w:r>
      <w:r w:rsidR="00284D56">
        <w:rPr>
          <w:rFonts w:ascii="GHEA Mariam" w:hAnsi="GHEA Mariam"/>
        </w:rPr>
        <w:t>)</w:t>
      </w:r>
      <w:r w:rsidR="00284D5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«Անշարժ գույքի հարկով հարկման նպատակով անշարժ գույքի շուկայական արժեքին մոտարկված կադաստրային գնահատման կարգը սահմանելու մասին» ՀՕ-225-Ն ՀՀ օրենքի </w:t>
      </w:r>
      <w:r w:rsidR="00B026F4">
        <w:rPr>
          <w:rFonts w:ascii="GHEA Mariam" w:hAnsi="GHEA Mariam"/>
        </w:rPr>
        <w:t>(</w:t>
      </w:r>
      <w:r w:rsidR="00B026F4">
        <w:rPr>
          <w:rFonts w:ascii="GHEA Mariam" w:hAnsi="GHEA Mariam"/>
          <w:lang w:val="hy-AM"/>
        </w:rPr>
        <w:t>այսուհետ՝ Օրենք</w:t>
      </w:r>
      <w:r w:rsidR="00B026F4">
        <w:rPr>
          <w:rFonts w:ascii="GHEA Mariam" w:hAnsi="GHEA Mariam"/>
        </w:rPr>
        <w:t>)</w:t>
      </w:r>
      <w:r w:rsidR="00B026F4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5-րդ հոդվածով սահմանված է բազմաբնակարան բնակելի շենքերի և բազմաբնակարան բնակելի շենքերում տեղակայված՝ բնակարանների, ոչ բնակելի տարածքների, հասարակական ու </w:t>
      </w:r>
      <w:r>
        <w:rPr>
          <w:rFonts w:ascii="GHEA Mariam" w:hAnsi="GHEA Mariam"/>
          <w:lang w:val="hy-AM"/>
        </w:rPr>
        <w:lastRenderedPageBreak/>
        <w:t xml:space="preserve">արտադրական նշանակության շինությունների, ավտոտնակների գնահատման կարգը </w:t>
      </w:r>
      <w:r>
        <w:rPr>
          <w:rFonts w:ascii="GHEA Mariam" w:hAnsi="GHEA Mariam"/>
        </w:rPr>
        <w:t>(</w:t>
      </w:r>
      <w:r>
        <w:rPr>
          <w:rFonts w:ascii="GHEA Mariam" w:hAnsi="GHEA Mariam"/>
          <w:lang w:val="hy-AM"/>
        </w:rPr>
        <w:t>այսուհետ՝ Կարգ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 xml:space="preserve">։ Կարգի 2-րդ կետի 1-ին ենթակետով </w:t>
      </w:r>
      <w:r w:rsidR="00AB7AE2">
        <w:rPr>
          <w:rFonts w:ascii="GHEA Mariam" w:hAnsi="GHEA Mariam"/>
          <w:lang w:val="hy-AM"/>
        </w:rPr>
        <w:t xml:space="preserve">բազմաբնակարան բնակելի շենքի կառուցման նյութի տեսակներ են սահմանված՝ հիմնակմախքային, քարե </w:t>
      </w:r>
      <w:r w:rsidR="00AB7AE2">
        <w:rPr>
          <w:rFonts w:ascii="GHEA Mariam" w:hAnsi="GHEA Mariam"/>
        </w:rPr>
        <w:t>(</w:t>
      </w:r>
      <w:r w:rsidR="00AB7AE2">
        <w:rPr>
          <w:rFonts w:ascii="GHEA Mariam" w:hAnsi="GHEA Mariam"/>
          <w:lang w:val="hy-AM"/>
        </w:rPr>
        <w:t>այդ թվում՝ աղյուսից կամ սնամեջ մանր բլոկներից</w:t>
      </w:r>
      <w:r w:rsidR="00AB7AE2">
        <w:rPr>
          <w:rFonts w:ascii="GHEA Mariam" w:hAnsi="GHEA Mariam"/>
        </w:rPr>
        <w:t>)</w:t>
      </w:r>
      <w:r w:rsidR="00284D56">
        <w:rPr>
          <w:rFonts w:ascii="GHEA Mariam" w:hAnsi="GHEA Mariam"/>
          <w:lang w:val="hy-AM"/>
        </w:rPr>
        <w:t>, խոշորապանել և խոշորաբլոկ նյութի տեսակները։</w:t>
      </w:r>
    </w:p>
    <w:p w:rsidR="00A82395" w:rsidRDefault="00284D56" w:rsidP="00A82395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Քանի որ ներկայումս առկա են </w:t>
      </w:r>
      <w:r w:rsidR="00B026F4">
        <w:rPr>
          <w:rFonts w:ascii="GHEA Mariam" w:hAnsi="GHEA Mariam"/>
          <w:lang w:val="hy-AM"/>
        </w:rPr>
        <w:t xml:space="preserve">1940-1950-ական թվականների կառուցված փայտե սակավաբնակարան բնակելի շենքեր </w:t>
      </w:r>
      <w:r w:rsidR="00B026F4">
        <w:rPr>
          <w:rFonts w:ascii="GHEA Mariam" w:hAnsi="GHEA Mariam"/>
        </w:rPr>
        <w:t>(</w:t>
      </w:r>
      <w:r w:rsidR="00B026F4">
        <w:rPr>
          <w:rFonts w:ascii="GHEA Mariam" w:hAnsi="GHEA Mariam"/>
          <w:lang w:val="hy-AM"/>
        </w:rPr>
        <w:t>հիմնականում հեռավոր բնակավայրերում</w:t>
      </w:r>
      <w:r w:rsidR="00B026F4">
        <w:rPr>
          <w:rFonts w:ascii="GHEA Mariam" w:hAnsi="GHEA Mariam"/>
        </w:rPr>
        <w:t>)</w:t>
      </w:r>
      <w:r w:rsidR="00B026F4">
        <w:rPr>
          <w:rFonts w:ascii="GHEA Mariam" w:hAnsi="GHEA Mariam"/>
          <w:lang w:val="hy-AM"/>
        </w:rPr>
        <w:t xml:space="preserve">, ինչպես նաև Կարգով սահմանված շինության նյութի տեսակներից տարբերվող այլ նյութերով կառուցված շենքեր </w:t>
      </w:r>
      <w:r w:rsidR="00B026F4">
        <w:rPr>
          <w:rFonts w:ascii="GHEA Mariam" w:hAnsi="GHEA Mariam"/>
        </w:rPr>
        <w:t>(</w:t>
      </w:r>
      <w:r w:rsidR="00B026F4">
        <w:rPr>
          <w:rFonts w:ascii="GHEA Mariam" w:hAnsi="GHEA Mariam"/>
          <w:lang w:val="hy-AM"/>
        </w:rPr>
        <w:t>մետաղական կամ մետաղապլաստմասե հավաքովի կոնստուկցիաներ և այլն</w:t>
      </w:r>
      <w:r w:rsidR="00B026F4">
        <w:rPr>
          <w:rFonts w:ascii="GHEA Mariam" w:hAnsi="GHEA Mariam"/>
        </w:rPr>
        <w:t>)</w:t>
      </w:r>
      <w:r w:rsidR="00B026F4">
        <w:rPr>
          <w:rFonts w:ascii="GHEA Mariam" w:hAnsi="GHEA Mariam"/>
          <w:lang w:val="hy-AM"/>
        </w:rPr>
        <w:t>, ապա անհրաժեշտություն է առաջանում Կարգում ամբողջականացնել հնարավոր բոլոր շինության կառուցման նյութի տեսակները և նշված ցանկում ավելացնել նար «այլ նյութերից» տեսակը։</w:t>
      </w:r>
    </w:p>
    <w:p w:rsidR="00B026F4" w:rsidRDefault="00B026F4" w:rsidP="00A82395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3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 xml:space="preserve"> Օրենքի 6-րդ հոդվածի 3-րդ մասի համաձայն՝ ներկայումս պետության և համայքային սեփականություն հանդիսացող գյուղատնտեսական արտադրական օբյեկտների, բացառությամբ վերամշակող օբյեկտների, կառուցման և սպասարկման համար հատկացված հողերի օտարման </w:t>
      </w:r>
      <w:r>
        <w:rPr>
          <w:rFonts w:ascii="GHEA Mariam" w:hAnsi="GHEA Mariam"/>
        </w:rPr>
        <w:t>(</w:t>
      </w:r>
      <w:r>
        <w:rPr>
          <w:rFonts w:ascii="GHEA Mariam" w:hAnsi="GHEA Mariam"/>
          <w:lang w:val="hy-AM"/>
        </w:rPr>
        <w:t>ուղղակի կամ աճուրդով վաճառելու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 xml:space="preserve"> գների նկատմամբ կիրառվում է լրացուցիչ նվազեցնող 0,6 գործակից։</w:t>
      </w:r>
    </w:p>
    <w:p w:rsidR="00B026F4" w:rsidRPr="00B026F4" w:rsidRDefault="00B026F4" w:rsidP="00A82395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930F46">
        <w:rPr>
          <w:rFonts w:ascii="GHEA Mariam" w:hAnsi="GHEA Mariam"/>
          <w:lang w:val="hy-AM"/>
        </w:rPr>
        <w:t xml:space="preserve">Նշված դրույթի կիրառման ժամանակ նշված հողամասերի նկատմամբ կիրառելով 0,6 գործակից առաջանում է մեծ անհամապատասխանություն դրա շուկայական արժեքին մոտարկված կադաստրային արժեքի նկատմամբ, և հողամասի ձեռք բերումից հետո դրա նպատակային կամ գործառնական նշանակության փոփոխությունից հետո կադաստրային արժեքի տարբերության վճարման օրենսդրական կարգավորում ներկայումս առկա չէ, հետևաբար անհրաժեշտություն է առաջանում նշված հողամասերի օտարման դեպքերում դրանք օտարել Օրենքի 3-րդ հոդվածով սահմանված գնահատման կարգով հաշվարկված հողամասի շուկայական արժեքին մոտարկված կադաստրային արժեքով։ Բացի այդ՝ Օրենքով ՀՀ հողային օրենսգրքի 64-րդ հոդվածի համաձայն օտարման պահին հողամասի շուկայական արժեքին նոտարկված կադաստրային արժեքի վճարման պայմանով սեփականության իրավունքով փոխանցված նշված տեսակի հողամասերի նկատմամբ 0,6 գործակցի կիրառում սահմանված չէ, ինչը </w:t>
      </w:r>
      <w:r w:rsidR="006F6D7C">
        <w:rPr>
          <w:rFonts w:ascii="GHEA Mariam" w:hAnsi="GHEA Mariam"/>
          <w:lang w:val="hy-AM"/>
        </w:rPr>
        <w:t>ոչ նույնական մոտեցում</w:t>
      </w:r>
      <w:r w:rsidR="00930F46">
        <w:rPr>
          <w:rFonts w:ascii="GHEA Mariam" w:hAnsi="GHEA Mariam"/>
          <w:lang w:val="hy-AM"/>
        </w:rPr>
        <w:t xml:space="preserve"> </w:t>
      </w:r>
      <w:r w:rsidR="006F6D7C">
        <w:rPr>
          <w:rFonts w:ascii="GHEA Mariam" w:hAnsi="GHEA Mariam"/>
          <w:lang w:val="hy-AM"/>
        </w:rPr>
        <w:t>է և առաջացնում է տարընթերցում։</w:t>
      </w:r>
    </w:p>
    <w:p w:rsidR="00911ACE" w:rsidRPr="00A82395" w:rsidRDefault="005F08A8" w:rsidP="00A82395">
      <w:pPr>
        <w:spacing w:line="276" w:lineRule="auto"/>
        <w:jc w:val="both"/>
        <w:rPr>
          <w:rFonts w:ascii="GHEA Mariam" w:hAnsi="GHEA Mariam"/>
          <w:lang w:val="hy-AM"/>
        </w:rPr>
      </w:pPr>
      <w:r w:rsidRPr="00A82395">
        <w:rPr>
          <w:rFonts w:ascii="GHEA Mariam" w:hAnsi="GHEA Mariam"/>
          <w:lang w:val="hy-AM"/>
        </w:rPr>
        <w:t xml:space="preserve"> </w:t>
      </w:r>
    </w:p>
    <w:p w:rsidR="00873636" w:rsidRPr="00A82395" w:rsidRDefault="00873636" w:rsidP="00A82395">
      <w:pPr>
        <w:spacing w:line="276" w:lineRule="auto"/>
        <w:ind w:firstLine="426"/>
        <w:jc w:val="both"/>
        <w:rPr>
          <w:rFonts w:ascii="GHEA Mariam" w:hAnsi="GHEA Mariam"/>
        </w:rPr>
      </w:pPr>
    </w:p>
    <w:p w:rsidR="00911ACE" w:rsidRPr="00A82395" w:rsidRDefault="00911ACE" w:rsidP="00A82395">
      <w:pPr>
        <w:pStyle w:val="ListParagraph"/>
        <w:numPr>
          <w:ilvl w:val="0"/>
          <w:numId w:val="6"/>
        </w:numPr>
        <w:spacing w:after="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82395">
        <w:rPr>
          <w:rFonts w:ascii="GHEA Mariam" w:hAnsi="GHEA Mariam"/>
          <w:b/>
          <w:sz w:val="24"/>
          <w:szCs w:val="24"/>
          <w:lang w:val="hy-AM"/>
        </w:rPr>
        <w:t>Առաջարկվող կարգավորման բնույթը</w:t>
      </w:r>
      <w:r w:rsidR="00284FC8" w:rsidRPr="00A82395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1ACE" w:rsidRPr="00A82395" w:rsidRDefault="0056388F" w:rsidP="00A82395">
      <w:pPr>
        <w:spacing w:line="276" w:lineRule="auto"/>
        <w:jc w:val="both"/>
        <w:rPr>
          <w:rFonts w:ascii="GHEA Mariam" w:hAnsi="GHEA Mariam"/>
        </w:rPr>
      </w:pPr>
      <w:r w:rsidRPr="00A82395">
        <w:rPr>
          <w:rFonts w:ascii="GHEA Mariam" w:hAnsi="GHEA Mariam"/>
        </w:rPr>
        <w:t xml:space="preserve">   </w:t>
      </w:r>
      <w:r w:rsidR="00873636" w:rsidRPr="00A82395">
        <w:rPr>
          <w:rFonts w:ascii="GHEA Mariam" w:hAnsi="GHEA Mariam"/>
        </w:rPr>
        <w:t xml:space="preserve">Կարգավորման բնույթը </w:t>
      </w:r>
      <w:r w:rsidR="00570CF0" w:rsidRPr="00A82395">
        <w:rPr>
          <w:rFonts w:ascii="GHEA Mariam" w:hAnsi="GHEA Mariam"/>
          <w:lang w:val="hy-AM"/>
        </w:rPr>
        <w:t>ՀՀ հար</w:t>
      </w:r>
      <w:r w:rsidR="006A5968" w:rsidRPr="00A82395">
        <w:rPr>
          <w:rFonts w:ascii="GHEA Mariam" w:hAnsi="GHEA Mariam"/>
          <w:lang w:val="hy-AM"/>
        </w:rPr>
        <w:t xml:space="preserve">կային օրենսգրքի </w:t>
      </w:r>
      <w:r w:rsidR="006F6D7C">
        <w:rPr>
          <w:rFonts w:ascii="GHEA Mariam" w:hAnsi="GHEA Mariam"/>
          <w:lang w:val="hy-AM"/>
        </w:rPr>
        <w:t>227</w:t>
      </w:r>
      <w:r w:rsidR="006A5968" w:rsidRPr="00A82395">
        <w:rPr>
          <w:rFonts w:ascii="GHEA Mariam" w:hAnsi="GHEA Mariam"/>
          <w:lang w:val="hy-AM"/>
        </w:rPr>
        <w:t xml:space="preserve">-րդ </w:t>
      </w:r>
      <w:r w:rsidR="006F6D7C">
        <w:rPr>
          <w:rFonts w:ascii="GHEA Mariam" w:hAnsi="GHEA Mariam"/>
          <w:lang w:val="hy-AM"/>
        </w:rPr>
        <w:t xml:space="preserve">հոդվածով սահմանված անշարժ գույքի հարկով հարկման օբյկտները Օրենքի 4-րդ և 5-րդ հոդվածներով սահմանված գնահատման կարգերով հաշվարկման և անշարժ գույքի շուկայական </w:t>
      </w:r>
      <w:r w:rsidR="006F6D7C">
        <w:rPr>
          <w:rFonts w:ascii="GHEA Mariam" w:hAnsi="GHEA Mariam"/>
          <w:lang w:val="hy-AM"/>
        </w:rPr>
        <w:lastRenderedPageBreak/>
        <w:t xml:space="preserve">արժեքին մոտարկված կադաստրային արժեքների ձևավորումն է, ինչպես նաև պետության և համայքային սեփականություն հանդիսացող գյուղատնտեսական արտադրական օբյեկտների, բացառությամբ վերամշակող օբյեկտների, կառուցման և սպասարկման համար հատկացված հողերը շուկայական արժեքին մոտարկված կադաստրային արժեքներով օտարումը։ </w:t>
      </w:r>
    </w:p>
    <w:p w:rsidR="00911ACE" w:rsidRPr="00A82395" w:rsidRDefault="00911ACE" w:rsidP="00A82395">
      <w:pPr>
        <w:spacing w:line="276" w:lineRule="auto"/>
        <w:ind w:firstLine="426"/>
        <w:jc w:val="both"/>
        <w:rPr>
          <w:rFonts w:ascii="GHEA Mariam" w:hAnsi="GHEA Mariam"/>
        </w:rPr>
      </w:pPr>
    </w:p>
    <w:p w:rsidR="00911ACE" w:rsidRPr="00A82395" w:rsidRDefault="00911ACE" w:rsidP="00A82395">
      <w:pPr>
        <w:pStyle w:val="ListParagraph"/>
        <w:numPr>
          <w:ilvl w:val="0"/>
          <w:numId w:val="6"/>
        </w:numPr>
        <w:spacing w:after="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82395">
        <w:rPr>
          <w:rFonts w:ascii="GHEA Mariam" w:hAnsi="GHEA Mariam"/>
          <w:b/>
          <w:sz w:val="24"/>
          <w:szCs w:val="24"/>
          <w:lang w:val="hy-AM"/>
        </w:rPr>
        <w:t>Ակնկալվող արդյունքը</w:t>
      </w:r>
      <w:r w:rsidR="00284FC8" w:rsidRPr="00A82395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B213BD" w:rsidRDefault="0056388F" w:rsidP="00B213BD">
      <w:pPr>
        <w:spacing w:line="276" w:lineRule="auto"/>
        <w:jc w:val="both"/>
        <w:rPr>
          <w:rFonts w:ascii="GHEA Mariam" w:hAnsi="GHEA Mariam"/>
          <w:lang w:val="hy-AM"/>
        </w:rPr>
      </w:pPr>
      <w:r w:rsidRPr="00A82395">
        <w:rPr>
          <w:rFonts w:ascii="GHEA Mariam" w:hAnsi="GHEA Mariam"/>
          <w:lang w:val="hy-AM"/>
        </w:rPr>
        <w:t xml:space="preserve">   </w:t>
      </w:r>
      <w:r w:rsidR="00911ACE" w:rsidRPr="00A82395">
        <w:rPr>
          <w:rFonts w:ascii="GHEA Mariam" w:hAnsi="GHEA Mariam"/>
        </w:rPr>
        <w:t xml:space="preserve">Իրավական ակտի ընդունմամբ </w:t>
      </w:r>
      <w:r w:rsidR="00B213BD" w:rsidRPr="00A82395">
        <w:rPr>
          <w:rFonts w:ascii="GHEA Mariam" w:hAnsi="GHEA Mariam"/>
          <w:lang w:val="hy-AM"/>
        </w:rPr>
        <w:t>շինության մաս կազմող</w:t>
      </w:r>
      <w:r w:rsidR="00B213BD">
        <w:rPr>
          <w:rFonts w:ascii="GHEA Mariam" w:hAnsi="GHEA Mariam"/>
          <w:lang w:val="hy-AM"/>
        </w:rPr>
        <w:t>՝</w:t>
      </w:r>
      <w:r w:rsidR="00B213BD" w:rsidRPr="00A82395">
        <w:rPr>
          <w:rFonts w:ascii="GHEA Mariam" w:hAnsi="GHEA Mariam"/>
          <w:lang w:val="hy-AM"/>
        </w:rPr>
        <w:t xml:space="preserve"> հարթակները, բաց պատշգամբները, ծածկերը, արտաքին աստիճանահարթակներն ու աստիճանավանդակները, հարթ տանիքները</w:t>
      </w:r>
      <w:r w:rsidR="00B213BD">
        <w:rPr>
          <w:rFonts w:ascii="GHEA Mariam" w:hAnsi="GHEA Mariam"/>
          <w:lang w:val="hy-AM"/>
        </w:rPr>
        <w:t xml:space="preserve"> կգնահատվեն ծածկերի, շվաքարանների գնահատման կարգով և հարկման բազայում դրանք կընդգրկվեն համապատասխան շուկայական արժեքին մոտարկված կադաստրային արժեքներով, կիրականացվի նաև առանձին հարթակների և հենապատերի շուկայական արժեքին մոտարկված կադաստրային գնահատություն։</w:t>
      </w:r>
    </w:p>
    <w:p w:rsidR="00B213BD" w:rsidRDefault="00B213BD" w:rsidP="00B213BD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Իրավական ակտի ընդունմամբ</w:t>
      </w:r>
      <w:r w:rsidR="00FC2C9E">
        <w:rPr>
          <w:rFonts w:ascii="GHEA Mariam" w:hAnsi="GHEA Mariam"/>
          <w:lang w:val="hy-AM"/>
        </w:rPr>
        <w:t xml:space="preserve"> պետության և համայքային սեփականություն հանդիսացող գյուղատնտեսական արտադրական օբյեկտների, բացառությամբ վերամշակող օբյեկտների, կառուցման և սպասարկման համար հատկացված հողերը կօտարման հողամասի շուկայական արժեքին մոտարկված կադաստրային արժեքներով։</w:t>
      </w:r>
      <w:r>
        <w:rPr>
          <w:rFonts w:ascii="GHEA Mariam" w:hAnsi="GHEA Mariam"/>
          <w:lang w:val="hy-AM"/>
        </w:rPr>
        <w:t xml:space="preserve"> </w:t>
      </w:r>
    </w:p>
    <w:p w:rsidR="00911ACE" w:rsidRDefault="00050389" w:rsidP="00B213BD">
      <w:pPr>
        <w:spacing w:line="276" w:lineRule="auto"/>
        <w:jc w:val="both"/>
        <w:rPr>
          <w:rFonts w:ascii="GHEA Mariam" w:hAnsi="GHEA Mariam"/>
        </w:rPr>
      </w:pPr>
      <w:r w:rsidRPr="00A82395">
        <w:rPr>
          <w:rFonts w:ascii="GHEA Mariam" w:hAnsi="GHEA Mariam"/>
        </w:rPr>
        <w:t xml:space="preserve">   Նախագիծը չի բխում Հայաստանի վերափոխման ռազմավարության 2050, Կառավարության 2021-2026 թթ. ծրագրից, ոլորտային և/կամ այլ ռազմավարական փաստաթղթերի պահանջներից:</w:t>
      </w: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B213BD">
      <w:pPr>
        <w:spacing w:line="276" w:lineRule="auto"/>
        <w:jc w:val="both"/>
        <w:rPr>
          <w:rFonts w:ascii="GHEA Mariam" w:hAnsi="GHEA Mariam"/>
        </w:rPr>
      </w:pPr>
    </w:p>
    <w:p w:rsidR="004D62DF" w:rsidRDefault="004D62DF" w:rsidP="004D62DF">
      <w:pPr>
        <w:spacing w:line="276" w:lineRule="auto"/>
        <w:jc w:val="center"/>
        <w:rPr>
          <w:rFonts w:ascii="GHEA Mariam" w:hAnsi="GHEA Mariam" w:cs="Sylfaen"/>
          <w:b/>
        </w:rPr>
      </w:pPr>
      <w:r>
        <w:rPr>
          <w:rFonts w:ascii="GHEA Mariam" w:hAnsi="GHEA Mariam" w:cs="Sylfaen"/>
          <w:b/>
          <w:lang w:val="hy-AM"/>
        </w:rPr>
        <w:lastRenderedPageBreak/>
        <w:t>Տ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Ղ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Ն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Ք</w:t>
      </w:r>
    </w:p>
    <w:p w:rsidR="004D62DF" w:rsidRDefault="004D62DF" w:rsidP="004D62DF">
      <w:pPr>
        <w:spacing w:line="276" w:lineRule="auto"/>
        <w:jc w:val="center"/>
        <w:rPr>
          <w:rFonts w:ascii="GHEA Mariam" w:hAnsi="GHEA Mariam"/>
          <w:b/>
        </w:rPr>
      </w:pPr>
    </w:p>
    <w:p w:rsidR="004D62DF" w:rsidRDefault="004D62DF" w:rsidP="004D62DF">
      <w:pPr>
        <w:spacing w:line="276" w:lineRule="auto"/>
        <w:jc w:val="center"/>
        <w:rPr>
          <w:rFonts w:ascii="GHEA Mariam" w:hAnsi="GHEA Mariam"/>
          <w:b/>
          <w:lang w:val="hy-AM"/>
        </w:rPr>
      </w:pPr>
      <w:r w:rsidRPr="00A82395">
        <w:rPr>
          <w:rFonts w:ascii="GHEA Mariam" w:hAnsi="GHEA Mariam"/>
          <w:b/>
          <w:lang w:val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 ՕՐԵՆՔՈՒՄ ԼՐԱՑՈՒՄ</w:t>
      </w:r>
      <w:r w:rsidR="00381BAB">
        <w:rPr>
          <w:rFonts w:ascii="GHEA Mariam" w:hAnsi="GHEA Mariam"/>
          <w:b/>
          <w:lang w:val="hy-AM"/>
        </w:rPr>
        <w:t>ՆԵՐ</w:t>
      </w:r>
      <w:r w:rsidRPr="00A82395">
        <w:rPr>
          <w:rFonts w:ascii="GHEA Mariam" w:hAnsi="GHEA Mariam"/>
          <w:b/>
          <w:lang w:val="hy-AM"/>
        </w:rPr>
        <w:t xml:space="preserve"> ԵՎ ՓՈՓՈԽՈՒԹՅՈՒՆՆԵՐ</w:t>
      </w:r>
      <w:r w:rsidRPr="00A82395">
        <w:rPr>
          <w:rFonts w:ascii="GHEA Mariam" w:hAnsi="GHEA Mariam"/>
          <w:b/>
        </w:rPr>
        <w:t xml:space="preserve"> ԿԱՏԱՐԵԼՈՒ ՄԱՍԻՆ</w:t>
      </w:r>
      <w:r w:rsidRPr="00A82395">
        <w:rPr>
          <w:rFonts w:ascii="GHEA Mariam" w:hAnsi="GHEA Mariam"/>
          <w:b/>
          <w:lang w:val="hy-AM"/>
        </w:rPr>
        <w:t xml:space="preserve">» </w:t>
      </w:r>
      <w:r w:rsidRPr="00A82395">
        <w:rPr>
          <w:rStyle w:val="Strong"/>
          <w:rFonts w:ascii="GHEA Mariam" w:hAnsi="GHEA Mariam" w:cs="Sylfaen"/>
        </w:rPr>
        <w:t xml:space="preserve"> ՀԱՅԱՍՏԱՆԻ ՀԱՆՐԱՊԵՏՈՒԹՅԱՆ</w:t>
      </w:r>
      <w:r>
        <w:rPr>
          <w:rFonts w:ascii="GHEA Mariam" w:hAnsi="GHEA Mariam" w:cs="Sylfaen"/>
          <w:b/>
          <w:iCs/>
        </w:rPr>
        <w:t xml:space="preserve"> ՕՐԵՆՔ</w:t>
      </w:r>
      <w:r>
        <w:rPr>
          <w:rFonts w:ascii="GHEA Mariam" w:hAnsi="GHEA Mariam" w:cs="Sylfaen"/>
          <w:b/>
          <w:iCs/>
          <w:lang w:val="hy-AM"/>
        </w:rPr>
        <w:t>Ի</w:t>
      </w:r>
      <w:r>
        <w:rPr>
          <w:rFonts w:ascii="GHEA Mariam" w:hAnsi="GHEA Mariam" w:cs="Sylfaen"/>
          <w:b/>
          <w:lang w:val="hy-AM"/>
        </w:rPr>
        <w:t xml:space="preserve"> ԸՆԴՈՒՆՄԱՆ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ԿԱՊԱԿՑՈՒԹՅԱՄԲ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Times Armenian"/>
          <w:b/>
        </w:rPr>
        <w:t xml:space="preserve">ՀԱՅԱՍՏԱՆԻ ՀԱՆՐԱՊԵՏՈՒԹՅԱՆ </w:t>
      </w:r>
      <w:r>
        <w:rPr>
          <w:rFonts w:ascii="GHEA Mariam" w:hAnsi="GHEA Mariam" w:cs="Sylfaen"/>
          <w:b/>
          <w:lang w:val="hy-AM"/>
        </w:rPr>
        <w:t>ՊԵՏԱԿԱՆ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Times Armenian"/>
          <w:b/>
        </w:rPr>
        <w:t xml:space="preserve">ԵՎ ՏԵՂԱԿԱՆ ԻՆՔՆԱԿԱՌԱՎԱՐՄԱՆ ՄԱՐՄԻՆՆԵՐԻ </w:t>
      </w:r>
      <w:r>
        <w:rPr>
          <w:rFonts w:ascii="GHEA Mariam" w:hAnsi="GHEA Mariam" w:cs="Sylfaen"/>
          <w:b/>
          <w:lang w:val="hy-AM"/>
        </w:rPr>
        <w:t>ԲՅՈՒՋԵ</w:t>
      </w:r>
      <w:r>
        <w:rPr>
          <w:rFonts w:ascii="GHEA Mariam" w:hAnsi="GHEA Mariam" w:cs="Sylfaen"/>
          <w:b/>
        </w:rPr>
        <w:t>ՆԵՐ</w:t>
      </w:r>
      <w:r>
        <w:rPr>
          <w:rFonts w:ascii="GHEA Mariam" w:hAnsi="GHEA Mariam" w:cs="Sylfaen"/>
          <w:b/>
          <w:lang w:val="hy-AM"/>
        </w:rPr>
        <w:t>ՈՒՄ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ԾԱԽՍԵՐԻ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ՈՒ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ԵԿԱՄՈՒՏՆԵՐԻ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ԱՎԵԼԱՑՄԱՆ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ԵՎ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ՆՎԱԶԵՑՄԱՆ</w:t>
      </w:r>
      <w:r>
        <w:rPr>
          <w:rFonts w:ascii="GHEA Mariam" w:hAnsi="GHEA Mariam" w:cs="Times Armenia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4D62DF" w:rsidRDefault="004D62DF" w:rsidP="004D62DF">
      <w:pPr>
        <w:spacing w:line="276" w:lineRule="auto"/>
        <w:jc w:val="both"/>
        <w:rPr>
          <w:rFonts w:ascii="GHEA Mariam" w:hAnsi="GHEA Mariam"/>
          <w:lang w:val="hy-AM"/>
        </w:rPr>
      </w:pPr>
    </w:p>
    <w:p w:rsidR="004D62DF" w:rsidRDefault="004D62DF" w:rsidP="004D62DF">
      <w:pPr>
        <w:spacing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«Ա</w:t>
      </w:r>
      <w:r>
        <w:rPr>
          <w:rFonts w:ascii="GHEA Mariam" w:hAnsi="GHEA Mariam" w:cs="Sylfaen"/>
        </w:rPr>
        <w:t>նշարժ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գույքի հարկով հարկման նպատակով անշարժ գույքի շուկայական արժեքին մոտարկված կադաստրային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գնահատման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կարգը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սահմանելու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</w:rPr>
        <w:t>»</w:t>
      </w:r>
      <w:r>
        <w:rPr>
          <w:rFonts w:ascii="GHEA Mariam" w:hAnsi="GHEA Mariam"/>
          <w:lang w:val="hy-AM"/>
        </w:rPr>
        <w:t xml:space="preserve"> օրենքում </w:t>
      </w:r>
      <w:r>
        <w:rPr>
          <w:rFonts w:ascii="GHEA Mariam" w:hAnsi="GHEA Mariam"/>
        </w:rPr>
        <w:t>լրացում</w:t>
      </w:r>
      <w:r w:rsidR="00C112C9">
        <w:rPr>
          <w:rFonts w:ascii="GHEA Mariam" w:hAnsi="GHEA Mariam"/>
          <w:lang w:val="hy-AM"/>
        </w:rPr>
        <w:t>ներ</w:t>
      </w:r>
      <w:bookmarkStart w:id="0" w:name="_GoBack"/>
      <w:bookmarkEnd w:id="0"/>
      <w:r>
        <w:rPr>
          <w:rFonts w:ascii="GHEA Mariam" w:hAnsi="GHEA Mariam"/>
          <w:lang w:val="hy-AM"/>
        </w:rPr>
        <w:t xml:space="preserve"> և փոփոխություններ</w:t>
      </w:r>
      <w:r>
        <w:rPr>
          <w:rFonts w:ascii="GHEA Mariam" w:hAnsi="GHEA Mariam"/>
        </w:rPr>
        <w:t xml:space="preserve"> կատարելու մասին»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Հայաստանի Հանրապետության օրենք</w:t>
      </w:r>
      <w:r>
        <w:rPr>
          <w:rFonts w:ascii="GHEA Mariam" w:hAnsi="GHEA Mariam"/>
          <w:lang w:val="hy-AM"/>
        </w:rPr>
        <w:t xml:space="preserve">ի </w:t>
      </w:r>
      <w:r>
        <w:rPr>
          <w:rFonts w:ascii="GHEA Mariam" w:hAnsi="GHEA Mariam"/>
          <w:bCs/>
          <w:lang w:val="hy-AM"/>
        </w:rPr>
        <w:t>նախագծի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ընդունումը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Times Armenian"/>
        </w:rPr>
        <w:t xml:space="preserve">և տեղական ինքնակառավարման մարմինների </w:t>
      </w:r>
      <w:r>
        <w:rPr>
          <w:rFonts w:ascii="GHEA Mariam" w:hAnsi="GHEA Mariam" w:cs="Sylfaen"/>
          <w:lang w:val="hy-AM"/>
        </w:rPr>
        <w:t>բյուջե</w:t>
      </w:r>
      <w:r>
        <w:rPr>
          <w:rFonts w:ascii="GHEA Mariam" w:hAnsi="GHEA Mariam" w:cs="Sylfaen"/>
        </w:rPr>
        <w:t>ներում առաջացնում է</w:t>
      </w:r>
      <w:r>
        <w:rPr>
          <w:rFonts w:ascii="GHEA Mariam" w:hAnsi="GHEA Mariam" w:cs="Times Armenian"/>
          <w:lang w:val="hy-AM"/>
        </w:rPr>
        <w:t xml:space="preserve">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 w:cs="Times Armenian"/>
          <w:lang w:val="hy-AM"/>
        </w:rPr>
        <w:t xml:space="preserve"> ավելացում</w:t>
      </w:r>
      <w:r>
        <w:rPr>
          <w:rFonts w:ascii="GHEA Mariam" w:hAnsi="GHEA Mariam"/>
          <w:lang w:val="hy-AM"/>
        </w:rPr>
        <w:t>:</w:t>
      </w:r>
    </w:p>
    <w:p w:rsidR="004D62DF" w:rsidRPr="00A82395" w:rsidRDefault="004D62DF" w:rsidP="00B213BD">
      <w:pPr>
        <w:spacing w:line="276" w:lineRule="auto"/>
        <w:jc w:val="both"/>
        <w:rPr>
          <w:rFonts w:ascii="GHEA Mariam" w:hAnsi="GHEA Mariam"/>
          <w:lang w:val="af-ZA"/>
        </w:rPr>
      </w:pPr>
    </w:p>
    <w:sectPr w:rsidR="004D62DF" w:rsidRPr="00A82395" w:rsidSect="005638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A2" w:rsidRDefault="00C84BA2">
      <w:r>
        <w:separator/>
      </w:r>
    </w:p>
  </w:endnote>
  <w:endnote w:type="continuationSeparator" w:id="0">
    <w:p w:rsidR="00C84BA2" w:rsidRDefault="00C8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A2" w:rsidRDefault="00C84BA2">
      <w:r>
        <w:separator/>
      </w:r>
    </w:p>
  </w:footnote>
  <w:footnote w:type="continuationSeparator" w:id="0">
    <w:p w:rsidR="00C84BA2" w:rsidRDefault="00C8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50389"/>
    <w:rsid w:val="000538E6"/>
    <w:rsid w:val="00054B93"/>
    <w:rsid w:val="00056AF3"/>
    <w:rsid w:val="00060C0E"/>
    <w:rsid w:val="000622A5"/>
    <w:rsid w:val="000657FA"/>
    <w:rsid w:val="00072897"/>
    <w:rsid w:val="000732D3"/>
    <w:rsid w:val="0008282E"/>
    <w:rsid w:val="00084B99"/>
    <w:rsid w:val="00086C1B"/>
    <w:rsid w:val="0009186A"/>
    <w:rsid w:val="000A2FE0"/>
    <w:rsid w:val="000A4A33"/>
    <w:rsid w:val="000A57EF"/>
    <w:rsid w:val="000B04F9"/>
    <w:rsid w:val="000B3176"/>
    <w:rsid w:val="000B3923"/>
    <w:rsid w:val="000B39C1"/>
    <w:rsid w:val="000B76BA"/>
    <w:rsid w:val="000C0FA1"/>
    <w:rsid w:val="000C5120"/>
    <w:rsid w:val="000D23C2"/>
    <w:rsid w:val="000D3231"/>
    <w:rsid w:val="000D62F4"/>
    <w:rsid w:val="000D6A10"/>
    <w:rsid w:val="000E3A9D"/>
    <w:rsid w:val="000F09D2"/>
    <w:rsid w:val="000F41CE"/>
    <w:rsid w:val="000F4F26"/>
    <w:rsid w:val="000F5007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278BA"/>
    <w:rsid w:val="0012791C"/>
    <w:rsid w:val="001435A3"/>
    <w:rsid w:val="00143B88"/>
    <w:rsid w:val="00145847"/>
    <w:rsid w:val="00146E0F"/>
    <w:rsid w:val="00152508"/>
    <w:rsid w:val="00152626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681E"/>
    <w:rsid w:val="001A1764"/>
    <w:rsid w:val="001A23E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3F92"/>
    <w:rsid w:val="00207822"/>
    <w:rsid w:val="00207CE0"/>
    <w:rsid w:val="00210F5F"/>
    <w:rsid w:val="0021446B"/>
    <w:rsid w:val="0021609D"/>
    <w:rsid w:val="00217612"/>
    <w:rsid w:val="00225262"/>
    <w:rsid w:val="00225DA9"/>
    <w:rsid w:val="002261F2"/>
    <w:rsid w:val="002351B2"/>
    <w:rsid w:val="002404A7"/>
    <w:rsid w:val="00240B43"/>
    <w:rsid w:val="00241E59"/>
    <w:rsid w:val="002453BB"/>
    <w:rsid w:val="00247C0F"/>
    <w:rsid w:val="00253049"/>
    <w:rsid w:val="0025367E"/>
    <w:rsid w:val="0025396A"/>
    <w:rsid w:val="0025462E"/>
    <w:rsid w:val="002567E2"/>
    <w:rsid w:val="00266389"/>
    <w:rsid w:val="002670FF"/>
    <w:rsid w:val="002716C6"/>
    <w:rsid w:val="00280665"/>
    <w:rsid w:val="00280BCF"/>
    <w:rsid w:val="00282270"/>
    <w:rsid w:val="00284D56"/>
    <w:rsid w:val="00284FC8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301DA5"/>
    <w:rsid w:val="003024E9"/>
    <w:rsid w:val="00302AFB"/>
    <w:rsid w:val="00302D0C"/>
    <w:rsid w:val="0030445E"/>
    <w:rsid w:val="00307B2A"/>
    <w:rsid w:val="003131F1"/>
    <w:rsid w:val="00314930"/>
    <w:rsid w:val="00315C56"/>
    <w:rsid w:val="0031743C"/>
    <w:rsid w:val="00323232"/>
    <w:rsid w:val="00324AC0"/>
    <w:rsid w:val="00325EFB"/>
    <w:rsid w:val="00333C17"/>
    <w:rsid w:val="003362C2"/>
    <w:rsid w:val="00343190"/>
    <w:rsid w:val="0034364E"/>
    <w:rsid w:val="00347ECA"/>
    <w:rsid w:val="00353861"/>
    <w:rsid w:val="00360AAE"/>
    <w:rsid w:val="003634F2"/>
    <w:rsid w:val="00364090"/>
    <w:rsid w:val="0036601F"/>
    <w:rsid w:val="003672EE"/>
    <w:rsid w:val="0037172F"/>
    <w:rsid w:val="00372531"/>
    <w:rsid w:val="00377597"/>
    <w:rsid w:val="003811CE"/>
    <w:rsid w:val="00381597"/>
    <w:rsid w:val="00381BAB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F277A"/>
    <w:rsid w:val="003F2E78"/>
    <w:rsid w:val="003F382F"/>
    <w:rsid w:val="003F5DC9"/>
    <w:rsid w:val="003F6610"/>
    <w:rsid w:val="003F73C1"/>
    <w:rsid w:val="004014E5"/>
    <w:rsid w:val="00402F89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63AC"/>
    <w:rsid w:val="004740EC"/>
    <w:rsid w:val="0047573A"/>
    <w:rsid w:val="00477074"/>
    <w:rsid w:val="004831B7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42E3"/>
    <w:rsid w:val="004C4682"/>
    <w:rsid w:val="004D30EA"/>
    <w:rsid w:val="004D51E7"/>
    <w:rsid w:val="004D533A"/>
    <w:rsid w:val="004D539D"/>
    <w:rsid w:val="004D62DF"/>
    <w:rsid w:val="004F264A"/>
    <w:rsid w:val="004F3C36"/>
    <w:rsid w:val="004F6BC0"/>
    <w:rsid w:val="0050148D"/>
    <w:rsid w:val="00502273"/>
    <w:rsid w:val="00505CD7"/>
    <w:rsid w:val="005070B4"/>
    <w:rsid w:val="00510338"/>
    <w:rsid w:val="00514F09"/>
    <w:rsid w:val="00520DFF"/>
    <w:rsid w:val="0052326E"/>
    <w:rsid w:val="00525256"/>
    <w:rsid w:val="00526BCF"/>
    <w:rsid w:val="00526D33"/>
    <w:rsid w:val="00533569"/>
    <w:rsid w:val="00534AC1"/>
    <w:rsid w:val="00540AE3"/>
    <w:rsid w:val="00541B7F"/>
    <w:rsid w:val="0054237F"/>
    <w:rsid w:val="005447CF"/>
    <w:rsid w:val="00546541"/>
    <w:rsid w:val="005500D7"/>
    <w:rsid w:val="00553837"/>
    <w:rsid w:val="00554DB7"/>
    <w:rsid w:val="00555599"/>
    <w:rsid w:val="0056388F"/>
    <w:rsid w:val="0056405A"/>
    <w:rsid w:val="00570CF0"/>
    <w:rsid w:val="0057437A"/>
    <w:rsid w:val="0058078F"/>
    <w:rsid w:val="00580A24"/>
    <w:rsid w:val="00584D9F"/>
    <w:rsid w:val="00585452"/>
    <w:rsid w:val="005927BD"/>
    <w:rsid w:val="00592C8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3CA"/>
    <w:rsid w:val="005C4EB8"/>
    <w:rsid w:val="005C5D01"/>
    <w:rsid w:val="005C66F4"/>
    <w:rsid w:val="005D0366"/>
    <w:rsid w:val="005D040E"/>
    <w:rsid w:val="005D308B"/>
    <w:rsid w:val="005D5EFA"/>
    <w:rsid w:val="005D7459"/>
    <w:rsid w:val="005D79A3"/>
    <w:rsid w:val="005E179C"/>
    <w:rsid w:val="005E56B1"/>
    <w:rsid w:val="005F01F2"/>
    <w:rsid w:val="005F08A8"/>
    <w:rsid w:val="005F666D"/>
    <w:rsid w:val="005F7E7E"/>
    <w:rsid w:val="00605141"/>
    <w:rsid w:val="00605CDF"/>
    <w:rsid w:val="00606DD0"/>
    <w:rsid w:val="00611313"/>
    <w:rsid w:val="0061508C"/>
    <w:rsid w:val="00620F9F"/>
    <w:rsid w:val="00622CC7"/>
    <w:rsid w:val="006256F1"/>
    <w:rsid w:val="0062630A"/>
    <w:rsid w:val="00627C5D"/>
    <w:rsid w:val="00631EBF"/>
    <w:rsid w:val="00633DEC"/>
    <w:rsid w:val="0063410B"/>
    <w:rsid w:val="00637154"/>
    <w:rsid w:val="00641E59"/>
    <w:rsid w:val="00647B03"/>
    <w:rsid w:val="00652021"/>
    <w:rsid w:val="00660715"/>
    <w:rsid w:val="00673A1D"/>
    <w:rsid w:val="006741EE"/>
    <w:rsid w:val="00675819"/>
    <w:rsid w:val="00676525"/>
    <w:rsid w:val="00676DCA"/>
    <w:rsid w:val="00686852"/>
    <w:rsid w:val="00686DC9"/>
    <w:rsid w:val="00687D32"/>
    <w:rsid w:val="006901C5"/>
    <w:rsid w:val="00696761"/>
    <w:rsid w:val="00697584"/>
    <w:rsid w:val="006A070F"/>
    <w:rsid w:val="006A0FED"/>
    <w:rsid w:val="006A133B"/>
    <w:rsid w:val="006A37B5"/>
    <w:rsid w:val="006A585B"/>
    <w:rsid w:val="006A5968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F12B7"/>
    <w:rsid w:val="006F1CCF"/>
    <w:rsid w:val="006F4870"/>
    <w:rsid w:val="006F4D71"/>
    <w:rsid w:val="006F6D7C"/>
    <w:rsid w:val="006F7FCF"/>
    <w:rsid w:val="00702A03"/>
    <w:rsid w:val="0070372B"/>
    <w:rsid w:val="0071017B"/>
    <w:rsid w:val="00714D0D"/>
    <w:rsid w:val="007153C2"/>
    <w:rsid w:val="00720642"/>
    <w:rsid w:val="00725B4E"/>
    <w:rsid w:val="00730421"/>
    <w:rsid w:val="00730EBC"/>
    <w:rsid w:val="00741F2D"/>
    <w:rsid w:val="00744578"/>
    <w:rsid w:val="00747C3B"/>
    <w:rsid w:val="007508A5"/>
    <w:rsid w:val="00752DEF"/>
    <w:rsid w:val="00754E61"/>
    <w:rsid w:val="00764345"/>
    <w:rsid w:val="00766AD6"/>
    <w:rsid w:val="0077065E"/>
    <w:rsid w:val="00771D17"/>
    <w:rsid w:val="00774C73"/>
    <w:rsid w:val="007768C3"/>
    <w:rsid w:val="00782356"/>
    <w:rsid w:val="00785F3B"/>
    <w:rsid w:val="00787AD6"/>
    <w:rsid w:val="00790BA1"/>
    <w:rsid w:val="007A2FB1"/>
    <w:rsid w:val="007A3C2B"/>
    <w:rsid w:val="007A616B"/>
    <w:rsid w:val="007B7AB0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8010F8"/>
    <w:rsid w:val="008015F6"/>
    <w:rsid w:val="00802B5B"/>
    <w:rsid w:val="008119E1"/>
    <w:rsid w:val="00811CD8"/>
    <w:rsid w:val="008152A2"/>
    <w:rsid w:val="00815634"/>
    <w:rsid w:val="00815D22"/>
    <w:rsid w:val="00816D4B"/>
    <w:rsid w:val="008171F6"/>
    <w:rsid w:val="008206EE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78C2"/>
    <w:rsid w:val="00840005"/>
    <w:rsid w:val="008478F9"/>
    <w:rsid w:val="00850C54"/>
    <w:rsid w:val="0085505C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5795"/>
    <w:rsid w:val="00876D1C"/>
    <w:rsid w:val="008773B7"/>
    <w:rsid w:val="00877DA4"/>
    <w:rsid w:val="00883B68"/>
    <w:rsid w:val="0088462A"/>
    <w:rsid w:val="00884CCF"/>
    <w:rsid w:val="0089362C"/>
    <w:rsid w:val="00894CA7"/>
    <w:rsid w:val="00894F9D"/>
    <w:rsid w:val="0089576C"/>
    <w:rsid w:val="00896046"/>
    <w:rsid w:val="008975C1"/>
    <w:rsid w:val="008A03A1"/>
    <w:rsid w:val="008A0537"/>
    <w:rsid w:val="008A07A1"/>
    <w:rsid w:val="008A0844"/>
    <w:rsid w:val="008A099B"/>
    <w:rsid w:val="008A7E60"/>
    <w:rsid w:val="008B006F"/>
    <w:rsid w:val="008B0B62"/>
    <w:rsid w:val="008B7F27"/>
    <w:rsid w:val="008C43B8"/>
    <w:rsid w:val="008C709A"/>
    <w:rsid w:val="008D3DCD"/>
    <w:rsid w:val="008D7A38"/>
    <w:rsid w:val="008E0563"/>
    <w:rsid w:val="008E38CE"/>
    <w:rsid w:val="008E3CE3"/>
    <w:rsid w:val="008E4328"/>
    <w:rsid w:val="008E639F"/>
    <w:rsid w:val="008E64E5"/>
    <w:rsid w:val="008E7FFD"/>
    <w:rsid w:val="008F0C2C"/>
    <w:rsid w:val="008F2B44"/>
    <w:rsid w:val="008F38D5"/>
    <w:rsid w:val="008F4881"/>
    <w:rsid w:val="008F6B15"/>
    <w:rsid w:val="008F743C"/>
    <w:rsid w:val="00902CD0"/>
    <w:rsid w:val="00903E2E"/>
    <w:rsid w:val="009043A6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28"/>
    <w:rsid w:val="009263FB"/>
    <w:rsid w:val="00930606"/>
    <w:rsid w:val="00930F46"/>
    <w:rsid w:val="00932B43"/>
    <w:rsid w:val="00932C12"/>
    <w:rsid w:val="00933529"/>
    <w:rsid w:val="00934C1F"/>
    <w:rsid w:val="0093580F"/>
    <w:rsid w:val="00937F7B"/>
    <w:rsid w:val="009400B6"/>
    <w:rsid w:val="00940AE6"/>
    <w:rsid w:val="009413F2"/>
    <w:rsid w:val="00941447"/>
    <w:rsid w:val="00944386"/>
    <w:rsid w:val="00947238"/>
    <w:rsid w:val="00947C75"/>
    <w:rsid w:val="00950420"/>
    <w:rsid w:val="009532A1"/>
    <w:rsid w:val="009541BE"/>
    <w:rsid w:val="00955E26"/>
    <w:rsid w:val="009561A0"/>
    <w:rsid w:val="0096016B"/>
    <w:rsid w:val="00970B1A"/>
    <w:rsid w:val="00972E91"/>
    <w:rsid w:val="009777A8"/>
    <w:rsid w:val="00983C53"/>
    <w:rsid w:val="009875E4"/>
    <w:rsid w:val="009916D3"/>
    <w:rsid w:val="00995D4E"/>
    <w:rsid w:val="009A2816"/>
    <w:rsid w:val="009A322E"/>
    <w:rsid w:val="009A4235"/>
    <w:rsid w:val="009B3989"/>
    <w:rsid w:val="009C3A77"/>
    <w:rsid w:val="009C69D3"/>
    <w:rsid w:val="009C7AD4"/>
    <w:rsid w:val="009C7DC7"/>
    <w:rsid w:val="009D180A"/>
    <w:rsid w:val="009E20D4"/>
    <w:rsid w:val="009E6C40"/>
    <w:rsid w:val="009F09BF"/>
    <w:rsid w:val="009F6746"/>
    <w:rsid w:val="00A01DDE"/>
    <w:rsid w:val="00A03089"/>
    <w:rsid w:val="00A059B9"/>
    <w:rsid w:val="00A12D8F"/>
    <w:rsid w:val="00A15C06"/>
    <w:rsid w:val="00A166F5"/>
    <w:rsid w:val="00A20CD4"/>
    <w:rsid w:val="00A21816"/>
    <w:rsid w:val="00A21C20"/>
    <w:rsid w:val="00A21DCE"/>
    <w:rsid w:val="00A24117"/>
    <w:rsid w:val="00A2540A"/>
    <w:rsid w:val="00A312F2"/>
    <w:rsid w:val="00A31E20"/>
    <w:rsid w:val="00A345EF"/>
    <w:rsid w:val="00A34A7B"/>
    <w:rsid w:val="00A358B7"/>
    <w:rsid w:val="00A40145"/>
    <w:rsid w:val="00A50A05"/>
    <w:rsid w:val="00A566FC"/>
    <w:rsid w:val="00A57D81"/>
    <w:rsid w:val="00A63FB8"/>
    <w:rsid w:val="00A65778"/>
    <w:rsid w:val="00A75C21"/>
    <w:rsid w:val="00A82395"/>
    <w:rsid w:val="00A82BED"/>
    <w:rsid w:val="00A83818"/>
    <w:rsid w:val="00A92CF8"/>
    <w:rsid w:val="00A92EC9"/>
    <w:rsid w:val="00A95056"/>
    <w:rsid w:val="00AA1595"/>
    <w:rsid w:val="00AA61C2"/>
    <w:rsid w:val="00AB0AD2"/>
    <w:rsid w:val="00AB2234"/>
    <w:rsid w:val="00AB67F7"/>
    <w:rsid w:val="00AB7AE2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D19"/>
    <w:rsid w:val="00AD4FB4"/>
    <w:rsid w:val="00AD7435"/>
    <w:rsid w:val="00AE2432"/>
    <w:rsid w:val="00AE2862"/>
    <w:rsid w:val="00AE30F3"/>
    <w:rsid w:val="00AE4474"/>
    <w:rsid w:val="00AF028B"/>
    <w:rsid w:val="00AF28CF"/>
    <w:rsid w:val="00AF5E45"/>
    <w:rsid w:val="00AF6E7E"/>
    <w:rsid w:val="00B026F4"/>
    <w:rsid w:val="00B108FA"/>
    <w:rsid w:val="00B11274"/>
    <w:rsid w:val="00B11715"/>
    <w:rsid w:val="00B14B6C"/>
    <w:rsid w:val="00B159FC"/>
    <w:rsid w:val="00B20074"/>
    <w:rsid w:val="00B213BD"/>
    <w:rsid w:val="00B216BB"/>
    <w:rsid w:val="00B277B5"/>
    <w:rsid w:val="00B33ABD"/>
    <w:rsid w:val="00B36624"/>
    <w:rsid w:val="00B40F5F"/>
    <w:rsid w:val="00B423C5"/>
    <w:rsid w:val="00B431AF"/>
    <w:rsid w:val="00B440DD"/>
    <w:rsid w:val="00B4471E"/>
    <w:rsid w:val="00B4498C"/>
    <w:rsid w:val="00B51ACB"/>
    <w:rsid w:val="00B531B3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1245"/>
    <w:rsid w:val="00B92422"/>
    <w:rsid w:val="00B94902"/>
    <w:rsid w:val="00B9605B"/>
    <w:rsid w:val="00BA21D8"/>
    <w:rsid w:val="00BA3B28"/>
    <w:rsid w:val="00BA6ABA"/>
    <w:rsid w:val="00BA7BE4"/>
    <w:rsid w:val="00BB0ADD"/>
    <w:rsid w:val="00BB3556"/>
    <w:rsid w:val="00BB3CD4"/>
    <w:rsid w:val="00BB6C12"/>
    <w:rsid w:val="00BB70D3"/>
    <w:rsid w:val="00BC0760"/>
    <w:rsid w:val="00BC18E7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12C9"/>
    <w:rsid w:val="00C15B1A"/>
    <w:rsid w:val="00C162D0"/>
    <w:rsid w:val="00C220AC"/>
    <w:rsid w:val="00C27BFE"/>
    <w:rsid w:val="00C30171"/>
    <w:rsid w:val="00C30AF4"/>
    <w:rsid w:val="00C3181B"/>
    <w:rsid w:val="00C31FA4"/>
    <w:rsid w:val="00C35959"/>
    <w:rsid w:val="00C37E8F"/>
    <w:rsid w:val="00C404DA"/>
    <w:rsid w:val="00C4336E"/>
    <w:rsid w:val="00C45982"/>
    <w:rsid w:val="00C45BDF"/>
    <w:rsid w:val="00C45ED8"/>
    <w:rsid w:val="00C5064D"/>
    <w:rsid w:val="00C51BAF"/>
    <w:rsid w:val="00C742CC"/>
    <w:rsid w:val="00C80130"/>
    <w:rsid w:val="00C81C80"/>
    <w:rsid w:val="00C84BA2"/>
    <w:rsid w:val="00C920A1"/>
    <w:rsid w:val="00C92A3B"/>
    <w:rsid w:val="00C92FBB"/>
    <w:rsid w:val="00C93680"/>
    <w:rsid w:val="00C9418A"/>
    <w:rsid w:val="00C9441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35B9"/>
    <w:rsid w:val="00CC6F0F"/>
    <w:rsid w:val="00CD0600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10FE3"/>
    <w:rsid w:val="00D16895"/>
    <w:rsid w:val="00D201F4"/>
    <w:rsid w:val="00D21962"/>
    <w:rsid w:val="00D23AF8"/>
    <w:rsid w:val="00D25BED"/>
    <w:rsid w:val="00D26118"/>
    <w:rsid w:val="00D2613B"/>
    <w:rsid w:val="00D32EDE"/>
    <w:rsid w:val="00D347EC"/>
    <w:rsid w:val="00D44142"/>
    <w:rsid w:val="00D45C32"/>
    <w:rsid w:val="00D55254"/>
    <w:rsid w:val="00D630EE"/>
    <w:rsid w:val="00D6373E"/>
    <w:rsid w:val="00D6488D"/>
    <w:rsid w:val="00D72128"/>
    <w:rsid w:val="00D81369"/>
    <w:rsid w:val="00D81855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722"/>
    <w:rsid w:val="00DB5B6F"/>
    <w:rsid w:val="00DB5FF2"/>
    <w:rsid w:val="00DB6B75"/>
    <w:rsid w:val="00DC0724"/>
    <w:rsid w:val="00DC36C3"/>
    <w:rsid w:val="00DD28F9"/>
    <w:rsid w:val="00DD40BF"/>
    <w:rsid w:val="00DD5710"/>
    <w:rsid w:val="00DD58DC"/>
    <w:rsid w:val="00DE076A"/>
    <w:rsid w:val="00DE181B"/>
    <w:rsid w:val="00DE3F49"/>
    <w:rsid w:val="00DF1820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2BDC"/>
    <w:rsid w:val="00E26432"/>
    <w:rsid w:val="00E265A3"/>
    <w:rsid w:val="00E31A9E"/>
    <w:rsid w:val="00E32455"/>
    <w:rsid w:val="00E34627"/>
    <w:rsid w:val="00E37CE8"/>
    <w:rsid w:val="00E4065A"/>
    <w:rsid w:val="00E42F5B"/>
    <w:rsid w:val="00E452A5"/>
    <w:rsid w:val="00E5229C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8174A"/>
    <w:rsid w:val="00E81F37"/>
    <w:rsid w:val="00E8498E"/>
    <w:rsid w:val="00E851DD"/>
    <w:rsid w:val="00E861FA"/>
    <w:rsid w:val="00E87F11"/>
    <w:rsid w:val="00E907A8"/>
    <w:rsid w:val="00EA0362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D6E6B"/>
    <w:rsid w:val="00EF3463"/>
    <w:rsid w:val="00EF56CD"/>
    <w:rsid w:val="00EF6E18"/>
    <w:rsid w:val="00EF75CA"/>
    <w:rsid w:val="00EF7CB7"/>
    <w:rsid w:val="00F0046B"/>
    <w:rsid w:val="00F06F80"/>
    <w:rsid w:val="00F11F38"/>
    <w:rsid w:val="00F22EEA"/>
    <w:rsid w:val="00F24989"/>
    <w:rsid w:val="00F262D4"/>
    <w:rsid w:val="00F2669E"/>
    <w:rsid w:val="00F27B8F"/>
    <w:rsid w:val="00F37459"/>
    <w:rsid w:val="00F37CEB"/>
    <w:rsid w:val="00F40C8A"/>
    <w:rsid w:val="00F42BE9"/>
    <w:rsid w:val="00F47FD6"/>
    <w:rsid w:val="00F50A79"/>
    <w:rsid w:val="00F648F9"/>
    <w:rsid w:val="00F65CEC"/>
    <w:rsid w:val="00F727F4"/>
    <w:rsid w:val="00F73D79"/>
    <w:rsid w:val="00F76448"/>
    <w:rsid w:val="00F811C4"/>
    <w:rsid w:val="00F82BFE"/>
    <w:rsid w:val="00F85885"/>
    <w:rsid w:val="00F91BFD"/>
    <w:rsid w:val="00F9300F"/>
    <w:rsid w:val="00F9387B"/>
    <w:rsid w:val="00F95A53"/>
    <w:rsid w:val="00FA12C7"/>
    <w:rsid w:val="00FA3865"/>
    <w:rsid w:val="00FA51DA"/>
    <w:rsid w:val="00FB21FC"/>
    <w:rsid w:val="00FB3A28"/>
    <w:rsid w:val="00FB5E42"/>
    <w:rsid w:val="00FB6321"/>
    <w:rsid w:val="00FB7C0F"/>
    <w:rsid w:val="00FC2C9E"/>
    <w:rsid w:val="00FC32EE"/>
    <w:rsid w:val="00FC450A"/>
    <w:rsid w:val="00FC6E6F"/>
    <w:rsid w:val="00FD121A"/>
    <w:rsid w:val="00FD3EB8"/>
    <w:rsid w:val="00FD5752"/>
    <w:rsid w:val="00FD795D"/>
    <w:rsid w:val="00FE150A"/>
    <w:rsid w:val="00FE1EA5"/>
    <w:rsid w:val="00FE6761"/>
    <w:rsid w:val="00FE6B77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85324"/>
  <w15:chartTrackingRefBased/>
  <w15:docId w15:val="{9463678B-5A04-42D0-8372-E488138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aliases w:val="webb"/>
    <w:basedOn w:val="Normal"/>
    <w:link w:val="NormalWebChar"/>
    <w:uiPriority w:val="99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050389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6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B5DC-C6CA-4238-8722-811A1A6A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Î²è²ì²ðàôÂÚ²ÜÜ ²èÀÜÂºð</dc:title>
  <dc:subject/>
  <dc:creator>Hovik</dc:creator>
  <cp:keywords>https:/mul2-cadastre.gov.am/tasks/188639/oneclick/2_Himnavorum_Texekanq.docx?token=59dbdf77c7dc87dac7b4784738dbfdad</cp:keywords>
  <cp:lastModifiedBy>Gnahatum</cp:lastModifiedBy>
  <cp:revision>7</cp:revision>
  <cp:lastPrinted>2013-12-26T11:54:00Z</cp:lastPrinted>
  <dcterms:created xsi:type="dcterms:W3CDTF">2021-11-02T08:59:00Z</dcterms:created>
  <dcterms:modified xsi:type="dcterms:W3CDTF">2023-02-13T06:10:00Z</dcterms:modified>
</cp:coreProperties>
</file>