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107" w:rsidRPr="00896107" w:rsidRDefault="00D12800" w:rsidP="00D12800">
      <w:pPr>
        <w:spacing w:after="0" w:line="240" w:lineRule="auto"/>
        <w:jc w:val="right"/>
        <w:rPr>
          <w:rStyle w:val="Strong"/>
          <w:rFonts w:ascii="GHEA Grapalat" w:hAnsi="GHEA Grapalat"/>
          <w:sz w:val="18"/>
          <w:szCs w:val="18"/>
        </w:rPr>
      </w:pPr>
      <w:bookmarkStart w:id="0" w:name="_GoBack"/>
      <w:bookmarkEnd w:id="0"/>
      <w:r w:rsidRPr="00896107">
        <w:rPr>
          <w:rStyle w:val="Strong"/>
          <w:rFonts w:ascii="GHEA Grapalat" w:hAnsi="GHEA Grapalat"/>
          <w:sz w:val="18"/>
          <w:szCs w:val="18"/>
        </w:rPr>
        <w:t>Հավելված</w:t>
      </w:r>
      <w:r w:rsidRPr="00896107">
        <w:rPr>
          <w:rFonts w:ascii="GHEA Grapalat" w:hAnsi="GHEA Grapalat"/>
          <w:b/>
          <w:bCs/>
          <w:sz w:val="18"/>
          <w:szCs w:val="18"/>
        </w:rPr>
        <w:br/>
      </w:r>
      <w:r w:rsidRPr="00896107">
        <w:rPr>
          <w:rStyle w:val="Strong"/>
          <w:rFonts w:ascii="GHEA Grapalat" w:hAnsi="GHEA Grapalat"/>
          <w:sz w:val="18"/>
          <w:szCs w:val="18"/>
        </w:rPr>
        <w:t xml:space="preserve">ՀՀ ֆինանսների նախարարի </w:t>
      </w:r>
    </w:p>
    <w:p w:rsidR="00D12800" w:rsidRPr="00896107" w:rsidRDefault="00D12800" w:rsidP="00D12800">
      <w:pPr>
        <w:spacing w:after="0" w:line="240" w:lineRule="auto"/>
        <w:jc w:val="right"/>
        <w:rPr>
          <w:rStyle w:val="Strong"/>
          <w:rFonts w:ascii="GHEA Grapalat" w:hAnsi="GHEA Grapalat"/>
          <w:sz w:val="18"/>
          <w:szCs w:val="18"/>
        </w:rPr>
      </w:pPr>
      <w:r w:rsidRPr="00896107">
        <w:rPr>
          <w:rStyle w:val="Strong"/>
          <w:rFonts w:ascii="GHEA Grapalat" w:hAnsi="GHEA Grapalat"/>
          <w:sz w:val="18"/>
          <w:szCs w:val="18"/>
        </w:rPr>
        <w:t>20</w:t>
      </w:r>
      <w:r w:rsidR="00896107" w:rsidRPr="00896107">
        <w:rPr>
          <w:rStyle w:val="Strong"/>
          <w:rFonts w:ascii="GHEA Grapalat" w:hAnsi="GHEA Grapalat"/>
          <w:sz w:val="18"/>
          <w:szCs w:val="18"/>
        </w:rPr>
        <w:t xml:space="preserve">23 </w:t>
      </w:r>
      <w:r w:rsidRPr="00896107">
        <w:rPr>
          <w:rStyle w:val="Strong"/>
          <w:rFonts w:ascii="GHEA Grapalat" w:hAnsi="GHEA Grapalat"/>
          <w:sz w:val="18"/>
          <w:szCs w:val="18"/>
        </w:rPr>
        <w:t>թ.</w:t>
      </w:r>
      <w:r w:rsidR="00896107" w:rsidRPr="00896107">
        <w:rPr>
          <w:rStyle w:val="Strong"/>
          <w:rFonts w:ascii="GHEA Grapalat" w:hAnsi="GHEA Grapalat"/>
          <w:sz w:val="18"/>
          <w:szCs w:val="18"/>
        </w:rPr>
        <w:t xml:space="preserve"> …………</w:t>
      </w:r>
      <w:r w:rsidR="00896107">
        <w:rPr>
          <w:rStyle w:val="Strong"/>
          <w:rFonts w:ascii="GHEA Grapalat" w:hAnsi="GHEA Grapalat"/>
          <w:sz w:val="18"/>
          <w:szCs w:val="18"/>
        </w:rPr>
        <w:t>…</w:t>
      </w:r>
      <w:r w:rsidR="00896107" w:rsidRPr="00896107">
        <w:rPr>
          <w:rStyle w:val="Strong"/>
          <w:rFonts w:ascii="GHEA Grapalat" w:hAnsi="GHEA Grapalat"/>
          <w:sz w:val="18"/>
          <w:szCs w:val="18"/>
        </w:rPr>
        <w:t xml:space="preserve"> …</w:t>
      </w:r>
      <w:r w:rsidRPr="00896107">
        <w:rPr>
          <w:rStyle w:val="Strong"/>
          <w:rFonts w:ascii="GHEA Grapalat" w:hAnsi="GHEA Grapalat"/>
          <w:sz w:val="18"/>
          <w:szCs w:val="18"/>
        </w:rPr>
        <w:t>-ի</w:t>
      </w:r>
      <w:r w:rsidRPr="00896107">
        <w:rPr>
          <w:rFonts w:ascii="GHEA Grapalat" w:hAnsi="GHEA Grapalat"/>
          <w:b/>
          <w:bCs/>
          <w:sz w:val="18"/>
          <w:szCs w:val="18"/>
        </w:rPr>
        <w:br/>
      </w:r>
      <w:r w:rsidRPr="00896107">
        <w:rPr>
          <w:rStyle w:val="Strong"/>
          <w:rFonts w:ascii="GHEA Grapalat" w:hAnsi="GHEA Grapalat"/>
          <w:sz w:val="18"/>
          <w:szCs w:val="18"/>
        </w:rPr>
        <w:t xml:space="preserve">N </w:t>
      </w:r>
      <w:r w:rsidR="00896107" w:rsidRPr="00896107">
        <w:rPr>
          <w:rStyle w:val="Strong"/>
          <w:rFonts w:ascii="GHEA Grapalat" w:hAnsi="GHEA Grapalat"/>
          <w:sz w:val="18"/>
          <w:szCs w:val="18"/>
        </w:rPr>
        <w:t>…</w:t>
      </w:r>
      <w:r w:rsidRPr="00896107">
        <w:rPr>
          <w:rStyle w:val="Strong"/>
          <w:rFonts w:ascii="GHEA Grapalat" w:hAnsi="GHEA Grapalat"/>
          <w:sz w:val="18"/>
          <w:szCs w:val="18"/>
        </w:rPr>
        <w:t>-Ն հրամանի</w:t>
      </w:r>
    </w:p>
    <w:p w:rsidR="00D12800" w:rsidRPr="00896107" w:rsidRDefault="00D12800" w:rsidP="00D12800">
      <w:pPr>
        <w:spacing w:after="0" w:line="240" w:lineRule="auto"/>
        <w:jc w:val="right"/>
        <w:rPr>
          <w:rStyle w:val="Strong"/>
          <w:rFonts w:ascii="GHEA Grapalat" w:hAnsi="GHEA Grapalat"/>
          <w:sz w:val="18"/>
          <w:szCs w:val="18"/>
        </w:rPr>
      </w:pPr>
    </w:p>
    <w:p w:rsidR="00D12800" w:rsidRDefault="00D12800" w:rsidP="00D12800">
      <w:pPr>
        <w:spacing w:after="0" w:line="240" w:lineRule="auto"/>
        <w:jc w:val="right"/>
        <w:rPr>
          <w:rStyle w:val="Strong"/>
          <w:rFonts w:ascii="GHEA Grapalat" w:hAnsi="GHEA Grapalat"/>
          <w:sz w:val="18"/>
          <w:szCs w:val="18"/>
        </w:rPr>
      </w:pPr>
      <w:r w:rsidRPr="00896107">
        <w:rPr>
          <w:rStyle w:val="Strong"/>
          <w:rFonts w:ascii="GHEA Grapalat" w:hAnsi="GHEA Grapalat"/>
          <w:sz w:val="18"/>
          <w:szCs w:val="18"/>
        </w:rPr>
        <w:t>Հավելված</w:t>
      </w:r>
      <w:r w:rsidRPr="00896107">
        <w:rPr>
          <w:rFonts w:ascii="GHEA Grapalat" w:hAnsi="GHEA Grapalat"/>
          <w:b/>
          <w:bCs/>
          <w:sz w:val="18"/>
          <w:szCs w:val="18"/>
        </w:rPr>
        <w:br/>
      </w:r>
      <w:r w:rsidRPr="00896107">
        <w:rPr>
          <w:rStyle w:val="Strong"/>
          <w:rFonts w:ascii="GHEA Grapalat" w:hAnsi="GHEA Grapalat"/>
          <w:sz w:val="18"/>
          <w:szCs w:val="18"/>
        </w:rPr>
        <w:t xml:space="preserve">ՀՀ ֆինանսների </w:t>
      </w:r>
      <w:r w:rsidR="00896107" w:rsidRPr="00896107">
        <w:rPr>
          <w:rStyle w:val="Strong"/>
          <w:rFonts w:ascii="GHEA Grapalat" w:hAnsi="GHEA Grapalat"/>
          <w:sz w:val="18"/>
          <w:szCs w:val="18"/>
        </w:rPr>
        <w:t>և</w:t>
      </w:r>
      <w:r w:rsidRPr="00896107">
        <w:rPr>
          <w:rStyle w:val="Strong"/>
          <w:rFonts w:ascii="GHEA Grapalat" w:hAnsi="GHEA Grapalat"/>
          <w:sz w:val="18"/>
          <w:szCs w:val="18"/>
        </w:rPr>
        <w:t xml:space="preserve"> էկոնոմիկայի</w:t>
      </w:r>
      <w:r w:rsidRPr="00896107">
        <w:rPr>
          <w:rFonts w:ascii="GHEA Grapalat" w:hAnsi="GHEA Grapalat"/>
          <w:b/>
          <w:bCs/>
          <w:sz w:val="18"/>
          <w:szCs w:val="18"/>
        </w:rPr>
        <w:br/>
      </w:r>
      <w:r w:rsidRPr="00896107">
        <w:rPr>
          <w:rStyle w:val="Strong"/>
          <w:rFonts w:ascii="GHEA Grapalat" w:hAnsi="GHEA Grapalat"/>
          <w:sz w:val="18"/>
          <w:szCs w:val="18"/>
        </w:rPr>
        <w:t>նախարարի 2006 թ. նոյեմբերի</w:t>
      </w:r>
      <w:r w:rsidRPr="00896107">
        <w:rPr>
          <w:rStyle w:val="Strong"/>
          <w:rFonts w:ascii="Calibri" w:hAnsi="Calibri" w:cs="Calibri"/>
          <w:sz w:val="18"/>
          <w:szCs w:val="18"/>
        </w:rPr>
        <w:t> </w:t>
      </w:r>
      <w:r w:rsidRPr="00896107">
        <w:rPr>
          <w:rStyle w:val="Strong"/>
          <w:rFonts w:ascii="GHEA Grapalat" w:hAnsi="GHEA Grapalat"/>
          <w:sz w:val="18"/>
          <w:szCs w:val="18"/>
        </w:rPr>
        <w:t>30-ի</w:t>
      </w:r>
      <w:r w:rsidRPr="00896107">
        <w:rPr>
          <w:rFonts w:ascii="GHEA Grapalat" w:hAnsi="GHEA Grapalat"/>
          <w:b/>
          <w:bCs/>
          <w:sz w:val="18"/>
          <w:szCs w:val="18"/>
        </w:rPr>
        <w:br/>
      </w:r>
      <w:r w:rsidRPr="00896107">
        <w:rPr>
          <w:rStyle w:val="Strong"/>
          <w:rFonts w:ascii="GHEA Grapalat" w:hAnsi="GHEA Grapalat"/>
          <w:sz w:val="18"/>
          <w:szCs w:val="18"/>
        </w:rPr>
        <w:t>N 1110-Ն հրամանի</w:t>
      </w:r>
    </w:p>
    <w:p w:rsidR="00896107" w:rsidRDefault="00896107" w:rsidP="00D12800">
      <w:pPr>
        <w:spacing w:after="0" w:line="240" w:lineRule="auto"/>
        <w:jc w:val="right"/>
        <w:rPr>
          <w:rStyle w:val="Strong"/>
          <w:rFonts w:ascii="GHEA Grapalat" w:hAnsi="GHEA Grapalat"/>
          <w:sz w:val="18"/>
          <w:szCs w:val="18"/>
        </w:rPr>
      </w:pPr>
    </w:p>
    <w:p w:rsidR="00896107" w:rsidRPr="00896107" w:rsidRDefault="00896107" w:rsidP="00D12800">
      <w:pPr>
        <w:spacing w:after="0" w:line="240" w:lineRule="auto"/>
        <w:jc w:val="right"/>
        <w:rPr>
          <w:rFonts w:ascii="GHEA Grapalat" w:eastAsia="Times New Roman" w:hAnsi="GHEA Grapalat" w:cs="Sylfaen"/>
          <w:b/>
          <w:bCs/>
          <w:sz w:val="18"/>
          <w:szCs w:val="18"/>
        </w:rPr>
      </w:pPr>
    </w:p>
    <w:p w:rsidR="001B379C" w:rsidRPr="00D12800" w:rsidRDefault="001B379C" w:rsidP="001B379C">
      <w:pPr>
        <w:spacing w:after="0" w:line="240" w:lineRule="auto"/>
        <w:jc w:val="center"/>
        <w:rPr>
          <w:rFonts w:ascii="GHEA Grapalat" w:eastAsia="Times New Roman" w:hAnsi="GHEA Grapalat" w:cs="Times New Roman"/>
          <w:sz w:val="24"/>
          <w:szCs w:val="24"/>
        </w:rPr>
      </w:pPr>
      <w:r w:rsidRPr="00D12800">
        <w:rPr>
          <w:rFonts w:ascii="GHEA Grapalat" w:eastAsia="Times New Roman" w:hAnsi="GHEA Grapalat" w:cs="Sylfaen"/>
          <w:b/>
          <w:bCs/>
          <w:sz w:val="24"/>
          <w:szCs w:val="24"/>
        </w:rPr>
        <w:t>Հ</w:t>
      </w:r>
      <w:r w:rsidRPr="00D12800">
        <w:rPr>
          <w:rFonts w:ascii="GHEA Grapalat" w:eastAsia="Times New Roman" w:hAnsi="GHEA Grapalat" w:cs="Times New Roman"/>
          <w:b/>
          <w:bCs/>
          <w:sz w:val="24"/>
          <w:szCs w:val="24"/>
        </w:rPr>
        <w:t xml:space="preserve"> </w:t>
      </w:r>
      <w:r w:rsidRPr="00D12800">
        <w:rPr>
          <w:rFonts w:ascii="GHEA Grapalat" w:eastAsia="Times New Roman" w:hAnsi="GHEA Grapalat" w:cs="Sylfaen"/>
          <w:b/>
          <w:bCs/>
          <w:sz w:val="24"/>
          <w:szCs w:val="24"/>
        </w:rPr>
        <w:t>Ա</w:t>
      </w:r>
      <w:r w:rsidRPr="00D12800">
        <w:rPr>
          <w:rFonts w:ascii="GHEA Grapalat" w:eastAsia="Times New Roman" w:hAnsi="GHEA Grapalat" w:cs="Times New Roman"/>
          <w:b/>
          <w:bCs/>
          <w:sz w:val="24"/>
          <w:szCs w:val="24"/>
        </w:rPr>
        <w:t xml:space="preserve"> </w:t>
      </w:r>
      <w:r w:rsidRPr="00D12800">
        <w:rPr>
          <w:rFonts w:ascii="GHEA Grapalat" w:eastAsia="Times New Roman" w:hAnsi="GHEA Grapalat" w:cs="Sylfaen"/>
          <w:b/>
          <w:bCs/>
          <w:sz w:val="24"/>
          <w:szCs w:val="24"/>
        </w:rPr>
        <w:t>Շ</w:t>
      </w:r>
      <w:r w:rsidRPr="00D12800">
        <w:rPr>
          <w:rFonts w:ascii="GHEA Grapalat" w:eastAsia="Times New Roman" w:hAnsi="GHEA Grapalat" w:cs="Times New Roman"/>
          <w:b/>
          <w:bCs/>
          <w:sz w:val="24"/>
          <w:szCs w:val="24"/>
        </w:rPr>
        <w:t xml:space="preserve"> </w:t>
      </w:r>
      <w:r w:rsidRPr="00D12800">
        <w:rPr>
          <w:rFonts w:ascii="GHEA Grapalat" w:eastAsia="Times New Roman" w:hAnsi="GHEA Grapalat" w:cs="Sylfaen"/>
          <w:b/>
          <w:bCs/>
          <w:sz w:val="24"/>
          <w:szCs w:val="24"/>
        </w:rPr>
        <w:t>Վ</w:t>
      </w:r>
      <w:r w:rsidRPr="00D12800">
        <w:rPr>
          <w:rFonts w:ascii="GHEA Grapalat" w:eastAsia="Times New Roman" w:hAnsi="GHEA Grapalat" w:cs="Times New Roman"/>
          <w:b/>
          <w:bCs/>
          <w:sz w:val="24"/>
          <w:szCs w:val="24"/>
        </w:rPr>
        <w:t xml:space="preserve"> </w:t>
      </w:r>
      <w:r w:rsidRPr="00D12800">
        <w:rPr>
          <w:rFonts w:ascii="GHEA Grapalat" w:eastAsia="Times New Roman" w:hAnsi="GHEA Grapalat" w:cs="Sylfaen"/>
          <w:b/>
          <w:bCs/>
          <w:sz w:val="24"/>
          <w:szCs w:val="24"/>
        </w:rPr>
        <w:t>Ա</w:t>
      </w:r>
      <w:r w:rsidRPr="00D12800">
        <w:rPr>
          <w:rFonts w:ascii="GHEA Grapalat" w:eastAsia="Times New Roman" w:hAnsi="GHEA Grapalat" w:cs="Times New Roman"/>
          <w:b/>
          <w:bCs/>
          <w:sz w:val="24"/>
          <w:szCs w:val="24"/>
        </w:rPr>
        <w:t xml:space="preserve"> </w:t>
      </w:r>
      <w:r w:rsidRPr="00D12800">
        <w:rPr>
          <w:rFonts w:ascii="GHEA Grapalat" w:eastAsia="Times New Roman" w:hAnsi="GHEA Grapalat" w:cs="Sylfaen"/>
          <w:b/>
          <w:bCs/>
          <w:sz w:val="24"/>
          <w:szCs w:val="24"/>
        </w:rPr>
        <w:t>Ր</w:t>
      </w:r>
      <w:r w:rsidRPr="00D12800">
        <w:rPr>
          <w:rFonts w:ascii="GHEA Grapalat" w:eastAsia="Times New Roman" w:hAnsi="GHEA Grapalat" w:cs="Times New Roman"/>
          <w:b/>
          <w:bCs/>
          <w:sz w:val="24"/>
          <w:szCs w:val="24"/>
        </w:rPr>
        <w:t xml:space="preserve"> </w:t>
      </w:r>
      <w:r w:rsidRPr="00D12800">
        <w:rPr>
          <w:rFonts w:ascii="GHEA Grapalat" w:eastAsia="Times New Roman" w:hAnsi="GHEA Grapalat" w:cs="Sylfaen"/>
          <w:b/>
          <w:bCs/>
          <w:sz w:val="24"/>
          <w:szCs w:val="24"/>
        </w:rPr>
        <w:t>Կ</w:t>
      </w:r>
    </w:p>
    <w:p w:rsidR="001B379C" w:rsidRPr="00D12800" w:rsidRDefault="001B379C" w:rsidP="001B379C">
      <w:pPr>
        <w:spacing w:after="0" w:line="240" w:lineRule="auto"/>
        <w:jc w:val="center"/>
        <w:rPr>
          <w:rFonts w:ascii="GHEA Grapalat" w:eastAsia="Times New Roman" w:hAnsi="GHEA Grapalat" w:cs="Times New Roman"/>
          <w:sz w:val="24"/>
          <w:szCs w:val="24"/>
        </w:rPr>
      </w:pPr>
      <w:r w:rsidRPr="00D12800">
        <w:rPr>
          <w:rFonts w:ascii="Calibri" w:eastAsia="Times New Roman" w:hAnsi="Calibri" w:cs="Calibri"/>
          <w:sz w:val="24"/>
          <w:szCs w:val="24"/>
        </w:rPr>
        <w:t> </w:t>
      </w:r>
    </w:p>
    <w:p w:rsidR="001B379C" w:rsidRDefault="001B379C" w:rsidP="001B379C">
      <w:pPr>
        <w:spacing w:after="0" w:line="240" w:lineRule="auto"/>
        <w:jc w:val="center"/>
        <w:rPr>
          <w:rFonts w:ascii="GHEA Grapalat" w:eastAsia="Times New Roman" w:hAnsi="GHEA Grapalat" w:cs="Sylfaen"/>
          <w:b/>
          <w:bCs/>
          <w:sz w:val="24"/>
          <w:szCs w:val="24"/>
        </w:rPr>
      </w:pPr>
      <w:r w:rsidRPr="00D12800">
        <w:rPr>
          <w:rFonts w:ascii="GHEA Grapalat" w:eastAsia="Times New Roman" w:hAnsi="GHEA Grapalat" w:cs="Times New Roman"/>
          <w:b/>
          <w:bCs/>
          <w:sz w:val="24"/>
          <w:szCs w:val="24"/>
        </w:rPr>
        <w:t xml:space="preserve">50 </w:t>
      </w:r>
      <w:r w:rsidRPr="00D12800">
        <w:rPr>
          <w:rFonts w:ascii="GHEA Grapalat" w:eastAsia="Times New Roman" w:hAnsi="GHEA Grapalat" w:cs="Sylfaen"/>
          <w:b/>
          <w:bCs/>
          <w:sz w:val="24"/>
          <w:szCs w:val="24"/>
        </w:rPr>
        <w:t>ՏՈԿՈՍԻՑ</w:t>
      </w:r>
      <w:r w:rsidRPr="00D12800">
        <w:rPr>
          <w:rFonts w:ascii="GHEA Grapalat" w:eastAsia="Times New Roman" w:hAnsi="GHEA Grapalat" w:cs="Times New Roman"/>
          <w:b/>
          <w:bCs/>
          <w:sz w:val="24"/>
          <w:szCs w:val="24"/>
        </w:rPr>
        <w:t xml:space="preserve"> </w:t>
      </w:r>
      <w:r w:rsidRPr="00D12800">
        <w:rPr>
          <w:rFonts w:ascii="GHEA Grapalat" w:eastAsia="Times New Roman" w:hAnsi="GHEA Grapalat" w:cs="Sylfaen"/>
          <w:b/>
          <w:bCs/>
          <w:sz w:val="24"/>
          <w:szCs w:val="24"/>
        </w:rPr>
        <w:t>ԱՎԵԼԻ</w:t>
      </w:r>
      <w:r w:rsidRPr="00D12800">
        <w:rPr>
          <w:rFonts w:ascii="GHEA Grapalat" w:eastAsia="Times New Roman" w:hAnsi="GHEA Grapalat" w:cs="Times New Roman"/>
          <w:b/>
          <w:bCs/>
          <w:sz w:val="24"/>
          <w:szCs w:val="24"/>
        </w:rPr>
        <w:t xml:space="preserve"> </w:t>
      </w:r>
      <w:r w:rsidRPr="00D12800">
        <w:rPr>
          <w:rFonts w:ascii="GHEA Grapalat" w:eastAsia="Times New Roman" w:hAnsi="GHEA Grapalat" w:cs="Sylfaen"/>
          <w:b/>
          <w:bCs/>
          <w:sz w:val="24"/>
          <w:szCs w:val="24"/>
        </w:rPr>
        <w:t>ՊԵՏՈՒԹՅԱՆ</w:t>
      </w:r>
      <w:r w:rsidRPr="00D12800">
        <w:rPr>
          <w:rFonts w:ascii="GHEA Grapalat" w:eastAsia="Times New Roman" w:hAnsi="GHEA Grapalat" w:cs="Times New Roman"/>
          <w:b/>
          <w:bCs/>
          <w:sz w:val="24"/>
          <w:szCs w:val="24"/>
        </w:rPr>
        <w:t xml:space="preserve"> </w:t>
      </w:r>
      <w:r w:rsidRPr="00D12800">
        <w:rPr>
          <w:rFonts w:ascii="GHEA Grapalat" w:eastAsia="Times New Roman" w:hAnsi="GHEA Grapalat" w:cs="Sylfaen"/>
          <w:b/>
          <w:bCs/>
          <w:sz w:val="24"/>
          <w:szCs w:val="24"/>
        </w:rPr>
        <w:t>ՍԵՓԱԿԱՆՈՒԹՅՈՒՆ</w:t>
      </w:r>
      <w:r w:rsidRPr="00D12800">
        <w:rPr>
          <w:rFonts w:ascii="GHEA Grapalat" w:eastAsia="Times New Roman" w:hAnsi="GHEA Grapalat" w:cs="Times New Roman"/>
          <w:b/>
          <w:bCs/>
          <w:sz w:val="24"/>
          <w:szCs w:val="24"/>
        </w:rPr>
        <w:t xml:space="preserve"> </w:t>
      </w:r>
      <w:r w:rsidRPr="00D12800">
        <w:rPr>
          <w:rFonts w:ascii="GHEA Grapalat" w:eastAsia="Times New Roman" w:hAnsi="GHEA Grapalat" w:cs="Sylfaen"/>
          <w:b/>
          <w:bCs/>
          <w:sz w:val="24"/>
          <w:szCs w:val="24"/>
        </w:rPr>
        <w:t>ՀԱՆԴԻՍԱՑՈՂ</w:t>
      </w:r>
      <w:r w:rsidRPr="00D12800">
        <w:rPr>
          <w:rFonts w:ascii="GHEA Grapalat" w:eastAsia="Times New Roman" w:hAnsi="GHEA Grapalat" w:cs="Times New Roman"/>
          <w:b/>
          <w:bCs/>
          <w:sz w:val="24"/>
          <w:szCs w:val="24"/>
        </w:rPr>
        <w:t xml:space="preserve"> </w:t>
      </w:r>
      <w:r w:rsidRPr="00D12800">
        <w:rPr>
          <w:rFonts w:ascii="GHEA Grapalat" w:eastAsia="Times New Roman" w:hAnsi="GHEA Grapalat" w:cs="Sylfaen"/>
          <w:b/>
          <w:bCs/>
          <w:sz w:val="24"/>
          <w:szCs w:val="24"/>
        </w:rPr>
        <w:t>ԲԱԺՆԵՄԱՍ</w:t>
      </w:r>
      <w:r w:rsidRPr="00D12800">
        <w:rPr>
          <w:rFonts w:ascii="GHEA Grapalat" w:eastAsia="Times New Roman" w:hAnsi="GHEA Grapalat" w:cs="Times New Roman"/>
          <w:b/>
          <w:bCs/>
          <w:sz w:val="24"/>
          <w:szCs w:val="24"/>
        </w:rPr>
        <w:t xml:space="preserve"> </w:t>
      </w:r>
      <w:r w:rsidRPr="00D12800">
        <w:rPr>
          <w:rFonts w:ascii="GHEA Grapalat" w:eastAsia="Times New Roman" w:hAnsi="GHEA Grapalat" w:cs="Sylfaen"/>
          <w:b/>
          <w:bCs/>
          <w:sz w:val="24"/>
          <w:szCs w:val="24"/>
        </w:rPr>
        <w:t>ՈՒՆԵՑՈՂ</w:t>
      </w:r>
      <w:r w:rsidRPr="00D12800">
        <w:rPr>
          <w:rFonts w:ascii="GHEA Grapalat" w:eastAsia="Times New Roman" w:hAnsi="GHEA Grapalat" w:cs="Times New Roman"/>
          <w:b/>
          <w:bCs/>
          <w:sz w:val="24"/>
          <w:szCs w:val="24"/>
        </w:rPr>
        <w:t xml:space="preserve"> </w:t>
      </w:r>
      <w:r w:rsidRPr="00D12800">
        <w:rPr>
          <w:rFonts w:ascii="GHEA Grapalat" w:eastAsia="Times New Roman" w:hAnsi="GHEA Grapalat" w:cs="Sylfaen"/>
          <w:b/>
          <w:bCs/>
          <w:sz w:val="24"/>
          <w:szCs w:val="24"/>
        </w:rPr>
        <w:t>ԸՆԿԵՐՈՒԹՅՈՒՆՆԵՐԻ</w:t>
      </w:r>
      <w:r w:rsidRPr="00D12800">
        <w:rPr>
          <w:rFonts w:ascii="GHEA Grapalat" w:eastAsia="Times New Roman" w:hAnsi="GHEA Grapalat" w:cs="Times New Roman"/>
          <w:b/>
          <w:bCs/>
          <w:sz w:val="24"/>
          <w:szCs w:val="24"/>
        </w:rPr>
        <w:t xml:space="preserve"> </w:t>
      </w:r>
      <w:r w:rsidRPr="00D12800">
        <w:rPr>
          <w:rFonts w:ascii="GHEA Grapalat" w:eastAsia="Times New Roman" w:hAnsi="GHEA Grapalat" w:cs="Sylfaen"/>
          <w:b/>
          <w:bCs/>
          <w:sz w:val="24"/>
          <w:szCs w:val="24"/>
        </w:rPr>
        <w:t>ՇԱՀՈՒԹԱԲԱԺՆԻ</w:t>
      </w:r>
      <w:r w:rsidRPr="00D12800">
        <w:rPr>
          <w:rFonts w:ascii="GHEA Grapalat" w:eastAsia="Times New Roman" w:hAnsi="GHEA Grapalat" w:cs="Times New Roman"/>
          <w:b/>
          <w:bCs/>
          <w:sz w:val="24"/>
          <w:szCs w:val="24"/>
        </w:rPr>
        <w:t xml:space="preserve"> </w:t>
      </w:r>
      <w:r w:rsidRPr="00D12800">
        <w:rPr>
          <w:rFonts w:ascii="GHEA Grapalat" w:eastAsia="Times New Roman" w:hAnsi="GHEA Grapalat" w:cs="Sylfaen"/>
          <w:b/>
          <w:bCs/>
          <w:sz w:val="24"/>
          <w:szCs w:val="24"/>
        </w:rPr>
        <w:t>ՀԱՇՎԱՐԿՄԱՆ</w:t>
      </w:r>
    </w:p>
    <w:p w:rsidR="0030665D" w:rsidRDefault="0030665D" w:rsidP="001B379C">
      <w:pPr>
        <w:spacing w:after="0" w:line="240" w:lineRule="auto"/>
        <w:jc w:val="center"/>
        <w:rPr>
          <w:rFonts w:ascii="GHEA Grapalat" w:eastAsia="Times New Roman" w:hAnsi="GHEA Grapalat" w:cs="Sylfaen"/>
          <w:b/>
          <w:bCs/>
          <w:sz w:val="24"/>
          <w:szCs w:val="24"/>
        </w:rPr>
      </w:pPr>
    </w:p>
    <w:tbl>
      <w:tblPr>
        <w:tblStyle w:val="TableGrid"/>
        <w:tblW w:w="10774" w:type="dxa"/>
        <w:tblInd w:w="-431" w:type="dxa"/>
        <w:tblLayout w:type="fixed"/>
        <w:tblLook w:val="04A0" w:firstRow="1" w:lastRow="0" w:firstColumn="1" w:lastColumn="0" w:noHBand="0" w:noVBand="1"/>
      </w:tblPr>
      <w:tblGrid>
        <w:gridCol w:w="993"/>
        <w:gridCol w:w="851"/>
        <w:gridCol w:w="850"/>
        <w:gridCol w:w="851"/>
        <w:gridCol w:w="850"/>
        <w:gridCol w:w="6"/>
        <w:gridCol w:w="845"/>
        <w:gridCol w:w="6"/>
        <w:gridCol w:w="844"/>
        <w:gridCol w:w="6"/>
        <w:gridCol w:w="845"/>
        <w:gridCol w:w="6"/>
        <w:gridCol w:w="844"/>
        <w:gridCol w:w="6"/>
        <w:gridCol w:w="845"/>
        <w:gridCol w:w="2126"/>
      </w:tblGrid>
      <w:tr w:rsidR="00673952" w:rsidTr="00850A94">
        <w:trPr>
          <w:trHeight w:val="1128"/>
        </w:trPr>
        <w:tc>
          <w:tcPr>
            <w:tcW w:w="7803" w:type="dxa"/>
            <w:gridSpan w:val="14"/>
          </w:tcPr>
          <w:p w:rsidR="00673952" w:rsidRPr="00673952" w:rsidRDefault="00673952" w:rsidP="00CC1F2F">
            <w:pPr>
              <w:spacing w:after="0" w:line="240" w:lineRule="auto"/>
              <w:rPr>
                <w:rFonts w:ascii="GHEA Grapalat" w:eastAsia="Times New Roman" w:hAnsi="GHEA Grapalat" w:cs="GHEA Grapalat"/>
                <w:bCs/>
                <w:sz w:val="20"/>
                <w:szCs w:val="20"/>
              </w:rPr>
            </w:pPr>
            <w:r w:rsidRPr="00673952">
              <w:rPr>
                <w:rFonts w:ascii="GHEA Grapalat" w:eastAsia="Times New Roman" w:hAnsi="GHEA Grapalat" w:cs="GHEA Grapalat"/>
                <w:bCs/>
                <w:sz w:val="20"/>
                <w:szCs w:val="20"/>
              </w:rPr>
              <w:t>1. Շահութաբաժին</w:t>
            </w:r>
            <w:r w:rsidRPr="00673952">
              <w:rPr>
                <w:rFonts w:ascii="Calibri" w:eastAsia="Times New Roman" w:hAnsi="Calibri" w:cs="Calibri"/>
                <w:bCs/>
                <w:sz w:val="20"/>
                <w:szCs w:val="20"/>
              </w:rPr>
              <w:t> </w:t>
            </w:r>
            <w:r w:rsidRPr="00673952">
              <w:rPr>
                <w:rFonts w:ascii="GHEA Grapalat" w:eastAsia="Times New Roman" w:hAnsi="GHEA Grapalat" w:cs="GHEA Grapalat"/>
                <w:bCs/>
                <w:sz w:val="20"/>
                <w:szCs w:val="20"/>
              </w:rPr>
              <w:t xml:space="preserve"> վճարողի անվանում</w:t>
            </w:r>
          </w:p>
        </w:tc>
        <w:tc>
          <w:tcPr>
            <w:tcW w:w="2971" w:type="dxa"/>
            <w:gridSpan w:val="2"/>
          </w:tcPr>
          <w:p w:rsidR="00673952" w:rsidRPr="00850A94" w:rsidRDefault="00673952" w:rsidP="00850A94">
            <w:pPr>
              <w:spacing w:after="0" w:line="240" w:lineRule="auto"/>
              <w:ind w:right="-105"/>
              <w:rPr>
                <w:rFonts w:ascii="GHEA Grapalat" w:eastAsia="Times New Roman" w:hAnsi="GHEA Grapalat" w:cs="GHEA Grapalat"/>
                <w:bCs/>
                <w:sz w:val="20"/>
                <w:szCs w:val="20"/>
              </w:rPr>
            </w:pPr>
            <w:r w:rsidRPr="00673952">
              <w:rPr>
                <w:rFonts w:ascii="GHEA Grapalat" w:eastAsia="Times New Roman" w:hAnsi="GHEA Grapalat" w:cs="Sylfaen"/>
                <w:bCs/>
                <w:sz w:val="20"/>
                <w:szCs w:val="20"/>
              </w:rPr>
              <w:t>2.</w:t>
            </w:r>
            <w:r w:rsidRPr="00673952">
              <w:rPr>
                <w:rFonts w:ascii="Calibri" w:eastAsia="Times New Roman" w:hAnsi="Calibri" w:cs="Calibri"/>
                <w:bCs/>
                <w:sz w:val="20"/>
                <w:szCs w:val="20"/>
              </w:rPr>
              <w:t> </w:t>
            </w:r>
            <w:r w:rsidRPr="00673952">
              <w:rPr>
                <w:rFonts w:ascii="GHEA Grapalat" w:eastAsia="Times New Roman" w:hAnsi="GHEA Grapalat" w:cs="GHEA Grapalat"/>
                <w:bCs/>
                <w:sz w:val="20"/>
                <w:szCs w:val="20"/>
              </w:rPr>
              <w:t>Վճարողի</w:t>
            </w:r>
            <w:r w:rsidRPr="00673952">
              <w:rPr>
                <w:rFonts w:ascii="Calibri" w:eastAsia="Times New Roman" w:hAnsi="Calibri" w:cs="Calibri"/>
                <w:bCs/>
                <w:sz w:val="20"/>
                <w:szCs w:val="20"/>
              </w:rPr>
              <w:t> </w:t>
            </w:r>
            <w:r w:rsidRPr="00673952">
              <w:rPr>
                <w:rFonts w:ascii="GHEA Grapalat" w:eastAsia="Times New Roman" w:hAnsi="GHEA Grapalat" w:cs="GHEA Grapalat"/>
                <w:bCs/>
                <w:sz w:val="20"/>
                <w:szCs w:val="20"/>
              </w:rPr>
              <w:t>գտնվելու</w:t>
            </w:r>
            <w:r w:rsidR="00850A94">
              <w:rPr>
                <w:rFonts w:ascii="GHEA Grapalat" w:eastAsia="Times New Roman" w:hAnsi="GHEA Grapalat" w:cs="GHEA Grapalat"/>
                <w:bCs/>
                <w:sz w:val="20"/>
                <w:szCs w:val="20"/>
              </w:rPr>
              <w:t xml:space="preserve"> </w:t>
            </w:r>
            <w:r w:rsidRPr="00673952">
              <w:rPr>
                <w:rFonts w:ascii="GHEA Grapalat" w:eastAsia="Times New Roman" w:hAnsi="GHEA Grapalat" w:cs="GHEA Grapalat"/>
                <w:bCs/>
                <w:sz w:val="20"/>
                <w:szCs w:val="20"/>
              </w:rPr>
              <w:t>վայրը</w:t>
            </w:r>
          </w:p>
        </w:tc>
      </w:tr>
      <w:tr w:rsidR="0006565F" w:rsidTr="000E4751">
        <w:trPr>
          <w:trHeight w:val="523"/>
        </w:trPr>
        <w:tc>
          <w:tcPr>
            <w:tcW w:w="993" w:type="dxa"/>
          </w:tcPr>
          <w:p w:rsidR="0055778B" w:rsidRPr="00673952" w:rsidRDefault="00673952" w:rsidP="00850A94">
            <w:pPr>
              <w:spacing w:after="0" w:line="240" w:lineRule="auto"/>
              <w:ind w:right="-113"/>
              <w:rPr>
                <w:rFonts w:ascii="GHEA Grapalat" w:eastAsia="Times New Roman" w:hAnsi="GHEA Grapalat" w:cs="Sylfaen"/>
                <w:bCs/>
                <w:sz w:val="20"/>
                <w:szCs w:val="20"/>
              </w:rPr>
            </w:pPr>
            <w:r w:rsidRPr="00673952">
              <w:rPr>
                <w:rFonts w:ascii="GHEA Grapalat" w:eastAsia="Times New Roman" w:hAnsi="GHEA Grapalat" w:cs="Sylfaen"/>
                <w:bCs/>
                <w:sz w:val="20"/>
                <w:szCs w:val="20"/>
              </w:rPr>
              <w:t>3. ՀՎՀՀ</w:t>
            </w:r>
          </w:p>
        </w:tc>
        <w:tc>
          <w:tcPr>
            <w:tcW w:w="851" w:type="dxa"/>
          </w:tcPr>
          <w:p w:rsidR="0055778B" w:rsidRPr="00673952" w:rsidRDefault="0055778B" w:rsidP="001B379C">
            <w:pPr>
              <w:spacing w:after="0" w:line="240" w:lineRule="auto"/>
              <w:jc w:val="center"/>
              <w:rPr>
                <w:rFonts w:ascii="GHEA Grapalat" w:eastAsia="Times New Roman" w:hAnsi="GHEA Grapalat" w:cs="Sylfaen"/>
                <w:bCs/>
                <w:sz w:val="20"/>
                <w:szCs w:val="20"/>
              </w:rPr>
            </w:pPr>
          </w:p>
        </w:tc>
        <w:tc>
          <w:tcPr>
            <w:tcW w:w="850" w:type="dxa"/>
          </w:tcPr>
          <w:p w:rsidR="0055778B" w:rsidRPr="00673952" w:rsidRDefault="0055778B" w:rsidP="001B379C">
            <w:pPr>
              <w:spacing w:after="0" w:line="240" w:lineRule="auto"/>
              <w:jc w:val="center"/>
              <w:rPr>
                <w:rFonts w:ascii="GHEA Grapalat" w:eastAsia="Times New Roman" w:hAnsi="GHEA Grapalat" w:cs="Sylfaen"/>
                <w:bCs/>
                <w:sz w:val="20"/>
                <w:szCs w:val="20"/>
              </w:rPr>
            </w:pPr>
          </w:p>
        </w:tc>
        <w:tc>
          <w:tcPr>
            <w:tcW w:w="851" w:type="dxa"/>
          </w:tcPr>
          <w:p w:rsidR="0055778B" w:rsidRPr="00673952" w:rsidRDefault="0055778B" w:rsidP="001B379C">
            <w:pPr>
              <w:spacing w:after="0" w:line="240" w:lineRule="auto"/>
              <w:jc w:val="center"/>
              <w:rPr>
                <w:rFonts w:ascii="GHEA Grapalat" w:eastAsia="Times New Roman" w:hAnsi="GHEA Grapalat" w:cs="Sylfaen"/>
                <w:bCs/>
                <w:sz w:val="20"/>
                <w:szCs w:val="20"/>
              </w:rPr>
            </w:pPr>
          </w:p>
        </w:tc>
        <w:tc>
          <w:tcPr>
            <w:tcW w:w="850" w:type="dxa"/>
          </w:tcPr>
          <w:p w:rsidR="0055778B" w:rsidRPr="00673952" w:rsidRDefault="0055778B" w:rsidP="001B379C">
            <w:pPr>
              <w:spacing w:after="0" w:line="240" w:lineRule="auto"/>
              <w:jc w:val="center"/>
              <w:rPr>
                <w:rFonts w:ascii="GHEA Grapalat" w:eastAsia="Times New Roman" w:hAnsi="GHEA Grapalat" w:cs="Sylfaen"/>
                <w:bCs/>
                <w:sz w:val="20"/>
                <w:szCs w:val="20"/>
              </w:rPr>
            </w:pPr>
          </w:p>
        </w:tc>
        <w:tc>
          <w:tcPr>
            <w:tcW w:w="851" w:type="dxa"/>
            <w:gridSpan w:val="2"/>
          </w:tcPr>
          <w:p w:rsidR="0055778B" w:rsidRPr="00673952" w:rsidRDefault="0055778B" w:rsidP="001B379C">
            <w:pPr>
              <w:spacing w:after="0" w:line="240" w:lineRule="auto"/>
              <w:jc w:val="center"/>
              <w:rPr>
                <w:rFonts w:ascii="GHEA Grapalat" w:eastAsia="Times New Roman" w:hAnsi="GHEA Grapalat" w:cs="Sylfaen"/>
                <w:bCs/>
                <w:sz w:val="20"/>
                <w:szCs w:val="20"/>
              </w:rPr>
            </w:pPr>
          </w:p>
        </w:tc>
        <w:tc>
          <w:tcPr>
            <w:tcW w:w="850" w:type="dxa"/>
            <w:gridSpan w:val="2"/>
          </w:tcPr>
          <w:p w:rsidR="0055778B" w:rsidRPr="00673952" w:rsidRDefault="0055778B" w:rsidP="001B379C">
            <w:pPr>
              <w:spacing w:after="0" w:line="240" w:lineRule="auto"/>
              <w:jc w:val="center"/>
              <w:rPr>
                <w:rFonts w:ascii="GHEA Grapalat" w:eastAsia="Times New Roman" w:hAnsi="GHEA Grapalat" w:cs="Sylfaen"/>
                <w:bCs/>
                <w:sz w:val="20"/>
                <w:szCs w:val="20"/>
              </w:rPr>
            </w:pPr>
          </w:p>
        </w:tc>
        <w:tc>
          <w:tcPr>
            <w:tcW w:w="851" w:type="dxa"/>
            <w:gridSpan w:val="2"/>
          </w:tcPr>
          <w:p w:rsidR="0055778B" w:rsidRPr="00673952" w:rsidRDefault="0055778B" w:rsidP="001B379C">
            <w:pPr>
              <w:spacing w:after="0" w:line="240" w:lineRule="auto"/>
              <w:jc w:val="center"/>
              <w:rPr>
                <w:rFonts w:ascii="GHEA Grapalat" w:eastAsia="Times New Roman" w:hAnsi="GHEA Grapalat" w:cs="Sylfaen"/>
                <w:bCs/>
                <w:sz w:val="20"/>
                <w:szCs w:val="20"/>
              </w:rPr>
            </w:pPr>
          </w:p>
        </w:tc>
        <w:tc>
          <w:tcPr>
            <w:tcW w:w="850" w:type="dxa"/>
            <w:gridSpan w:val="2"/>
          </w:tcPr>
          <w:p w:rsidR="0055778B" w:rsidRPr="00673952" w:rsidRDefault="0055778B" w:rsidP="001B379C">
            <w:pPr>
              <w:spacing w:after="0" w:line="240" w:lineRule="auto"/>
              <w:jc w:val="center"/>
              <w:rPr>
                <w:rFonts w:ascii="GHEA Grapalat" w:eastAsia="Times New Roman" w:hAnsi="GHEA Grapalat" w:cs="Sylfaen"/>
                <w:bCs/>
                <w:sz w:val="20"/>
                <w:szCs w:val="20"/>
              </w:rPr>
            </w:pPr>
          </w:p>
        </w:tc>
        <w:tc>
          <w:tcPr>
            <w:tcW w:w="2977" w:type="dxa"/>
            <w:gridSpan w:val="3"/>
          </w:tcPr>
          <w:p w:rsidR="0055778B" w:rsidRPr="00673952" w:rsidRDefault="004C249B" w:rsidP="0006565F">
            <w:pPr>
              <w:spacing w:after="0" w:line="240" w:lineRule="auto"/>
              <w:rPr>
                <w:rFonts w:ascii="GHEA Grapalat" w:eastAsia="Times New Roman" w:hAnsi="GHEA Grapalat" w:cs="Sylfaen"/>
                <w:bCs/>
                <w:sz w:val="20"/>
                <w:szCs w:val="20"/>
              </w:rPr>
            </w:pPr>
            <w:r>
              <w:rPr>
                <w:rFonts w:ascii="GHEA Grapalat" w:eastAsia="Times New Roman" w:hAnsi="GHEA Grapalat" w:cs="Sylfaen"/>
                <w:bCs/>
                <w:sz w:val="20"/>
                <w:szCs w:val="20"/>
              </w:rPr>
              <w:t>4. Հեռախոսի համարը</w:t>
            </w:r>
          </w:p>
        </w:tc>
      </w:tr>
      <w:tr w:rsidR="0055778B" w:rsidTr="000E4751">
        <w:trPr>
          <w:trHeight w:val="416"/>
        </w:trPr>
        <w:tc>
          <w:tcPr>
            <w:tcW w:w="4401" w:type="dxa"/>
            <w:gridSpan w:val="6"/>
          </w:tcPr>
          <w:p w:rsidR="0055778B" w:rsidRPr="00673952" w:rsidRDefault="00673952" w:rsidP="00673952">
            <w:pPr>
              <w:spacing w:after="0" w:line="240" w:lineRule="auto"/>
              <w:rPr>
                <w:rFonts w:ascii="GHEA Grapalat" w:eastAsia="Times New Roman" w:hAnsi="GHEA Grapalat" w:cs="Sylfaen"/>
                <w:bCs/>
                <w:sz w:val="20"/>
                <w:szCs w:val="20"/>
              </w:rPr>
            </w:pPr>
            <w:r w:rsidRPr="00673952">
              <w:rPr>
                <w:rFonts w:ascii="GHEA Grapalat" w:eastAsia="Times New Roman" w:hAnsi="GHEA Grapalat" w:cs="Sylfaen"/>
                <w:bCs/>
                <w:sz w:val="20"/>
                <w:szCs w:val="20"/>
              </w:rPr>
              <w:t>5. Հաշվետու տարի</w:t>
            </w:r>
          </w:p>
        </w:tc>
        <w:tc>
          <w:tcPr>
            <w:tcW w:w="851" w:type="dxa"/>
            <w:gridSpan w:val="2"/>
          </w:tcPr>
          <w:p w:rsidR="0055778B" w:rsidRPr="00673952" w:rsidRDefault="0055778B" w:rsidP="001B379C">
            <w:pPr>
              <w:spacing w:after="0" w:line="240" w:lineRule="auto"/>
              <w:jc w:val="center"/>
              <w:rPr>
                <w:rFonts w:ascii="GHEA Grapalat" w:eastAsia="Times New Roman" w:hAnsi="GHEA Grapalat" w:cs="Sylfaen"/>
                <w:bCs/>
                <w:sz w:val="20"/>
                <w:szCs w:val="20"/>
              </w:rPr>
            </w:pPr>
          </w:p>
        </w:tc>
        <w:tc>
          <w:tcPr>
            <w:tcW w:w="850" w:type="dxa"/>
            <w:gridSpan w:val="2"/>
          </w:tcPr>
          <w:p w:rsidR="0055778B" w:rsidRPr="00673952" w:rsidRDefault="0055778B" w:rsidP="001B379C">
            <w:pPr>
              <w:spacing w:after="0" w:line="240" w:lineRule="auto"/>
              <w:jc w:val="center"/>
              <w:rPr>
                <w:rFonts w:ascii="GHEA Grapalat" w:eastAsia="Times New Roman" w:hAnsi="GHEA Grapalat" w:cs="Sylfaen"/>
                <w:bCs/>
                <w:sz w:val="20"/>
                <w:szCs w:val="20"/>
              </w:rPr>
            </w:pPr>
          </w:p>
        </w:tc>
        <w:tc>
          <w:tcPr>
            <w:tcW w:w="851" w:type="dxa"/>
            <w:gridSpan w:val="2"/>
          </w:tcPr>
          <w:p w:rsidR="0055778B" w:rsidRPr="00673952" w:rsidRDefault="0055778B" w:rsidP="001B379C">
            <w:pPr>
              <w:spacing w:after="0" w:line="240" w:lineRule="auto"/>
              <w:jc w:val="center"/>
              <w:rPr>
                <w:rFonts w:ascii="GHEA Grapalat" w:eastAsia="Times New Roman" w:hAnsi="GHEA Grapalat" w:cs="Sylfaen"/>
                <w:bCs/>
                <w:sz w:val="20"/>
                <w:szCs w:val="20"/>
              </w:rPr>
            </w:pPr>
          </w:p>
        </w:tc>
        <w:tc>
          <w:tcPr>
            <w:tcW w:w="850" w:type="dxa"/>
            <w:gridSpan w:val="2"/>
          </w:tcPr>
          <w:p w:rsidR="0055778B" w:rsidRPr="00673952" w:rsidRDefault="0055778B" w:rsidP="001B379C">
            <w:pPr>
              <w:spacing w:after="0" w:line="240" w:lineRule="auto"/>
              <w:jc w:val="center"/>
              <w:rPr>
                <w:rFonts w:ascii="GHEA Grapalat" w:eastAsia="Times New Roman" w:hAnsi="GHEA Grapalat" w:cs="Sylfaen"/>
                <w:bCs/>
                <w:sz w:val="20"/>
                <w:szCs w:val="20"/>
              </w:rPr>
            </w:pPr>
          </w:p>
        </w:tc>
        <w:tc>
          <w:tcPr>
            <w:tcW w:w="2971" w:type="dxa"/>
            <w:gridSpan w:val="2"/>
          </w:tcPr>
          <w:p w:rsidR="0055778B" w:rsidRPr="00673952" w:rsidRDefault="0008609E" w:rsidP="0006565F">
            <w:pPr>
              <w:spacing w:after="0" w:line="240" w:lineRule="auto"/>
              <w:rPr>
                <w:rFonts w:ascii="GHEA Grapalat" w:eastAsia="Times New Roman" w:hAnsi="GHEA Grapalat" w:cs="Sylfaen"/>
                <w:bCs/>
                <w:sz w:val="20"/>
                <w:szCs w:val="20"/>
              </w:rPr>
            </w:pPr>
            <w:r>
              <w:rPr>
                <w:rFonts w:ascii="GHEA Grapalat" w:eastAsia="Times New Roman" w:hAnsi="GHEA Grapalat" w:cs="Sylfaen"/>
                <w:bCs/>
                <w:sz w:val="20"/>
                <w:szCs w:val="20"/>
              </w:rPr>
              <w:t>6. Ներկայացման ամսաթիվը</w:t>
            </w:r>
          </w:p>
        </w:tc>
      </w:tr>
      <w:tr w:rsidR="0055778B" w:rsidTr="00FE1923">
        <w:trPr>
          <w:trHeight w:val="844"/>
        </w:trPr>
        <w:tc>
          <w:tcPr>
            <w:tcW w:w="993" w:type="dxa"/>
            <w:vAlign w:val="center"/>
          </w:tcPr>
          <w:p w:rsidR="0055778B" w:rsidRPr="00673952" w:rsidRDefault="001E156A" w:rsidP="001B379C">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Հ/Հ</w:t>
            </w:r>
          </w:p>
        </w:tc>
        <w:tc>
          <w:tcPr>
            <w:tcW w:w="6804" w:type="dxa"/>
            <w:gridSpan w:val="12"/>
            <w:vAlign w:val="center"/>
          </w:tcPr>
          <w:p w:rsidR="0055778B" w:rsidRPr="00673952" w:rsidRDefault="001E156A" w:rsidP="001B379C">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Ցուցանիշի անվանումը</w:t>
            </w:r>
          </w:p>
        </w:tc>
        <w:tc>
          <w:tcPr>
            <w:tcW w:w="851" w:type="dxa"/>
            <w:gridSpan w:val="2"/>
            <w:vAlign w:val="center"/>
          </w:tcPr>
          <w:p w:rsidR="0055778B" w:rsidRPr="00673952" w:rsidRDefault="001E156A" w:rsidP="001B379C">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Տողը</w:t>
            </w:r>
          </w:p>
        </w:tc>
        <w:tc>
          <w:tcPr>
            <w:tcW w:w="2126" w:type="dxa"/>
          </w:tcPr>
          <w:p w:rsidR="0055778B" w:rsidRPr="00673952" w:rsidRDefault="001E156A" w:rsidP="001B379C">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Հաշվետու տարվա փաստացի գումար</w:t>
            </w:r>
          </w:p>
        </w:tc>
      </w:tr>
      <w:tr w:rsidR="0055778B" w:rsidTr="00850A94">
        <w:trPr>
          <w:trHeight w:val="314"/>
        </w:trPr>
        <w:tc>
          <w:tcPr>
            <w:tcW w:w="993" w:type="dxa"/>
          </w:tcPr>
          <w:p w:rsidR="0055778B" w:rsidRPr="001E156A" w:rsidRDefault="001E156A" w:rsidP="001B379C">
            <w:pPr>
              <w:spacing w:after="0" w:line="240" w:lineRule="auto"/>
              <w:jc w:val="center"/>
              <w:rPr>
                <w:rFonts w:ascii="GHEA Grapalat" w:eastAsia="Times New Roman" w:hAnsi="GHEA Grapalat" w:cs="Sylfaen"/>
                <w:b/>
                <w:bCs/>
              </w:rPr>
            </w:pPr>
            <w:r w:rsidRPr="001E156A">
              <w:rPr>
                <w:rFonts w:ascii="GHEA Grapalat" w:eastAsia="Times New Roman" w:hAnsi="GHEA Grapalat" w:cs="Sylfaen"/>
                <w:b/>
                <w:bCs/>
              </w:rPr>
              <w:t>1</w:t>
            </w:r>
          </w:p>
        </w:tc>
        <w:tc>
          <w:tcPr>
            <w:tcW w:w="6804" w:type="dxa"/>
            <w:gridSpan w:val="12"/>
          </w:tcPr>
          <w:p w:rsidR="0055778B" w:rsidRPr="001E156A" w:rsidRDefault="001E156A" w:rsidP="001B379C">
            <w:pPr>
              <w:spacing w:after="0" w:line="240" w:lineRule="auto"/>
              <w:jc w:val="center"/>
              <w:rPr>
                <w:rFonts w:ascii="GHEA Grapalat" w:eastAsia="Times New Roman" w:hAnsi="GHEA Grapalat" w:cs="Sylfaen"/>
                <w:bCs/>
              </w:rPr>
            </w:pPr>
            <w:r w:rsidRPr="001E156A">
              <w:rPr>
                <w:rFonts w:ascii="GHEA Grapalat" w:eastAsia="Times New Roman" w:hAnsi="GHEA Grapalat" w:cs="Sylfaen"/>
                <w:bCs/>
              </w:rPr>
              <w:t>2</w:t>
            </w:r>
          </w:p>
        </w:tc>
        <w:tc>
          <w:tcPr>
            <w:tcW w:w="851" w:type="dxa"/>
            <w:gridSpan w:val="2"/>
          </w:tcPr>
          <w:p w:rsidR="0055778B" w:rsidRPr="001E156A" w:rsidRDefault="001E156A" w:rsidP="001B379C">
            <w:pPr>
              <w:spacing w:after="0" w:line="240" w:lineRule="auto"/>
              <w:jc w:val="center"/>
              <w:rPr>
                <w:rFonts w:ascii="GHEA Grapalat" w:eastAsia="Times New Roman" w:hAnsi="GHEA Grapalat" w:cs="Sylfaen"/>
                <w:bCs/>
              </w:rPr>
            </w:pPr>
            <w:r w:rsidRPr="001E156A">
              <w:rPr>
                <w:rFonts w:ascii="GHEA Grapalat" w:eastAsia="Times New Roman" w:hAnsi="GHEA Grapalat" w:cs="Sylfaen"/>
                <w:bCs/>
              </w:rPr>
              <w:t>3</w:t>
            </w:r>
          </w:p>
        </w:tc>
        <w:tc>
          <w:tcPr>
            <w:tcW w:w="2126" w:type="dxa"/>
          </w:tcPr>
          <w:p w:rsidR="0055778B" w:rsidRPr="001E156A" w:rsidRDefault="001E156A" w:rsidP="001B379C">
            <w:pPr>
              <w:spacing w:after="0" w:line="240" w:lineRule="auto"/>
              <w:jc w:val="center"/>
              <w:rPr>
                <w:rFonts w:ascii="GHEA Grapalat" w:eastAsia="Times New Roman" w:hAnsi="GHEA Grapalat" w:cs="Sylfaen"/>
                <w:bCs/>
              </w:rPr>
            </w:pPr>
            <w:r w:rsidRPr="001E156A">
              <w:rPr>
                <w:rFonts w:ascii="GHEA Grapalat" w:eastAsia="Times New Roman" w:hAnsi="GHEA Grapalat" w:cs="Sylfaen"/>
                <w:bCs/>
              </w:rPr>
              <w:t>4</w:t>
            </w:r>
          </w:p>
        </w:tc>
      </w:tr>
      <w:tr w:rsidR="001E156A" w:rsidTr="00850A94">
        <w:tc>
          <w:tcPr>
            <w:tcW w:w="993" w:type="dxa"/>
            <w:vAlign w:val="center"/>
          </w:tcPr>
          <w:p w:rsidR="001E156A" w:rsidRPr="00673952" w:rsidRDefault="001E156A" w:rsidP="001B379C">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1</w:t>
            </w:r>
            <w:r w:rsidR="00F1621F">
              <w:rPr>
                <w:rFonts w:ascii="GHEA Grapalat" w:eastAsia="Times New Roman" w:hAnsi="GHEA Grapalat" w:cs="Sylfaen"/>
                <w:bCs/>
                <w:sz w:val="20"/>
                <w:szCs w:val="20"/>
              </w:rPr>
              <w:t>.</w:t>
            </w:r>
          </w:p>
        </w:tc>
        <w:tc>
          <w:tcPr>
            <w:tcW w:w="6804" w:type="dxa"/>
            <w:gridSpan w:val="12"/>
          </w:tcPr>
          <w:p w:rsidR="001E156A" w:rsidRPr="00673952" w:rsidRDefault="001E156A" w:rsidP="00A131C9">
            <w:pPr>
              <w:spacing w:after="0" w:line="240" w:lineRule="auto"/>
              <w:rPr>
                <w:rFonts w:ascii="GHEA Grapalat" w:eastAsia="Times New Roman" w:hAnsi="GHEA Grapalat" w:cs="Sylfaen"/>
                <w:bCs/>
                <w:sz w:val="20"/>
                <w:szCs w:val="20"/>
              </w:rPr>
            </w:pPr>
            <w:r w:rsidRPr="001E156A">
              <w:rPr>
                <w:rFonts w:ascii="GHEA Grapalat" w:eastAsia="Times New Roman" w:hAnsi="GHEA Grapalat" w:cs="Sylfaen"/>
                <w:bCs/>
                <w:sz w:val="20"/>
                <w:szCs w:val="20"/>
              </w:rPr>
              <w:t xml:space="preserve">Զուտ շահույթը </w:t>
            </w:r>
            <w:r w:rsidR="00A131C9">
              <w:rPr>
                <w:rFonts w:ascii="GHEA Grapalat" w:eastAsia="Times New Roman" w:hAnsi="GHEA Grapalat" w:cs="Sylfaen"/>
                <w:bCs/>
                <w:sz w:val="20"/>
                <w:szCs w:val="20"/>
              </w:rPr>
              <w:t>(վնասը)` շահութահարկի գծով ծախս</w:t>
            </w:r>
            <w:r w:rsidRPr="001E156A">
              <w:rPr>
                <w:rFonts w:ascii="GHEA Grapalat" w:eastAsia="Times New Roman" w:hAnsi="GHEA Grapalat" w:cs="Sylfaen"/>
                <w:bCs/>
                <w:sz w:val="20"/>
                <w:szCs w:val="20"/>
              </w:rPr>
              <w:t>ի նվազեցումից հետո (ֆինանսական արդյունքների մասին հաշվետվության ձև N 2, 1</w:t>
            </w:r>
            <w:r w:rsidR="007B2B91">
              <w:rPr>
                <w:rFonts w:ascii="GHEA Grapalat" w:eastAsia="Times New Roman" w:hAnsi="GHEA Grapalat" w:cs="Sylfaen"/>
                <w:bCs/>
                <w:sz w:val="20"/>
                <w:szCs w:val="20"/>
              </w:rPr>
              <w:t>4</w:t>
            </w:r>
            <w:r w:rsidR="00E3175B">
              <w:rPr>
                <w:rFonts w:ascii="GHEA Grapalat" w:eastAsia="Times New Roman" w:hAnsi="GHEA Grapalat" w:cs="Sylfaen"/>
                <w:bCs/>
                <w:sz w:val="20"/>
                <w:szCs w:val="20"/>
              </w:rPr>
              <w:t>0-րդ տող</w:t>
            </w:r>
            <w:r w:rsidR="00695EB5">
              <w:rPr>
                <w:rFonts w:ascii="GHEA Grapalat" w:eastAsia="Times New Roman" w:hAnsi="GHEA Grapalat" w:cs="Sylfaen"/>
                <w:bCs/>
                <w:sz w:val="20"/>
                <w:szCs w:val="20"/>
              </w:rPr>
              <w:t>)</w:t>
            </w:r>
          </w:p>
        </w:tc>
        <w:tc>
          <w:tcPr>
            <w:tcW w:w="851" w:type="dxa"/>
            <w:gridSpan w:val="2"/>
            <w:vAlign w:val="center"/>
          </w:tcPr>
          <w:p w:rsidR="001E156A" w:rsidRPr="00673952" w:rsidRDefault="0070194B" w:rsidP="001B379C">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w:t>
            </w:r>
            <w:r w:rsidR="001E156A">
              <w:rPr>
                <w:rFonts w:ascii="GHEA Grapalat" w:eastAsia="Times New Roman" w:hAnsi="GHEA Grapalat" w:cs="Sylfaen"/>
                <w:bCs/>
                <w:sz w:val="20"/>
                <w:szCs w:val="20"/>
              </w:rPr>
              <w:t>10</w:t>
            </w:r>
          </w:p>
        </w:tc>
        <w:tc>
          <w:tcPr>
            <w:tcW w:w="2126" w:type="dxa"/>
          </w:tcPr>
          <w:p w:rsidR="001E156A" w:rsidRPr="00673952" w:rsidRDefault="001E156A" w:rsidP="001B379C">
            <w:pPr>
              <w:spacing w:after="0" w:line="240" w:lineRule="auto"/>
              <w:jc w:val="center"/>
              <w:rPr>
                <w:rFonts w:ascii="GHEA Grapalat" w:eastAsia="Times New Roman" w:hAnsi="GHEA Grapalat" w:cs="Sylfaen"/>
                <w:bCs/>
                <w:sz w:val="20"/>
                <w:szCs w:val="20"/>
              </w:rPr>
            </w:pPr>
          </w:p>
        </w:tc>
      </w:tr>
      <w:tr w:rsidR="009C741C" w:rsidTr="00850A94">
        <w:trPr>
          <w:trHeight w:val="2205"/>
        </w:trPr>
        <w:tc>
          <w:tcPr>
            <w:tcW w:w="993" w:type="dxa"/>
            <w:vAlign w:val="center"/>
          </w:tcPr>
          <w:p w:rsidR="009C741C" w:rsidRPr="00673952" w:rsidRDefault="009C741C" w:rsidP="001B379C">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2</w:t>
            </w:r>
            <w:r w:rsidR="00F1621F">
              <w:rPr>
                <w:rFonts w:ascii="GHEA Grapalat" w:eastAsia="Times New Roman" w:hAnsi="GHEA Grapalat" w:cs="Sylfaen"/>
                <w:bCs/>
                <w:sz w:val="20"/>
                <w:szCs w:val="20"/>
              </w:rPr>
              <w:t>.</w:t>
            </w:r>
          </w:p>
        </w:tc>
        <w:tc>
          <w:tcPr>
            <w:tcW w:w="6804" w:type="dxa"/>
            <w:gridSpan w:val="12"/>
          </w:tcPr>
          <w:p w:rsidR="009C741C" w:rsidRPr="00673952" w:rsidRDefault="009C741C" w:rsidP="00461307">
            <w:pPr>
              <w:spacing w:after="0" w:line="240" w:lineRule="auto"/>
              <w:rPr>
                <w:rFonts w:ascii="GHEA Grapalat" w:eastAsia="Times New Roman" w:hAnsi="GHEA Grapalat" w:cs="Sylfaen"/>
                <w:bCs/>
                <w:sz w:val="20"/>
                <w:szCs w:val="20"/>
              </w:rPr>
            </w:pPr>
            <w:r w:rsidRPr="001E156A">
              <w:rPr>
                <w:rFonts w:ascii="GHEA Grapalat" w:eastAsia="Times New Roman" w:hAnsi="GHEA Grapalat" w:cs="Sylfaen"/>
                <w:bCs/>
                <w:sz w:val="20"/>
                <w:szCs w:val="20"/>
              </w:rPr>
              <w:t>50 տոկոսից ավելի պետության սեփականություն հանդիսացող բաժնեմաս ունեցող ընկերությունների շահութաբաժինների հաշվարկման բազան որոշելիս զուտ շահույթը (վնասը)` շահութահարկի գծով ծախսերի նվազեցումից հետո ենթակա է ավելացման ՀՀ կառավարության 2006 թ. հունիսի 22-ի թիվ 1238-Ն որոշման 4-րդ կետով հաստատված ծախսերի առավելագույն թույլատրելի սահմանաչափերը գերազանցող գումարների չափով</w:t>
            </w:r>
          </w:p>
          <w:p w:rsidR="009C741C" w:rsidRPr="009C741C" w:rsidRDefault="009C741C" w:rsidP="00461307">
            <w:pPr>
              <w:spacing w:after="0" w:line="240" w:lineRule="auto"/>
              <w:rPr>
                <w:rFonts w:ascii="GHEA Grapalat" w:eastAsia="Times New Roman" w:hAnsi="GHEA Grapalat" w:cs="Sylfaen"/>
                <w:b/>
                <w:bCs/>
                <w:sz w:val="20"/>
                <w:szCs w:val="20"/>
              </w:rPr>
            </w:pPr>
            <w:r w:rsidRPr="009C741C">
              <w:rPr>
                <w:rFonts w:ascii="GHEA Grapalat" w:eastAsia="Times New Roman" w:hAnsi="GHEA Grapalat" w:cs="Sylfaen"/>
                <w:b/>
                <w:bCs/>
                <w:sz w:val="20"/>
                <w:szCs w:val="20"/>
              </w:rPr>
              <w:t>(021-ից 034 տողերի հանրագումարը)</w:t>
            </w:r>
          </w:p>
        </w:tc>
        <w:tc>
          <w:tcPr>
            <w:tcW w:w="851" w:type="dxa"/>
            <w:gridSpan w:val="2"/>
            <w:vAlign w:val="center"/>
          </w:tcPr>
          <w:p w:rsidR="009C741C" w:rsidRPr="00673952" w:rsidRDefault="0070194B" w:rsidP="001B379C">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w:t>
            </w:r>
            <w:r w:rsidR="009C741C">
              <w:rPr>
                <w:rFonts w:ascii="GHEA Grapalat" w:eastAsia="Times New Roman" w:hAnsi="GHEA Grapalat" w:cs="Sylfaen"/>
                <w:bCs/>
                <w:sz w:val="20"/>
                <w:szCs w:val="20"/>
              </w:rPr>
              <w:t>20</w:t>
            </w:r>
          </w:p>
        </w:tc>
        <w:tc>
          <w:tcPr>
            <w:tcW w:w="2126" w:type="dxa"/>
          </w:tcPr>
          <w:p w:rsidR="009C741C" w:rsidRPr="00673952" w:rsidRDefault="009C741C" w:rsidP="001B379C">
            <w:pPr>
              <w:spacing w:after="0" w:line="240" w:lineRule="auto"/>
              <w:jc w:val="center"/>
              <w:rPr>
                <w:rFonts w:ascii="GHEA Grapalat" w:eastAsia="Times New Roman" w:hAnsi="GHEA Grapalat" w:cs="Sylfaen"/>
                <w:bCs/>
                <w:sz w:val="20"/>
                <w:szCs w:val="20"/>
              </w:rPr>
            </w:pPr>
          </w:p>
        </w:tc>
      </w:tr>
      <w:tr w:rsidR="00CC1F2F" w:rsidTr="00850A94">
        <w:tc>
          <w:tcPr>
            <w:tcW w:w="993" w:type="dxa"/>
          </w:tcPr>
          <w:p w:rsidR="00CC1F2F" w:rsidRPr="00673952" w:rsidRDefault="00CC1F2F" w:rsidP="001B379C">
            <w:pPr>
              <w:spacing w:after="0" w:line="240" w:lineRule="auto"/>
              <w:jc w:val="center"/>
              <w:rPr>
                <w:rFonts w:ascii="GHEA Grapalat" w:eastAsia="Times New Roman" w:hAnsi="GHEA Grapalat" w:cs="Sylfaen"/>
                <w:bCs/>
                <w:sz w:val="20"/>
                <w:szCs w:val="20"/>
              </w:rPr>
            </w:pPr>
          </w:p>
        </w:tc>
        <w:tc>
          <w:tcPr>
            <w:tcW w:w="6804" w:type="dxa"/>
            <w:gridSpan w:val="12"/>
          </w:tcPr>
          <w:p w:rsidR="00CC1F2F" w:rsidRPr="00673952" w:rsidRDefault="00CC1F2F" w:rsidP="00461307">
            <w:pPr>
              <w:spacing w:after="0" w:line="240" w:lineRule="auto"/>
              <w:rPr>
                <w:rFonts w:ascii="GHEA Grapalat" w:eastAsia="Times New Roman" w:hAnsi="GHEA Grapalat" w:cs="Sylfaen"/>
                <w:bCs/>
                <w:sz w:val="20"/>
                <w:szCs w:val="20"/>
              </w:rPr>
            </w:pPr>
            <w:r w:rsidRPr="00CC1F2F">
              <w:rPr>
                <w:rFonts w:ascii="GHEA Grapalat" w:eastAsia="Times New Roman" w:hAnsi="GHEA Grapalat" w:cs="Sylfaen"/>
                <w:bCs/>
                <w:sz w:val="20"/>
                <w:szCs w:val="20"/>
              </w:rPr>
              <w:t>նույն թվում`</w:t>
            </w:r>
          </w:p>
        </w:tc>
        <w:tc>
          <w:tcPr>
            <w:tcW w:w="851" w:type="dxa"/>
            <w:gridSpan w:val="2"/>
          </w:tcPr>
          <w:p w:rsidR="00CC1F2F" w:rsidRPr="00673952" w:rsidRDefault="00CC1F2F" w:rsidP="001B379C">
            <w:pPr>
              <w:spacing w:after="0" w:line="240" w:lineRule="auto"/>
              <w:jc w:val="center"/>
              <w:rPr>
                <w:rFonts w:ascii="GHEA Grapalat" w:eastAsia="Times New Roman" w:hAnsi="GHEA Grapalat" w:cs="Sylfaen"/>
                <w:bCs/>
                <w:sz w:val="20"/>
                <w:szCs w:val="20"/>
              </w:rPr>
            </w:pPr>
          </w:p>
        </w:tc>
        <w:tc>
          <w:tcPr>
            <w:tcW w:w="2126" w:type="dxa"/>
          </w:tcPr>
          <w:p w:rsidR="00CC1F2F" w:rsidRPr="00673952" w:rsidRDefault="00CC1F2F" w:rsidP="001B379C">
            <w:pPr>
              <w:spacing w:after="0" w:line="240" w:lineRule="auto"/>
              <w:jc w:val="center"/>
              <w:rPr>
                <w:rFonts w:ascii="GHEA Grapalat" w:eastAsia="Times New Roman" w:hAnsi="GHEA Grapalat" w:cs="Sylfaen"/>
                <w:bCs/>
                <w:sz w:val="20"/>
                <w:szCs w:val="20"/>
              </w:rPr>
            </w:pPr>
          </w:p>
        </w:tc>
      </w:tr>
      <w:tr w:rsidR="00CC1F2F" w:rsidTr="00733696">
        <w:tc>
          <w:tcPr>
            <w:tcW w:w="993" w:type="dxa"/>
          </w:tcPr>
          <w:p w:rsidR="00CC1F2F" w:rsidRPr="00673952" w:rsidRDefault="00CC1F2F" w:rsidP="001B379C">
            <w:pPr>
              <w:spacing w:after="0" w:line="240" w:lineRule="auto"/>
              <w:jc w:val="center"/>
              <w:rPr>
                <w:rFonts w:ascii="GHEA Grapalat" w:eastAsia="Times New Roman" w:hAnsi="GHEA Grapalat" w:cs="Sylfaen"/>
                <w:bCs/>
                <w:sz w:val="20"/>
                <w:szCs w:val="20"/>
              </w:rPr>
            </w:pPr>
          </w:p>
        </w:tc>
        <w:tc>
          <w:tcPr>
            <w:tcW w:w="6804" w:type="dxa"/>
            <w:gridSpan w:val="12"/>
          </w:tcPr>
          <w:p w:rsidR="00CC1F2F" w:rsidRPr="00673952" w:rsidRDefault="00B54EB6" w:rsidP="00461307">
            <w:pPr>
              <w:spacing w:after="0" w:line="240" w:lineRule="auto"/>
              <w:rPr>
                <w:rFonts w:ascii="GHEA Grapalat" w:eastAsia="Times New Roman" w:hAnsi="GHEA Grapalat" w:cs="Sylfaen"/>
                <w:bCs/>
                <w:sz w:val="20"/>
                <w:szCs w:val="20"/>
              </w:rPr>
            </w:pPr>
            <w:r w:rsidRPr="00B54EB6">
              <w:rPr>
                <w:rFonts w:ascii="GHEA Grapalat" w:eastAsia="Times New Roman" w:hAnsi="GHEA Grapalat" w:cs="Sylfaen"/>
                <w:bCs/>
                <w:sz w:val="20"/>
                <w:szCs w:val="20"/>
              </w:rPr>
              <w:t>- վնասակար նյութերը շրջակա միջավայր արտանետելու համար Հայաստանի Հանրապետության կառավարության սահմանած չափը` (հաշվետու տարվա համախառն եկամտի 1.0 տոկոսը) գերազանցող գումարի չափով.</w:t>
            </w:r>
          </w:p>
        </w:tc>
        <w:tc>
          <w:tcPr>
            <w:tcW w:w="851" w:type="dxa"/>
            <w:gridSpan w:val="2"/>
            <w:vAlign w:val="center"/>
          </w:tcPr>
          <w:p w:rsidR="00CC1F2F" w:rsidRPr="00673952" w:rsidRDefault="00B54EB6" w:rsidP="001B379C">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021</w:t>
            </w:r>
          </w:p>
        </w:tc>
        <w:tc>
          <w:tcPr>
            <w:tcW w:w="2126" w:type="dxa"/>
          </w:tcPr>
          <w:p w:rsidR="00CC1F2F" w:rsidRPr="00673952" w:rsidRDefault="00CC1F2F" w:rsidP="001B379C">
            <w:pPr>
              <w:spacing w:after="0" w:line="240" w:lineRule="auto"/>
              <w:jc w:val="center"/>
              <w:rPr>
                <w:rFonts w:ascii="GHEA Grapalat" w:eastAsia="Times New Roman" w:hAnsi="GHEA Grapalat" w:cs="Sylfaen"/>
                <w:bCs/>
                <w:sz w:val="20"/>
                <w:szCs w:val="20"/>
              </w:rPr>
            </w:pPr>
          </w:p>
        </w:tc>
      </w:tr>
      <w:tr w:rsidR="00CC1F2F" w:rsidTr="00850A94">
        <w:tc>
          <w:tcPr>
            <w:tcW w:w="993" w:type="dxa"/>
          </w:tcPr>
          <w:p w:rsidR="00CC1F2F" w:rsidRPr="00673952" w:rsidRDefault="00CC1F2F" w:rsidP="001B379C">
            <w:pPr>
              <w:spacing w:after="0" w:line="240" w:lineRule="auto"/>
              <w:jc w:val="center"/>
              <w:rPr>
                <w:rFonts w:ascii="GHEA Grapalat" w:eastAsia="Times New Roman" w:hAnsi="GHEA Grapalat" w:cs="Sylfaen"/>
                <w:bCs/>
                <w:sz w:val="20"/>
                <w:szCs w:val="20"/>
              </w:rPr>
            </w:pPr>
          </w:p>
        </w:tc>
        <w:tc>
          <w:tcPr>
            <w:tcW w:w="6804" w:type="dxa"/>
            <w:gridSpan w:val="12"/>
          </w:tcPr>
          <w:p w:rsidR="00CC1F2F" w:rsidRPr="00673952" w:rsidRDefault="00B54EB6" w:rsidP="00461307">
            <w:pPr>
              <w:spacing w:after="0" w:line="240" w:lineRule="auto"/>
              <w:rPr>
                <w:rFonts w:ascii="GHEA Grapalat" w:eastAsia="Times New Roman" w:hAnsi="GHEA Grapalat" w:cs="Sylfaen"/>
                <w:bCs/>
                <w:sz w:val="20"/>
                <w:szCs w:val="20"/>
              </w:rPr>
            </w:pPr>
            <w:r w:rsidRPr="00B54EB6">
              <w:rPr>
                <w:rFonts w:ascii="GHEA Grapalat" w:eastAsia="Times New Roman" w:hAnsi="GHEA Grapalat" w:cs="Sylfaen"/>
                <w:bCs/>
                <w:sz w:val="20"/>
                <w:szCs w:val="20"/>
              </w:rPr>
              <w:t>- Հայաստանի Հանրապետության տարածքից դուրս գովազդի համար Հայաստանի Հանրապետության կառավարության կողմից սահմանած չափը գերազանցող ծախսերի չափով. (հաշվետու տարվա համախառն եկամտի 5.0 տոկոսը կամ հաշվետու տարվա ընթացքում ընկերության կողմից Հայաստանի Հանրապետության տարածքից դուրս արտահանված ապրանքների կամ ծառայությունների արժեքի 20 տոկոսը չգերազանցող գումարներից առավելագույնի չափով)</w:t>
            </w:r>
          </w:p>
        </w:tc>
        <w:tc>
          <w:tcPr>
            <w:tcW w:w="851" w:type="dxa"/>
            <w:gridSpan w:val="2"/>
            <w:vAlign w:val="center"/>
          </w:tcPr>
          <w:p w:rsidR="00CC1F2F" w:rsidRPr="00673952" w:rsidRDefault="00B54EB6" w:rsidP="001B379C">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022</w:t>
            </w:r>
          </w:p>
        </w:tc>
        <w:tc>
          <w:tcPr>
            <w:tcW w:w="2126" w:type="dxa"/>
          </w:tcPr>
          <w:p w:rsidR="00CC1F2F" w:rsidRPr="00673952" w:rsidRDefault="00CC1F2F" w:rsidP="001B379C">
            <w:pPr>
              <w:spacing w:after="0" w:line="240" w:lineRule="auto"/>
              <w:jc w:val="center"/>
              <w:rPr>
                <w:rFonts w:ascii="GHEA Grapalat" w:eastAsia="Times New Roman" w:hAnsi="GHEA Grapalat" w:cs="Sylfaen"/>
                <w:bCs/>
                <w:sz w:val="20"/>
                <w:szCs w:val="20"/>
              </w:rPr>
            </w:pPr>
          </w:p>
        </w:tc>
      </w:tr>
      <w:tr w:rsidR="00CC1F2F" w:rsidTr="00850A94">
        <w:tc>
          <w:tcPr>
            <w:tcW w:w="993" w:type="dxa"/>
          </w:tcPr>
          <w:p w:rsidR="00CC1F2F" w:rsidRPr="00673952" w:rsidRDefault="00CC1F2F" w:rsidP="001B379C">
            <w:pPr>
              <w:spacing w:after="0" w:line="240" w:lineRule="auto"/>
              <w:jc w:val="center"/>
              <w:rPr>
                <w:rFonts w:ascii="GHEA Grapalat" w:eastAsia="Times New Roman" w:hAnsi="GHEA Grapalat" w:cs="Sylfaen"/>
                <w:bCs/>
                <w:sz w:val="20"/>
                <w:szCs w:val="20"/>
              </w:rPr>
            </w:pPr>
          </w:p>
        </w:tc>
        <w:tc>
          <w:tcPr>
            <w:tcW w:w="6804" w:type="dxa"/>
            <w:gridSpan w:val="12"/>
          </w:tcPr>
          <w:p w:rsidR="00CC1F2F" w:rsidRPr="00673952" w:rsidRDefault="00B54EB6" w:rsidP="00461307">
            <w:pPr>
              <w:spacing w:after="0" w:line="240" w:lineRule="auto"/>
              <w:rPr>
                <w:rFonts w:ascii="GHEA Grapalat" w:eastAsia="Times New Roman" w:hAnsi="GHEA Grapalat" w:cs="Sylfaen"/>
                <w:bCs/>
                <w:sz w:val="20"/>
                <w:szCs w:val="20"/>
              </w:rPr>
            </w:pPr>
            <w:r w:rsidRPr="00B54EB6">
              <w:rPr>
                <w:rFonts w:ascii="GHEA Grapalat" w:eastAsia="Times New Roman" w:hAnsi="GHEA Grapalat" w:cs="Sylfaen"/>
                <w:bCs/>
                <w:sz w:val="20"/>
                <w:szCs w:val="20"/>
              </w:rPr>
              <w:t>- Հայաստանի Հանրապետության տարածքից դուրս կադրերի պատրաստման համար Հայաստանի Հանրապետության կառավարության սահմանած չափը գերազանցող ծախսերի չափով. (հաշվետու տարվա համախառն եկամտի 5.0 տոկոսի չափով, բայց ոչ ավելի, քան տվյալ հաշվետու ժամանակաշրջանում փաստացի պատրաստում անցած յուրաքանչյո</w:t>
            </w:r>
            <w:r w:rsidR="007406C7">
              <w:rPr>
                <w:rFonts w:ascii="GHEA Grapalat" w:eastAsia="Times New Roman" w:hAnsi="GHEA Grapalat" w:cs="Sylfaen"/>
                <w:bCs/>
                <w:sz w:val="20"/>
                <w:szCs w:val="20"/>
              </w:rPr>
              <w:t>ւր աշխատողի հաշվով 3.0 մլն դրամ</w:t>
            </w:r>
            <w:r w:rsidRPr="00B54EB6">
              <w:rPr>
                <w:rFonts w:ascii="GHEA Grapalat" w:eastAsia="Times New Roman" w:hAnsi="GHEA Grapalat" w:cs="Sylfaen"/>
                <w:bCs/>
                <w:sz w:val="20"/>
                <w:szCs w:val="20"/>
              </w:rPr>
              <w:t>)</w:t>
            </w:r>
          </w:p>
        </w:tc>
        <w:tc>
          <w:tcPr>
            <w:tcW w:w="851" w:type="dxa"/>
            <w:gridSpan w:val="2"/>
            <w:vAlign w:val="center"/>
          </w:tcPr>
          <w:p w:rsidR="00CC1F2F" w:rsidRPr="00673952" w:rsidRDefault="00B54EB6" w:rsidP="001B379C">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023</w:t>
            </w:r>
          </w:p>
        </w:tc>
        <w:tc>
          <w:tcPr>
            <w:tcW w:w="2126" w:type="dxa"/>
          </w:tcPr>
          <w:p w:rsidR="00CC1F2F" w:rsidRPr="00673952" w:rsidRDefault="00CC1F2F" w:rsidP="001B379C">
            <w:pPr>
              <w:spacing w:after="0" w:line="240" w:lineRule="auto"/>
              <w:jc w:val="center"/>
              <w:rPr>
                <w:rFonts w:ascii="GHEA Grapalat" w:eastAsia="Times New Roman" w:hAnsi="GHEA Grapalat" w:cs="Sylfaen"/>
                <w:bCs/>
                <w:sz w:val="20"/>
                <w:szCs w:val="20"/>
              </w:rPr>
            </w:pPr>
          </w:p>
        </w:tc>
      </w:tr>
      <w:tr w:rsidR="00CC1F2F" w:rsidTr="00850A94">
        <w:tc>
          <w:tcPr>
            <w:tcW w:w="993" w:type="dxa"/>
          </w:tcPr>
          <w:p w:rsidR="00CC1F2F" w:rsidRPr="00673952" w:rsidRDefault="00CC1F2F" w:rsidP="001B379C">
            <w:pPr>
              <w:spacing w:after="0" w:line="240" w:lineRule="auto"/>
              <w:jc w:val="center"/>
              <w:rPr>
                <w:rFonts w:ascii="GHEA Grapalat" w:eastAsia="Times New Roman" w:hAnsi="GHEA Grapalat" w:cs="Sylfaen"/>
                <w:bCs/>
                <w:sz w:val="20"/>
                <w:szCs w:val="20"/>
              </w:rPr>
            </w:pPr>
          </w:p>
        </w:tc>
        <w:tc>
          <w:tcPr>
            <w:tcW w:w="6804" w:type="dxa"/>
            <w:gridSpan w:val="12"/>
          </w:tcPr>
          <w:p w:rsidR="00CC1F2F" w:rsidRPr="00673952" w:rsidRDefault="00B54EB6" w:rsidP="00461307">
            <w:pPr>
              <w:spacing w:after="0" w:line="240" w:lineRule="auto"/>
              <w:rPr>
                <w:rFonts w:ascii="GHEA Grapalat" w:eastAsia="Times New Roman" w:hAnsi="GHEA Grapalat" w:cs="Sylfaen"/>
                <w:bCs/>
                <w:sz w:val="20"/>
                <w:szCs w:val="20"/>
              </w:rPr>
            </w:pPr>
            <w:r w:rsidRPr="00B54EB6">
              <w:rPr>
                <w:rFonts w:ascii="GHEA Grapalat" w:eastAsia="Times New Roman" w:hAnsi="GHEA Grapalat" w:cs="Sylfaen"/>
                <w:bCs/>
                <w:sz w:val="20"/>
                <w:szCs w:val="20"/>
              </w:rPr>
              <w:t>- Հայաստանի Հանրապետության տարածքից դուրս կադրերի վերապատրաստման համար Հայաստանի Հանրապետության կառավարության սահմանած չափը գերազանցող ծախսերի չափով. (հաշվետու տարվա համախառն եկամտի 2.0 տոկոսի չափով, բայց ոչ ավելի, քան տվյալ հաշվետու ժամանակաշրջանում փաստացի վերապատրաստում անցած յուրաքանչյուր աշխատողի հաշվով 2.0 մլն. դրամ)</w:t>
            </w:r>
          </w:p>
        </w:tc>
        <w:tc>
          <w:tcPr>
            <w:tcW w:w="851" w:type="dxa"/>
            <w:gridSpan w:val="2"/>
            <w:vAlign w:val="center"/>
          </w:tcPr>
          <w:p w:rsidR="00CC1F2F" w:rsidRDefault="00B54EB6" w:rsidP="001B379C">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024</w:t>
            </w:r>
          </w:p>
          <w:p w:rsidR="00B54EB6" w:rsidRPr="00673952" w:rsidRDefault="00B54EB6" w:rsidP="001B379C">
            <w:pPr>
              <w:spacing w:after="0" w:line="240" w:lineRule="auto"/>
              <w:jc w:val="center"/>
              <w:rPr>
                <w:rFonts w:ascii="GHEA Grapalat" w:eastAsia="Times New Roman" w:hAnsi="GHEA Grapalat" w:cs="Sylfaen"/>
                <w:bCs/>
                <w:sz w:val="20"/>
                <w:szCs w:val="20"/>
              </w:rPr>
            </w:pPr>
          </w:p>
        </w:tc>
        <w:tc>
          <w:tcPr>
            <w:tcW w:w="2126" w:type="dxa"/>
          </w:tcPr>
          <w:p w:rsidR="00CC1F2F" w:rsidRPr="00673952" w:rsidRDefault="00CC1F2F" w:rsidP="001B379C">
            <w:pPr>
              <w:spacing w:after="0" w:line="240" w:lineRule="auto"/>
              <w:jc w:val="center"/>
              <w:rPr>
                <w:rFonts w:ascii="GHEA Grapalat" w:eastAsia="Times New Roman" w:hAnsi="GHEA Grapalat" w:cs="Sylfaen"/>
                <w:bCs/>
                <w:sz w:val="20"/>
                <w:szCs w:val="20"/>
              </w:rPr>
            </w:pPr>
          </w:p>
        </w:tc>
      </w:tr>
      <w:tr w:rsidR="00CC1F2F" w:rsidTr="00850A94">
        <w:tc>
          <w:tcPr>
            <w:tcW w:w="993" w:type="dxa"/>
          </w:tcPr>
          <w:p w:rsidR="00CC1F2F" w:rsidRPr="00673952" w:rsidRDefault="00CC1F2F" w:rsidP="001B379C">
            <w:pPr>
              <w:spacing w:after="0" w:line="240" w:lineRule="auto"/>
              <w:jc w:val="center"/>
              <w:rPr>
                <w:rFonts w:ascii="GHEA Grapalat" w:eastAsia="Times New Roman" w:hAnsi="GHEA Grapalat" w:cs="Sylfaen"/>
                <w:bCs/>
                <w:sz w:val="20"/>
                <w:szCs w:val="20"/>
              </w:rPr>
            </w:pPr>
          </w:p>
        </w:tc>
        <w:tc>
          <w:tcPr>
            <w:tcW w:w="6804" w:type="dxa"/>
            <w:gridSpan w:val="12"/>
          </w:tcPr>
          <w:p w:rsidR="00CC1F2F" w:rsidRPr="00673952" w:rsidRDefault="00026F13" w:rsidP="00461307">
            <w:pPr>
              <w:spacing w:after="0" w:line="240" w:lineRule="auto"/>
              <w:rPr>
                <w:rFonts w:ascii="GHEA Grapalat" w:eastAsia="Times New Roman" w:hAnsi="GHEA Grapalat" w:cs="Sylfaen"/>
                <w:bCs/>
                <w:sz w:val="20"/>
                <w:szCs w:val="20"/>
              </w:rPr>
            </w:pPr>
            <w:r w:rsidRPr="00026F13">
              <w:rPr>
                <w:rFonts w:ascii="GHEA Grapalat" w:eastAsia="Times New Roman" w:hAnsi="GHEA Grapalat" w:cs="Sylfaen"/>
                <w:bCs/>
                <w:sz w:val="20"/>
                <w:szCs w:val="20"/>
              </w:rPr>
              <w:t>- Հայաստանի Հանրապետության տարածքից դուրս գործուղման ծախսերը` հաշվետու տարվա համախառն եկամտի 5.0 տոկոսի չափով: Ընդ որում, գործուղվողի` գործուղման մեջ գտնվելու յուրաքանչյուր օրացուցային օրվա համար օրապահիկի առավելագույն չափը սահմանվում է 30.0 հազ. դրամ, իսկ Հայաստանի Հանրապետության կառավարության կողմից այլ գումար սահմանված լինելու դեպքում՝ Հայաստանի Հանրապետության կառավարության կողմից սահմանված գո</w:t>
            </w:r>
            <w:r w:rsidR="007406C7">
              <w:rPr>
                <w:rFonts w:ascii="GHEA Grapalat" w:eastAsia="Times New Roman" w:hAnsi="GHEA Grapalat" w:cs="Sylfaen"/>
                <w:bCs/>
                <w:sz w:val="20"/>
                <w:szCs w:val="20"/>
              </w:rPr>
              <w:t>ւմարը չգերազանցող գումարի չափով</w:t>
            </w:r>
            <w:r w:rsidRPr="00026F13">
              <w:rPr>
                <w:rFonts w:ascii="GHEA Grapalat" w:eastAsia="Times New Roman" w:hAnsi="GHEA Grapalat" w:cs="Sylfaen"/>
                <w:bCs/>
                <w:sz w:val="20"/>
                <w:szCs w:val="20"/>
              </w:rPr>
              <w:t>)</w:t>
            </w:r>
          </w:p>
        </w:tc>
        <w:tc>
          <w:tcPr>
            <w:tcW w:w="851" w:type="dxa"/>
            <w:gridSpan w:val="2"/>
            <w:vAlign w:val="center"/>
          </w:tcPr>
          <w:p w:rsidR="00CC1F2F" w:rsidRDefault="00026F13" w:rsidP="001B379C">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025</w:t>
            </w:r>
          </w:p>
          <w:p w:rsidR="00026F13" w:rsidRPr="00673952" w:rsidRDefault="00026F13" w:rsidP="001B379C">
            <w:pPr>
              <w:spacing w:after="0" w:line="240" w:lineRule="auto"/>
              <w:jc w:val="center"/>
              <w:rPr>
                <w:rFonts w:ascii="GHEA Grapalat" w:eastAsia="Times New Roman" w:hAnsi="GHEA Grapalat" w:cs="Sylfaen"/>
                <w:bCs/>
                <w:sz w:val="20"/>
                <w:szCs w:val="20"/>
              </w:rPr>
            </w:pPr>
          </w:p>
        </w:tc>
        <w:tc>
          <w:tcPr>
            <w:tcW w:w="2126" w:type="dxa"/>
          </w:tcPr>
          <w:p w:rsidR="00CC1F2F" w:rsidRPr="00673952" w:rsidRDefault="00CC1F2F" w:rsidP="001B379C">
            <w:pPr>
              <w:spacing w:after="0" w:line="240" w:lineRule="auto"/>
              <w:jc w:val="center"/>
              <w:rPr>
                <w:rFonts w:ascii="GHEA Grapalat" w:eastAsia="Times New Roman" w:hAnsi="GHEA Grapalat" w:cs="Sylfaen"/>
                <w:bCs/>
                <w:sz w:val="20"/>
                <w:szCs w:val="20"/>
              </w:rPr>
            </w:pPr>
          </w:p>
        </w:tc>
      </w:tr>
      <w:tr w:rsidR="00026F13" w:rsidTr="00850A94">
        <w:tc>
          <w:tcPr>
            <w:tcW w:w="993" w:type="dxa"/>
          </w:tcPr>
          <w:p w:rsidR="00026F13" w:rsidRPr="00673952" w:rsidRDefault="00026F13" w:rsidP="00026F13">
            <w:pPr>
              <w:spacing w:after="0" w:line="240" w:lineRule="auto"/>
              <w:jc w:val="center"/>
              <w:rPr>
                <w:rFonts w:ascii="GHEA Grapalat" w:eastAsia="Times New Roman" w:hAnsi="GHEA Grapalat" w:cs="Sylfaen"/>
                <w:bCs/>
                <w:sz w:val="20"/>
                <w:szCs w:val="20"/>
              </w:rPr>
            </w:pPr>
          </w:p>
        </w:tc>
        <w:tc>
          <w:tcPr>
            <w:tcW w:w="6804" w:type="dxa"/>
            <w:gridSpan w:val="12"/>
          </w:tcPr>
          <w:p w:rsidR="00026F13" w:rsidRPr="00026F13" w:rsidRDefault="00026F13" w:rsidP="007406C7">
            <w:pPr>
              <w:spacing w:after="0" w:line="240" w:lineRule="auto"/>
              <w:rPr>
                <w:rFonts w:ascii="GHEA Grapalat" w:eastAsia="Times New Roman" w:hAnsi="GHEA Grapalat" w:cs="Sylfaen"/>
                <w:bCs/>
                <w:sz w:val="20"/>
                <w:szCs w:val="20"/>
              </w:rPr>
            </w:pPr>
            <w:r w:rsidRPr="00026F13">
              <w:rPr>
                <w:rFonts w:ascii="GHEA Grapalat" w:eastAsia="Times New Roman" w:hAnsi="GHEA Grapalat" w:cs="Sylfaen"/>
                <w:bCs/>
                <w:sz w:val="20"/>
                <w:szCs w:val="20"/>
              </w:rPr>
              <w:t>- Հայաստանի Հանրապետության տարածքում գործուղման օրապահիկի ծախսերը` գործուղվողի գործուղման մեջ գտնվելու յուրաքանչյուր օրացուցային օրվա համար` 12.0 հազ. դրամի չափով։ Շինարարություն իրականացնող ընկերությունների համար Հայաստանի Հանրապետության տարածքում օրապահիկի ծախսերի ամսական հանրագումարը չի կարող գերազանցել տվյալ շինարարությունում ընդգրկված յուրաքանչյուր վարձու աշխատողի հաշվով հաշվարկված՝ տվյալ ամսվա աշխատավարձի և դրան հավասարեցված այլ վճարումների հանրագումարը)</w:t>
            </w:r>
          </w:p>
        </w:tc>
        <w:tc>
          <w:tcPr>
            <w:tcW w:w="851" w:type="dxa"/>
            <w:gridSpan w:val="2"/>
            <w:vAlign w:val="center"/>
          </w:tcPr>
          <w:p w:rsidR="00026F13" w:rsidRDefault="00026F13" w:rsidP="00026F13">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026</w:t>
            </w:r>
          </w:p>
          <w:p w:rsidR="00026F13" w:rsidRPr="00673952" w:rsidRDefault="00026F13" w:rsidP="00026F13">
            <w:pPr>
              <w:spacing w:after="0" w:line="240" w:lineRule="auto"/>
              <w:jc w:val="center"/>
              <w:rPr>
                <w:rFonts w:ascii="GHEA Grapalat" w:eastAsia="Times New Roman" w:hAnsi="GHEA Grapalat" w:cs="Sylfaen"/>
                <w:bCs/>
                <w:sz w:val="20"/>
                <w:szCs w:val="20"/>
              </w:rPr>
            </w:pPr>
          </w:p>
        </w:tc>
        <w:tc>
          <w:tcPr>
            <w:tcW w:w="2126" w:type="dxa"/>
          </w:tcPr>
          <w:p w:rsidR="00026F13" w:rsidRPr="00673952" w:rsidRDefault="00026F13" w:rsidP="00026F13">
            <w:pPr>
              <w:spacing w:after="0" w:line="240" w:lineRule="auto"/>
              <w:jc w:val="center"/>
              <w:rPr>
                <w:rFonts w:ascii="GHEA Grapalat" w:eastAsia="Times New Roman" w:hAnsi="GHEA Grapalat" w:cs="Sylfaen"/>
                <w:bCs/>
                <w:sz w:val="20"/>
                <w:szCs w:val="20"/>
              </w:rPr>
            </w:pPr>
          </w:p>
        </w:tc>
      </w:tr>
      <w:tr w:rsidR="00026F13" w:rsidTr="00850A94">
        <w:tc>
          <w:tcPr>
            <w:tcW w:w="993" w:type="dxa"/>
          </w:tcPr>
          <w:p w:rsidR="00026F13" w:rsidRPr="00673952" w:rsidRDefault="00026F13" w:rsidP="00026F13">
            <w:pPr>
              <w:spacing w:after="0" w:line="240" w:lineRule="auto"/>
              <w:jc w:val="center"/>
              <w:rPr>
                <w:rFonts w:ascii="GHEA Grapalat" w:eastAsia="Times New Roman" w:hAnsi="GHEA Grapalat" w:cs="Sylfaen"/>
                <w:bCs/>
                <w:sz w:val="20"/>
                <w:szCs w:val="20"/>
              </w:rPr>
            </w:pPr>
          </w:p>
        </w:tc>
        <w:tc>
          <w:tcPr>
            <w:tcW w:w="6804" w:type="dxa"/>
            <w:gridSpan w:val="12"/>
          </w:tcPr>
          <w:p w:rsidR="00026F13" w:rsidRPr="00673952" w:rsidRDefault="00026F13" w:rsidP="00461307">
            <w:pPr>
              <w:spacing w:after="0" w:line="240" w:lineRule="auto"/>
              <w:rPr>
                <w:rFonts w:ascii="GHEA Grapalat" w:eastAsia="Times New Roman" w:hAnsi="GHEA Grapalat" w:cs="Sylfaen"/>
                <w:bCs/>
                <w:sz w:val="20"/>
                <w:szCs w:val="20"/>
              </w:rPr>
            </w:pPr>
            <w:r w:rsidRPr="00026F13">
              <w:rPr>
                <w:rFonts w:ascii="GHEA Grapalat" w:eastAsia="Times New Roman" w:hAnsi="GHEA Grapalat" w:cs="Sylfaen"/>
                <w:bCs/>
                <w:sz w:val="20"/>
                <w:szCs w:val="20"/>
              </w:rPr>
              <w:t xml:space="preserve">- </w:t>
            </w:r>
            <w:r w:rsidRPr="00026F13">
              <w:rPr>
                <w:rFonts w:ascii="Calibri" w:eastAsia="Times New Roman" w:hAnsi="Calibri" w:cs="Calibri"/>
                <w:bCs/>
                <w:sz w:val="20"/>
                <w:szCs w:val="20"/>
              </w:rPr>
              <w:t> </w:t>
            </w:r>
            <w:r w:rsidRPr="00026F13">
              <w:rPr>
                <w:rFonts w:ascii="GHEA Grapalat" w:eastAsia="Times New Roman" w:hAnsi="GHEA Grapalat" w:cs="Sylfaen"/>
                <w:bCs/>
                <w:sz w:val="20"/>
                <w:szCs w:val="20"/>
              </w:rPr>
              <w:t>Ներկայացուցչական ծախսերը` հաշվետու տարվա համախառն եկամտի 0.5 տոկոսի չափով, բայց ոչ ավելի, քան 5.0 մլն դրամը.</w:t>
            </w:r>
          </w:p>
        </w:tc>
        <w:tc>
          <w:tcPr>
            <w:tcW w:w="851" w:type="dxa"/>
            <w:gridSpan w:val="2"/>
            <w:vAlign w:val="center"/>
          </w:tcPr>
          <w:p w:rsidR="00026F13" w:rsidRPr="00673952" w:rsidRDefault="00733696" w:rsidP="00733696">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027</w:t>
            </w:r>
          </w:p>
        </w:tc>
        <w:tc>
          <w:tcPr>
            <w:tcW w:w="2126" w:type="dxa"/>
          </w:tcPr>
          <w:p w:rsidR="00026F13" w:rsidRPr="00673952" w:rsidRDefault="00026F13" w:rsidP="00026F13">
            <w:pPr>
              <w:spacing w:after="0" w:line="240" w:lineRule="auto"/>
              <w:jc w:val="center"/>
              <w:rPr>
                <w:rFonts w:ascii="GHEA Grapalat" w:eastAsia="Times New Roman" w:hAnsi="GHEA Grapalat" w:cs="Sylfaen"/>
                <w:bCs/>
                <w:sz w:val="20"/>
                <w:szCs w:val="20"/>
              </w:rPr>
            </w:pPr>
          </w:p>
        </w:tc>
      </w:tr>
      <w:tr w:rsidR="00026F13" w:rsidTr="00850A94">
        <w:tc>
          <w:tcPr>
            <w:tcW w:w="993" w:type="dxa"/>
          </w:tcPr>
          <w:p w:rsidR="00026F13" w:rsidRPr="00673952" w:rsidRDefault="00026F13" w:rsidP="00026F13">
            <w:pPr>
              <w:spacing w:after="0" w:line="240" w:lineRule="auto"/>
              <w:jc w:val="center"/>
              <w:rPr>
                <w:rFonts w:ascii="GHEA Grapalat" w:eastAsia="Times New Roman" w:hAnsi="GHEA Grapalat" w:cs="Sylfaen"/>
                <w:bCs/>
                <w:sz w:val="20"/>
                <w:szCs w:val="20"/>
              </w:rPr>
            </w:pPr>
          </w:p>
        </w:tc>
        <w:tc>
          <w:tcPr>
            <w:tcW w:w="6804" w:type="dxa"/>
            <w:gridSpan w:val="12"/>
          </w:tcPr>
          <w:p w:rsidR="00026F13" w:rsidRPr="00673952" w:rsidRDefault="00026F13" w:rsidP="007406C7">
            <w:pPr>
              <w:spacing w:after="0" w:line="240" w:lineRule="auto"/>
              <w:rPr>
                <w:rFonts w:ascii="GHEA Grapalat" w:eastAsia="Times New Roman" w:hAnsi="GHEA Grapalat" w:cs="Sylfaen"/>
                <w:bCs/>
                <w:sz w:val="20"/>
                <w:szCs w:val="20"/>
              </w:rPr>
            </w:pPr>
            <w:r w:rsidRPr="00026F13">
              <w:rPr>
                <w:rFonts w:ascii="GHEA Grapalat" w:eastAsia="Times New Roman" w:hAnsi="GHEA Grapalat" w:cs="Sylfaen"/>
                <w:bCs/>
                <w:sz w:val="20"/>
                <w:szCs w:val="20"/>
              </w:rPr>
              <w:t>- Առողջապահական հիմնարկների, ծերերի և հաշմանդամների տների, մանկական նախադպրոցական հիմնարկների, վերականգնողական ճամբարների, մշակութային, կրթական և մարզական հիմնարկների, ինչպես նաև բնակարանային ֆոնդի օբյեկտների պահպանման համար Հայաստանի Հանրապետության կառավարության սահմանած չափը գերազանցող ծախսերի չափով. (հաշվետու տարվա համախառն եկամտի 1.0 տոկոսի (այդ թվում՝ ամորտիզացիոն մա</w:t>
            </w:r>
            <w:r w:rsidR="007406C7">
              <w:rPr>
                <w:rFonts w:ascii="GHEA Grapalat" w:eastAsia="Times New Roman" w:hAnsi="GHEA Grapalat" w:cs="Sylfaen"/>
                <w:bCs/>
                <w:sz w:val="20"/>
                <w:szCs w:val="20"/>
              </w:rPr>
              <w:t xml:space="preserve">սհանումները և նորոգման ծախսերը) </w:t>
            </w:r>
            <w:r w:rsidR="007406C7" w:rsidRPr="00026F13">
              <w:rPr>
                <w:rFonts w:ascii="GHEA Grapalat" w:eastAsia="Times New Roman" w:hAnsi="GHEA Grapalat" w:cs="Sylfaen"/>
                <w:bCs/>
                <w:sz w:val="20"/>
                <w:szCs w:val="20"/>
              </w:rPr>
              <w:t>չափով</w:t>
            </w:r>
            <w:r w:rsidR="007406C7">
              <w:rPr>
                <w:rFonts w:ascii="GHEA Grapalat" w:eastAsia="Times New Roman" w:hAnsi="GHEA Grapalat" w:cs="Sylfaen"/>
                <w:bCs/>
                <w:sz w:val="20"/>
                <w:szCs w:val="20"/>
              </w:rPr>
              <w:t>)</w:t>
            </w:r>
          </w:p>
        </w:tc>
        <w:tc>
          <w:tcPr>
            <w:tcW w:w="851" w:type="dxa"/>
            <w:gridSpan w:val="2"/>
            <w:vAlign w:val="center"/>
          </w:tcPr>
          <w:p w:rsidR="00026F13" w:rsidRPr="00673952" w:rsidRDefault="00026F13" w:rsidP="00026F13">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028</w:t>
            </w:r>
          </w:p>
        </w:tc>
        <w:tc>
          <w:tcPr>
            <w:tcW w:w="2126" w:type="dxa"/>
          </w:tcPr>
          <w:p w:rsidR="00026F13" w:rsidRPr="00673952" w:rsidRDefault="00026F13" w:rsidP="00026F13">
            <w:pPr>
              <w:spacing w:after="0" w:line="240" w:lineRule="auto"/>
              <w:jc w:val="center"/>
              <w:rPr>
                <w:rFonts w:ascii="GHEA Grapalat" w:eastAsia="Times New Roman" w:hAnsi="GHEA Grapalat" w:cs="Sylfaen"/>
                <w:bCs/>
                <w:sz w:val="20"/>
                <w:szCs w:val="20"/>
              </w:rPr>
            </w:pPr>
          </w:p>
        </w:tc>
      </w:tr>
      <w:tr w:rsidR="00026F13" w:rsidTr="00850A94">
        <w:tc>
          <w:tcPr>
            <w:tcW w:w="993" w:type="dxa"/>
          </w:tcPr>
          <w:p w:rsidR="00026F13" w:rsidRPr="00673952" w:rsidRDefault="00026F13" w:rsidP="00026F13">
            <w:pPr>
              <w:spacing w:after="0" w:line="240" w:lineRule="auto"/>
              <w:jc w:val="center"/>
              <w:rPr>
                <w:rFonts w:ascii="GHEA Grapalat" w:eastAsia="Times New Roman" w:hAnsi="GHEA Grapalat" w:cs="Sylfaen"/>
                <w:bCs/>
                <w:sz w:val="20"/>
                <w:szCs w:val="20"/>
              </w:rPr>
            </w:pPr>
          </w:p>
        </w:tc>
        <w:tc>
          <w:tcPr>
            <w:tcW w:w="6804" w:type="dxa"/>
            <w:gridSpan w:val="12"/>
          </w:tcPr>
          <w:p w:rsidR="00026F13" w:rsidRPr="00026F13" w:rsidRDefault="00026F13" w:rsidP="00461307">
            <w:pPr>
              <w:spacing w:after="0" w:line="240" w:lineRule="auto"/>
              <w:rPr>
                <w:rFonts w:ascii="GHEA Grapalat" w:eastAsia="Times New Roman" w:hAnsi="GHEA Grapalat" w:cs="Sylfaen"/>
                <w:bCs/>
                <w:sz w:val="20"/>
                <w:szCs w:val="20"/>
              </w:rPr>
            </w:pPr>
            <w:r w:rsidRPr="00026F13">
              <w:rPr>
                <w:rFonts w:ascii="GHEA Grapalat" w:eastAsia="Times New Roman" w:hAnsi="GHEA Grapalat" w:cs="Sylfaen"/>
                <w:bCs/>
                <w:sz w:val="20"/>
                <w:szCs w:val="20"/>
              </w:rPr>
              <w:t>- Հայաստանի Հանրապետության կառավարության սահմանած չափը գերազանցող Հայաստանի Հանրապետության տարածքից դուրս մարքեթինգի ծախսերի չափով (հաշվետու տարվա համախառն եկամտի 2.0 տոկոսը</w:t>
            </w:r>
            <w:r w:rsidRPr="00026F13">
              <w:rPr>
                <w:rFonts w:ascii="Calibri" w:eastAsia="Times New Roman" w:hAnsi="Calibri" w:cs="Calibri"/>
                <w:bCs/>
                <w:sz w:val="20"/>
                <w:szCs w:val="20"/>
              </w:rPr>
              <w:t> </w:t>
            </w:r>
            <w:r w:rsidRPr="00026F13">
              <w:rPr>
                <w:rFonts w:ascii="GHEA Grapalat" w:eastAsia="Times New Roman" w:hAnsi="GHEA Grapalat" w:cs="Sylfaen"/>
                <w:bCs/>
                <w:sz w:val="20"/>
                <w:szCs w:val="20"/>
              </w:rPr>
              <w:t>կամ հաշվետու տարվա ընթացքում ընկերության կողմից արտահանված ապրանքների և ծառայությունների արժեքի 15 տոկոսը կամ հաշվետու տարվա ընթացքում ընկերության կողմից Հայաստանի Հանրապետություն ներմուծված ապրանքների արժեքի 5.0 տոկոսը չգերազանցող գումարներից առավելագույնի չափով)</w:t>
            </w:r>
          </w:p>
        </w:tc>
        <w:tc>
          <w:tcPr>
            <w:tcW w:w="851" w:type="dxa"/>
            <w:gridSpan w:val="2"/>
            <w:vAlign w:val="center"/>
          </w:tcPr>
          <w:p w:rsidR="00026F13" w:rsidRPr="00673952" w:rsidRDefault="00026F13" w:rsidP="00026F13">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029</w:t>
            </w:r>
          </w:p>
        </w:tc>
        <w:tc>
          <w:tcPr>
            <w:tcW w:w="2126" w:type="dxa"/>
          </w:tcPr>
          <w:p w:rsidR="00026F13" w:rsidRPr="00673952" w:rsidRDefault="00026F13" w:rsidP="00026F13">
            <w:pPr>
              <w:spacing w:after="0" w:line="240" w:lineRule="auto"/>
              <w:jc w:val="center"/>
              <w:rPr>
                <w:rFonts w:ascii="GHEA Grapalat" w:eastAsia="Times New Roman" w:hAnsi="GHEA Grapalat" w:cs="Sylfaen"/>
                <w:bCs/>
                <w:sz w:val="20"/>
                <w:szCs w:val="20"/>
              </w:rPr>
            </w:pPr>
          </w:p>
        </w:tc>
      </w:tr>
      <w:tr w:rsidR="00026F13" w:rsidTr="00850A94">
        <w:tc>
          <w:tcPr>
            <w:tcW w:w="993" w:type="dxa"/>
          </w:tcPr>
          <w:p w:rsidR="00026F13" w:rsidRPr="00673952" w:rsidRDefault="00026F13" w:rsidP="00026F13">
            <w:pPr>
              <w:spacing w:after="0" w:line="240" w:lineRule="auto"/>
              <w:jc w:val="center"/>
              <w:rPr>
                <w:rFonts w:ascii="GHEA Grapalat" w:eastAsia="Times New Roman" w:hAnsi="GHEA Grapalat" w:cs="Sylfaen"/>
                <w:bCs/>
                <w:sz w:val="20"/>
                <w:szCs w:val="20"/>
              </w:rPr>
            </w:pPr>
          </w:p>
        </w:tc>
        <w:tc>
          <w:tcPr>
            <w:tcW w:w="6804" w:type="dxa"/>
            <w:gridSpan w:val="12"/>
          </w:tcPr>
          <w:p w:rsidR="00026F13" w:rsidRPr="00673952" w:rsidRDefault="00026F13" w:rsidP="00461307">
            <w:pPr>
              <w:spacing w:after="0" w:line="240" w:lineRule="auto"/>
              <w:rPr>
                <w:rFonts w:ascii="GHEA Grapalat" w:eastAsia="Times New Roman" w:hAnsi="GHEA Grapalat" w:cs="Sylfaen"/>
                <w:bCs/>
                <w:sz w:val="20"/>
                <w:szCs w:val="20"/>
              </w:rPr>
            </w:pPr>
            <w:r w:rsidRPr="00026F13">
              <w:rPr>
                <w:rFonts w:ascii="GHEA Grapalat" w:eastAsia="Times New Roman" w:hAnsi="GHEA Grapalat" w:cs="Sylfaen"/>
                <w:bCs/>
                <w:sz w:val="20"/>
                <w:szCs w:val="20"/>
              </w:rPr>
              <w:t>- Վարկերի և (կամ) փոխառությունների գծով հաշվարկվող տոկոսների գումարների չափով (այդ թվում՝ լիզինգի (տարատեսակների) պայմանագրերի շրջանակներում հաշվարկվող տոկոսների գումարների), բայց ոչ ավելի, քան ֆինանսական տարվա դեկտեմբերի 31-ի դրությամբ Հայաստանի Հանրապետության կենտրոնական բանկի սահմանած բանկային տոկոսի հաշվարկային դրույքի կրկնապատիկին համապատասխանող գումարները</w:t>
            </w:r>
          </w:p>
        </w:tc>
        <w:tc>
          <w:tcPr>
            <w:tcW w:w="851" w:type="dxa"/>
            <w:gridSpan w:val="2"/>
            <w:vAlign w:val="center"/>
          </w:tcPr>
          <w:p w:rsidR="00026F13" w:rsidRPr="00673952" w:rsidRDefault="00026F13" w:rsidP="00026F13">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030</w:t>
            </w:r>
          </w:p>
        </w:tc>
        <w:tc>
          <w:tcPr>
            <w:tcW w:w="2126" w:type="dxa"/>
          </w:tcPr>
          <w:p w:rsidR="00026F13" w:rsidRPr="00673952" w:rsidRDefault="00026F13" w:rsidP="00026F13">
            <w:pPr>
              <w:spacing w:after="0" w:line="240" w:lineRule="auto"/>
              <w:jc w:val="center"/>
              <w:rPr>
                <w:rFonts w:ascii="GHEA Grapalat" w:eastAsia="Times New Roman" w:hAnsi="GHEA Grapalat" w:cs="Sylfaen"/>
                <w:bCs/>
                <w:sz w:val="20"/>
                <w:szCs w:val="20"/>
              </w:rPr>
            </w:pPr>
          </w:p>
        </w:tc>
      </w:tr>
      <w:tr w:rsidR="00026F13" w:rsidTr="00850A94">
        <w:tc>
          <w:tcPr>
            <w:tcW w:w="993" w:type="dxa"/>
          </w:tcPr>
          <w:p w:rsidR="00026F13" w:rsidRPr="00673952" w:rsidRDefault="00026F13" w:rsidP="00026F13">
            <w:pPr>
              <w:spacing w:after="0" w:line="240" w:lineRule="auto"/>
              <w:jc w:val="center"/>
              <w:rPr>
                <w:rFonts w:ascii="GHEA Grapalat" w:eastAsia="Times New Roman" w:hAnsi="GHEA Grapalat" w:cs="Sylfaen"/>
                <w:bCs/>
                <w:sz w:val="20"/>
                <w:szCs w:val="20"/>
              </w:rPr>
            </w:pPr>
          </w:p>
        </w:tc>
        <w:tc>
          <w:tcPr>
            <w:tcW w:w="6804" w:type="dxa"/>
            <w:gridSpan w:val="12"/>
          </w:tcPr>
          <w:p w:rsidR="00026F13" w:rsidRPr="00026F13" w:rsidRDefault="00026F13" w:rsidP="00461307">
            <w:pPr>
              <w:spacing w:after="0" w:line="240" w:lineRule="auto"/>
              <w:rPr>
                <w:rFonts w:ascii="GHEA Grapalat" w:eastAsia="Times New Roman" w:hAnsi="GHEA Grapalat" w:cs="Sylfaen"/>
                <w:bCs/>
                <w:sz w:val="20"/>
                <w:szCs w:val="20"/>
              </w:rPr>
            </w:pPr>
            <w:r w:rsidRPr="00026F13">
              <w:rPr>
                <w:rFonts w:ascii="GHEA Grapalat" w:eastAsia="Times New Roman" w:hAnsi="GHEA Grapalat" w:cs="Sylfaen"/>
                <w:bCs/>
                <w:sz w:val="20"/>
                <w:szCs w:val="20"/>
              </w:rPr>
              <w:t>- Բանկ և վարկային կազմակերպություն չհամարվող սուբյեկտներից ներգրավված փոխառությունների գծով ֆինանսական տարվա ընթացքում հաշվարկվող տոկոսների գումարների չափով, բայց ոչ ավելի, քան ֆինանսական տարվա (բացառությամբ բանկերի և վարկային կազմակերպությունների)՝ ֆինանսական տարվա վերջին օրվա դրությամբ առկա սեփական կապիտալի դրական մեծության կրկնապատիկը։ Ֆինանսական տարվա վերջին օրվա դրությամբ առկա սեփական կապիտալի բացասական մեծության դեպքում բանկ և վարկային կազմակերպություն չհամարվող սուբյեկտներից ներգրավված փոխառությունների գծով հարկային տարվա ընթացքում հաշվարկվող տոկոսների գումարները շահութաբաժնի հաշվարկման բազան որոշելիս համախառն եկամտից չեն նվազեցվում</w:t>
            </w:r>
          </w:p>
        </w:tc>
        <w:tc>
          <w:tcPr>
            <w:tcW w:w="851" w:type="dxa"/>
            <w:gridSpan w:val="2"/>
            <w:vAlign w:val="center"/>
          </w:tcPr>
          <w:p w:rsidR="00026F13" w:rsidRPr="00673952" w:rsidRDefault="00026F13" w:rsidP="00026F13">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031</w:t>
            </w:r>
          </w:p>
        </w:tc>
        <w:tc>
          <w:tcPr>
            <w:tcW w:w="2126" w:type="dxa"/>
          </w:tcPr>
          <w:p w:rsidR="00026F13" w:rsidRPr="00673952" w:rsidRDefault="00026F13" w:rsidP="00026F13">
            <w:pPr>
              <w:spacing w:after="0" w:line="240" w:lineRule="auto"/>
              <w:jc w:val="center"/>
              <w:rPr>
                <w:rFonts w:ascii="GHEA Grapalat" w:eastAsia="Times New Roman" w:hAnsi="GHEA Grapalat" w:cs="Sylfaen"/>
                <w:bCs/>
                <w:sz w:val="20"/>
                <w:szCs w:val="20"/>
              </w:rPr>
            </w:pPr>
          </w:p>
        </w:tc>
      </w:tr>
      <w:tr w:rsidR="00026F13" w:rsidTr="00850A94">
        <w:tc>
          <w:tcPr>
            <w:tcW w:w="993" w:type="dxa"/>
          </w:tcPr>
          <w:p w:rsidR="00026F13" w:rsidRPr="00673952" w:rsidRDefault="00026F13" w:rsidP="00026F13">
            <w:pPr>
              <w:spacing w:after="0" w:line="240" w:lineRule="auto"/>
              <w:jc w:val="center"/>
              <w:rPr>
                <w:rFonts w:ascii="GHEA Grapalat" w:eastAsia="Times New Roman" w:hAnsi="GHEA Grapalat" w:cs="Sylfaen"/>
                <w:bCs/>
                <w:sz w:val="20"/>
                <w:szCs w:val="20"/>
              </w:rPr>
            </w:pPr>
          </w:p>
        </w:tc>
        <w:tc>
          <w:tcPr>
            <w:tcW w:w="6804" w:type="dxa"/>
            <w:gridSpan w:val="12"/>
          </w:tcPr>
          <w:p w:rsidR="00026F13" w:rsidRPr="00673952" w:rsidRDefault="00026F13" w:rsidP="00461307">
            <w:pPr>
              <w:spacing w:after="0" w:line="240" w:lineRule="auto"/>
              <w:rPr>
                <w:rFonts w:ascii="GHEA Grapalat" w:eastAsia="Times New Roman" w:hAnsi="GHEA Grapalat" w:cs="Sylfaen"/>
                <w:bCs/>
                <w:sz w:val="20"/>
                <w:szCs w:val="20"/>
              </w:rPr>
            </w:pPr>
            <w:r w:rsidRPr="00026F13">
              <w:rPr>
                <w:rFonts w:ascii="GHEA Grapalat" w:eastAsia="Times New Roman" w:hAnsi="GHEA Grapalat" w:cs="Sylfaen"/>
                <w:bCs/>
                <w:sz w:val="20"/>
                <w:szCs w:val="20"/>
              </w:rPr>
              <w:t>- Բանկ և վարկային կազմակերպություն չհամարվող սուբյեկտներից ստացած վարկերի և (կամ) փոխառությունների գծով հաշվարկվող տոկոսների գումարների չափով, բացառությամբ, եթե այդ վարկերի և (կամ) փոխառությունների գումարներն անտոկոս տրամադրվում են այլ կազմակերպություններին։ Եթե բանկ և վարկային կազմակերպություն չհամարվող սուբյեկտներից ստացած վարկերի և (կամ) փոխառությունների գումարների հաշվին այլ կազմակերպություններին տրամադրված փոխառությունների գծով ստացվող տոկոսների գումարները գերազանցում են ստացած վարկերի և (կամ) փոխառությունների գծով հաշվարկվող տոկոսների գումարները, ապա գերազանցող մասը շահութաբաժնի հաշվարկման բազան որոշելիս համարվում է համախառն եկամտի մաս</w:t>
            </w:r>
          </w:p>
        </w:tc>
        <w:tc>
          <w:tcPr>
            <w:tcW w:w="851" w:type="dxa"/>
            <w:gridSpan w:val="2"/>
            <w:vAlign w:val="center"/>
          </w:tcPr>
          <w:p w:rsidR="00026F13" w:rsidRPr="00673952" w:rsidRDefault="00026F13" w:rsidP="00026F13">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032</w:t>
            </w:r>
          </w:p>
        </w:tc>
        <w:tc>
          <w:tcPr>
            <w:tcW w:w="2126" w:type="dxa"/>
          </w:tcPr>
          <w:p w:rsidR="00026F13" w:rsidRPr="00673952" w:rsidRDefault="00026F13" w:rsidP="00026F13">
            <w:pPr>
              <w:spacing w:after="0" w:line="240" w:lineRule="auto"/>
              <w:jc w:val="center"/>
              <w:rPr>
                <w:rFonts w:ascii="GHEA Grapalat" w:eastAsia="Times New Roman" w:hAnsi="GHEA Grapalat" w:cs="Sylfaen"/>
                <w:bCs/>
                <w:sz w:val="20"/>
                <w:szCs w:val="20"/>
              </w:rPr>
            </w:pPr>
          </w:p>
        </w:tc>
      </w:tr>
      <w:tr w:rsidR="00026F13" w:rsidTr="00850A94">
        <w:tc>
          <w:tcPr>
            <w:tcW w:w="993" w:type="dxa"/>
          </w:tcPr>
          <w:p w:rsidR="00026F13" w:rsidRPr="00673952" w:rsidRDefault="00026F13" w:rsidP="00026F13">
            <w:pPr>
              <w:spacing w:after="0" w:line="240" w:lineRule="auto"/>
              <w:jc w:val="center"/>
              <w:rPr>
                <w:rFonts w:ascii="GHEA Grapalat" w:eastAsia="Times New Roman" w:hAnsi="GHEA Grapalat" w:cs="Sylfaen"/>
                <w:bCs/>
                <w:sz w:val="20"/>
                <w:szCs w:val="20"/>
              </w:rPr>
            </w:pPr>
          </w:p>
        </w:tc>
        <w:tc>
          <w:tcPr>
            <w:tcW w:w="6804" w:type="dxa"/>
            <w:gridSpan w:val="12"/>
          </w:tcPr>
          <w:p w:rsidR="00026F13" w:rsidRPr="00673952" w:rsidRDefault="00026F13" w:rsidP="00461307">
            <w:pPr>
              <w:spacing w:after="0" w:line="240" w:lineRule="auto"/>
              <w:rPr>
                <w:rFonts w:ascii="GHEA Grapalat" w:eastAsia="Times New Roman" w:hAnsi="GHEA Grapalat" w:cs="Sylfaen"/>
                <w:bCs/>
                <w:sz w:val="20"/>
                <w:szCs w:val="20"/>
              </w:rPr>
            </w:pPr>
            <w:r w:rsidRPr="00026F13">
              <w:rPr>
                <w:rFonts w:ascii="GHEA Grapalat" w:eastAsia="Times New Roman" w:hAnsi="GHEA Grapalat" w:cs="Sylfaen"/>
                <w:bCs/>
                <w:sz w:val="20"/>
                <w:szCs w:val="20"/>
              </w:rPr>
              <w:t>- Ընկերության կողմից վարձակալությամբ վերցված հիմնական միջոցների և (կամ) ոչ նյութական ակտիվների գծով վճարվող վարձակալական վճարների չափով, բացառությամբ՝ եթե դրանք անհատույց օգտագործմամբ տրամադրվում են այլ կազմակերպություններին: Եթե ընկերության կողմից վարձակալությամբ վերցված հիմնական միջոցների և (կամ) ոչ նյութական ակտիվների գծով վճարվող վարձակալական վճարները գերազանցում են այդ հիմնական միջոցները և (կամ) ոչ նյութական ակտիվներն այլ կազմակերպությունների ենթավարձակալության տրամադրելու դիմաց ստացվող վարձակալական վճարները, ապա գերազանցող մասը շահութաբաժնի հաշվարկման բազան որոշելիս համախառն եկամտից չի նվազեցվում</w:t>
            </w:r>
          </w:p>
        </w:tc>
        <w:tc>
          <w:tcPr>
            <w:tcW w:w="851" w:type="dxa"/>
            <w:gridSpan w:val="2"/>
            <w:vAlign w:val="center"/>
          </w:tcPr>
          <w:p w:rsidR="00026F13" w:rsidRPr="00673952" w:rsidRDefault="00026F13" w:rsidP="00026F13">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033</w:t>
            </w:r>
          </w:p>
        </w:tc>
        <w:tc>
          <w:tcPr>
            <w:tcW w:w="2126" w:type="dxa"/>
          </w:tcPr>
          <w:p w:rsidR="00026F13" w:rsidRPr="00673952" w:rsidRDefault="00026F13" w:rsidP="00026F13">
            <w:pPr>
              <w:spacing w:after="0" w:line="240" w:lineRule="auto"/>
              <w:jc w:val="center"/>
              <w:rPr>
                <w:rFonts w:ascii="GHEA Grapalat" w:eastAsia="Times New Roman" w:hAnsi="GHEA Grapalat" w:cs="Sylfaen"/>
                <w:bCs/>
                <w:sz w:val="20"/>
                <w:szCs w:val="20"/>
              </w:rPr>
            </w:pPr>
          </w:p>
        </w:tc>
      </w:tr>
      <w:tr w:rsidR="00026F13" w:rsidTr="00850A94">
        <w:tc>
          <w:tcPr>
            <w:tcW w:w="993" w:type="dxa"/>
          </w:tcPr>
          <w:p w:rsidR="00026F13" w:rsidRPr="00673952" w:rsidRDefault="00026F13" w:rsidP="00026F13">
            <w:pPr>
              <w:spacing w:after="0" w:line="240" w:lineRule="auto"/>
              <w:jc w:val="center"/>
              <w:rPr>
                <w:rFonts w:ascii="GHEA Grapalat" w:eastAsia="Times New Roman" w:hAnsi="GHEA Grapalat" w:cs="Sylfaen"/>
                <w:bCs/>
                <w:sz w:val="20"/>
                <w:szCs w:val="20"/>
              </w:rPr>
            </w:pPr>
          </w:p>
        </w:tc>
        <w:tc>
          <w:tcPr>
            <w:tcW w:w="6804" w:type="dxa"/>
            <w:gridSpan w:val="12"/>
          </w:tcPr>
          <w:p w:rsidR="00026F13" w:rsidRPr="00673952" w:rsidRDefault="009C741C" w:rsidP="00461307">
            <w:pPr>
              <w:spacing w:after="0" w:line="240" w:lineRule="auto"/>
              <w:rPr>
                <w:rFonts w:ascii="GHEA Grapalat" w:eastAsia="Times New Roman" w:hAnsi="GHEA Grapalat" w:cs="Sylfaen"/>
                <w:bCs/>
                <w:sz w:val="20"/>
                <w:szCs w:val="20"/>
              </w:rPr>
            </w:pPr>
            <w:r w:rsidRPr="009C741C">
              <w:rPr>
                <w:rFonts w:ascii="GHEA Grapalat" w:eastAsia="Times New Roman" w:hAnsi="GHEA Grapalat" w:cs="Sylfaen"/>
                <w:bCs/>
                <w:sz w:val="20"/>
                <w:szCs w:val="20"/>
              </w:rPr>
              <w:t>- Վարձու աշխատողի համար Հայաստանի Հանրապետության օրենսդրությամբ սահմանված կարգով կամավոր կենսաթոշակային բաղադրիչի շրջանակներում կատարվող կենսաթոշակային վճարների չափով, բայց ոչ ավելի, քան տվյալ վարձու աշխատողի աշխատավարձի և դրան հավասարեցված վճարումների հանրագումարի 7.5 տոկոսը</w:t>
            </w:r>
          </w:p>
        </w:tc>
        <w:tc>
          <w:tcPr>
            <w:tcW w:w="851" w:type="dxa"/>
            <w:gridSpan w:val="2"/>
            <w:vAlign w:val="center"/>
          </w:tcPr>
          <w:p w:rsidR="00026F13" w:rsidRPr="00673952" w:rsidRDefault="009C741C" w:rsidP="00026F13">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034</w:t>
            </w:r>
          </w:p>
        </w:tc>
        <w:tc>
          <w:tcPr>
            <w:tcW w:w="2126" w:type="dxa"/>
          </w:tcPr>
          <w:p w:rsidR="00026F13" w:rsidRPr="00673952" w:rsidRDefault="00026F13" w:rsidP="00026F13">
            <w:pPr>
              <w:spacing w:after="0" w:line="240" w:lineRule="auto"/>
              <w:jc w:val="center"/>
              <w:rPr>
                <w:rFonts w:ascii="GHEA Grapalat" w:eastAsia="Times New Roman" w:hAnsi="GHEA Grapalat" w:cs="Sylfaen"/>
                <w:bCs/>
                <w:sz w:val="20"/>
                <w:szCs w:val="20"/>
              </w:rPr>
            </w:pPr>
          </w:p>
        </w:tc>
      </w:tr>
      <w:tr w:rsidR="00026F13" w:rsidTr="00850A94">
        <w:tc>
          <w:tcPr>
            <w:tcW w:w="993" w:type="dxa"/>
          </w:tcPr>
          <w:p w:rsidR="00026F13" w:rsidRPr="00673952" w:rsidRDefault="009C741C" w:rsidP="00026F13">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lastRenderedPageBreak/>
              <w:t>3.</w:t>
            </w:r>
          </w:p>
        </w:tc>
        <w:tc>
          <w:tcPr>
            <w:tcW w:w="6804" w:type="dxa"/>
            <w:gridSpan w:val="12"/>
          </w:tcPr>
          <w:p w:rsidR="00026F13" w:rsidRPr="00673952" w:rsidRDefault="00B05F6F" w:rsidP="00461307">
            <w:pPr>
              <w:spacing w:after="0" w:line="240" w:lineRule="auto"/>
              <w:rPr>
                <w:rFonts w:ascii="GHEA Grapalat" w:eastAsia="Times New Roman" w:hAnsi="GHEA Grapalat" w:cs="Sylfaen"/>
                <w:bCs/>
                <w:sz w:val="20"/>
                <w:szCs w:val="20"/>
              </w:rPr>
            </w:pPr>
            <w:r w:rsidRPr="00B05F6F">
              <w:rPr>
                <w:rFonts w:ascii="GHEA Grapalat" w:eastAsia="Times New Roman" w:hAnsi="GHEA Grapalat" w:cs="Sylfaen"/>
                <w:bCs/>
                <w:sz w:val="20"/>
                <w:szCs w:val="20"/>
              </w:rPr>
              <w:t>50 տոկոսից ավելի պետության սեփականություն հանդիսացող բաժնեմաս ունեցող ընկերությունների շահութաբաժինների հաշվարկման բազան որոշելիս զուտ շահույթը (վնասը)` շահութահարկի գծով ծախսերի նվազեցումից հետո ենթակա է ավելացման ՀՀ կառավարության 2006 թ. հունիսի 22-ի թիվ 1238-Ն որոշման 6-րդ կետով սահմանված այն ծախսերի չափով, որոնք պետք է իրականացվեն շահութաբաժնի հաշվարկումից հետո ընկերության տրամադրության տակ մնացող զուտ շահույթի հաշվին</w:t>
            </w:r>
            <w:r w:rsidRPr="00B05F6F">
              <w:rPr>
                <w:rFonts w:ascii="GHEA Grapalat" w:eastAsia="Times New Roman" w:hAnsi="GHEA Grapalat" w:cs="Sylfaen"/>
                <w:bCs/>
                <w:sz w:val="20"/>
                <w:szCs w:val="20"/>
              </w:rPr>
              <w:br/>
            </w:r>
            <w:r w:rsidRPr="00B05F6F">
              <w:rPr>
                <w:rFonts w:ascii="GHEA Grapalat" w:eastAsia="Times New Roman" w:hAnsi="GHEA Grapalat" w:cs="Sylfaen"/>
                <w:b/>
                <w:bCs/>
                <w:sz w:val="20"/>
                <w:szCs w:val="20"/>
              </w:rPr>
              <w:t>(041-ից 047 տողերի հանրագումարը)</w:t>
            </w:r>
          </w:p>
        </w:tc>
        <w:tc>
          <w:tcPr>
            <w:tcW w:w="851" w:type="dxa"/>
            <w:gridSpan w:val="2"/>
            <w:vAlign w:val="center"/>
          </w:tcPr>
          <w:p w:rsidR="00026F13" w:rsidRPr="00673952" w:rsidRDefault="00B05F6F" w:rsidP="00026F13">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040</w:t>
            </w:r>
          </w:p>
        </w:tc>
        <w:tc>
          <w:tcPr>
            <w:tcW w:w="2126" w:type="dxa"/>
          </w:tcPr>
          <w:p w:rsidR="00026F13" w:rsidRPr="00673952" w:rsidRDefault="00026F13" w:rsidP="00026F13">
            <w:pPr>
              <w:spacing w:after="0" w:line="240" w:lineRule="auto"/>
              <w:jc w:val="center"/>
              <w:rPr>
                <w:rFonts w:ascii="GHEA Grapalat" w:eastAsia="Times New Roman" w:hAnsi="GHEA Grapalat" w:cs="Sylfaen"/>
                <w:bCs/>
                <w:sz w:val="20"/>
                <w:szCs w:val="20"/>
              </w:rPr>
            </w:pPr>
          </w:p>
        </w:tc>
      </w:tr>
      <w:tr w:rsidR="00026F13" w:rsidTr="00850A94">
        <w:tc>
          <w:tcPr>
            <w:tcW w:w="993" w:type="dxa"/>
          </w:tcPr>
          <w:p w:rsidR="00026F13" w:rsidRPr="00673952" w:rsidRDefault="00026F13" w:rsidP="00026F13">
            <w:pPr>
              <w:spacing w:after="0" w:line="240" w:lineRule="auto"/>
              <w:jc w:val="center"/>
              <w:rPr>
                <w:rFonts w:ascii="GHEA Grapalat" w:eastAsia="Times New Roman" w:hAnsi="GHEA Grapalat" w:cs="Sylfaen"/>
                <w:bCs/>
                <w:sz w:val="20"/>
                <w:szCs w:val="20"/>
              </w:rPr>
            </w:pPr>
          </w:p>
        </w:tc>
        <w:tc>
          <w:tcPr>
            <w:tcW w:w="6804" w:type="dxa"/>
            <w:gridSpan w:val="12"/>
          </w:tcPr>
          <w:p w:rsidR="00B05F6F" w:rsidRPr="00B05F6F" w:rsidRDefault="00B05F6F" w:rsidP="00461307">
            <w:pPr>
              <w:spacing w:after="0" w:line="240" w:lineRule="auto"/>
              <w:rPr>
                <w:rFonts w:ascii="GHEA Grapalat" w:eastAsia="Times New Roman" w:hAnsi="GHEA Grapalat" w:cs="Sylfaen"/>
                <w:bCs/>
                <w:sz w:val="20"/>
                <w:szCs w:val="20"/>
              </w:rPr>
            </w:pPr>
            <w:r w:rsidRPr="00B05F6F">
              <w:rPr>
                <w:rFonts w:ascii="GHEA Grapalat" w:eastAsia="Times New Roman" w:hAnsi="GHEA Grapalat" w:cs="Sylfaen"/>
                <w:bCs/>
                <w:sz w:val="20"/>
                <w:szCs w:val="20"/>
              </w:rPr>
              <w:t>- Լիազոր մարմնի կողմից կատարված ստուգումներով և վերստուգումներով արձանագրված` ընկերությունների ֆինանսական հաշվետվություններում ավելի ցույց տրված ծախսերի գումարների չափով:</w:t>
            </w:r>
          </w:p>
          <w:p w:rsidR="00026F13" w:rsidRPr="00673952" w:rsidRDefault="00B05F6F" w:rsidP="00461307">
            <w:pPr>
              <w:spacing w:after="0" w:line="240" w:lineRule="auto"/>
              <w:rPr>
                <w:rFonts w:ascii="GHEA Grapalat" w:eastAsia="Times New Roman" w:hAnsi="GHEA Grapalat" w:cs="Sylfaen"/>
                <w:bCs/>
                <w:sz w:val="20"/>
                <w:szCs w:val="20"/>
              </w:rPr>
            </w:pPr>
            <w:r w:rsidRPr="00B05F6F">
              <w:rPr>
                <w:rFonts w:ascii="GHEA Grapalat" w:eastAsia="Times New Roman" w:hAnsi="GHEA Grapalat" w:cs="Sylfaen"/>
                <w:bCs/>
                <w:sz w:val="20"/>
                <w:szCs w:val="20"/>
              </w:rPr>
              <w:t>* ավելացումները կատարվում են այն տարիների շահութաբաժնի հաշվարկներում</w:t>
            </w:r>
            <w:r w:rsidR="007406C7">
              <w:rPr>
                <w:rFonts w:ascii="GHEA Grapalat" w:eastAsia="Times New Roman" w:hAnsi="GHEA Grapalat" w:cs="Sylfaen"/>
                <w:bCs/>
                <w:sz w:val="20"/>
                <w:szCs w:val="20"/>
              </w:rPr>
              <w:t>,</w:t>
            </w:r>
            <w:r w:rsidRPr="00B05F6F">
              <w:rPr>
                <w:rFonts w:ascii="GHEA Grapalat" w:eastAsia="Times New Roman" w:hAnsi="GHEA Grapalat" w:cs="Sylfaen"/>
                <w:bCs/>
                <w:sz w:val="20"/>
                <w:szCs w:val="20"/>
              </w:rPr>
              <w:t xml:space="preserve"> որին վերաբերում են.</w:t>
            </w:r>
          </w:p>
        </w:tc>
        <w:tc>
          <w:tcPr>
            <w:tcW w:w="851" w:type="dxa"/>
            <w:gridSpan w:val="2"/>
            <w:vAlign w:val="center"/>
          </w:tcPr>
          <w:p w:rsidR="00026F13" w:rsidRPr="00673952" w:rsidRDefault="00B05F6F" w:rsidP="00026F13">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041</w:t>
            </w:r>
          </w:p>
        </w:tc>
        <w:tc>
          <w:tcPr>
            <w:tcW w:w="2126" w:type="dxa"/>
          </w:tcPr>
          <w:p w:rsidR="00026F13" w:rsidRPr="00673952" w:rsidRDefault="00026F13" w:rsidP="00026F13">
            <w:pPr>
              <w:spacing w:after="0" w:line="240" w:lineRule="auto"/>
              <w:jc w:val="center"/>
              <w:rPr>
                <w:rFonts w:ascii="GHEA Grapalat" w:eastAsia="Times New Roman" w:hAnsi="GHEA Grapalat" w:cs="Sylfaen"/>
                <w:bCs/>
                <w:sz w:val="20"/>
                <w:szCs w:val="20"/>
              </w:rPr>
            </w:pPr>
          </w:p>
        </w:tc>
      </w:tr>
      <w:tr w:rsidR="00026F13" w:rsidTr="00850A94">
        <w:tc>
          <w:tcPr>
            <w:tcW w:w="993" w:type="dxa"/>
          </w:tcPr>
          <w:p w:rsidR="00026F13" w:rsidRPr="00673952" w:rsidRDefault="00026F13" w:rsidP="00026F13">
            <w:pPr>
              <w:spacing w:after="0" w:line="240" w:lineRule="auto"/>
              <w:jc w:val="center"/>
              <w:rPr>
                <w:rFonts w:ascii="GHEA Grapalat" w:eastAsia="Times New Roman" w:hAnsi="GHEA Grapalat" w:cs="Sylfaen"/>
                <w:bCs/>
                <w:sz w:val="20"/>
                <w:szCs w:val="20"/>
              </w:rPr>
            </w:pPr>
          </w:p>
        </w:tc>
        <w:tc>
          <w:tcPr>
            <w:tcW w:w="6804" w:type="dxa"/>
            <w:gridSpan w:val="12"/>
          </w:tcPr>
          <w:p w:rsidR="00026F13" w:rsidRPr="00673952" w:rsidRDefault="00B05F6F" w:rsidP="00461307">
            <w:pPr>
              <w:spacing w:after="0" w:line="240" w:lineRule="auto"/>
              <w:rPr>
                <w:rFonts w:ascii="GHEA Grapalat" w:eastAsia="Times New Roman" w:hAnsi="GHEA Grapalat" w:cs="Sylfaen"/>
                <w:bCs/>
                <w:sz w:val="20"/>
                <w:szCs w:val="20"/>
              </w:rPr>
            </w:pPr>
            <w:r w:rsidRPr="00B05F6F">
              <w:rPr>
                <w:rFonts w:ascii="GHEA Grapalat" w:eastAsia="Times New Roman" w:hAnsi="GHEA Grapalat" w:cs="Sylfaen"/>
                <w:bCs/>
                <w:sz w:val="20"/>
                <w:szCs w:val="20"/>
              </w:rPr>
              <w:t>- Պետական կամ համայնքների բյուջեներ կամ կուտակային կենսաթոշակային համակարգին կատարվող վճարումների կամ հարկային մարմնի կողմից վերահսկվող այլ գումարների մասով օրենսգրքով կամ այլ օրենքներով սահմանված կարգով հաշվարկվող և վճարվող տույժերը, տուգանքները և այլ գույքային պատժամիջոցները</w:t>
            </w:r>
          </w:p>
        </w:tc>
        <w:tc>
          <w:tcPr>
            <w:tcW w:w="851" w:type="dxa"/>
            <w:gridSpan w:val="2"/>
            <w:vAlign w:val="center"/>
          </w:tcPr>
          <w:p w:rsidR="00026F13" w:rsidRPr="00673952" w:rsidRDefault="00B05F6F" w:rsidP="00026F13">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042</w:t>
            </w:r>
          </w:p>
        </w:tc>
        <w:tc>
          <w:tcPr>
            <w:tcW w:w="2126" w:type="dxa"/>
          </w:tcPr>
          <w:p w:rsidR="00026F13" w:rsidRPr="00673952" w:rsidRDefault="00026F13" w:rsidP="00026F13">
            <w:pPr>
              <w:spacing w:after="0" w:line="240" w:lineRule="auto"/>
              <w:jc w:val="center"/>
              <w:rPr>
                <w:rFonts w:ascii="GHEA Grapalat" w:eastAsia="Times New Roman" w:hAnsi="GHEA Grapalat" w:cs="Sylfaen"/>
                <w:bCs/>
                <w:sz w:val="20"/>
                <w:szCs w:val="20"/>
              </w:rPr>
            </w:pPr>
          </w:p>
        </w:tc>
      </w:tr>
      <w:tr w:rsidR="00B05F6F" w:rsidTr="00850A94">
        <w:tc>
          <w:tcPr>
            <w:tcW w:w="993" w:type="dxa"/>
          </w:tcPr>
          <w:p w:rsidR="00B05F6F" w:rsidRPr="00673952" w:rsidRDefault="00B05F6F" w:rsidP="00B05F6F">
            <w:pPr>
              <w:spacing w:after="0" w:line="240" w:lineRule="auto"/>
              <w:jc w:val="center"/>
              <w:rPr>
                <w:rFonts w:ascii="GHEA Grapalat" w:eastAsia="Times New Roman" w:hAnsi="GHEA Grapalat" w:cs="Sylfaen"/>
                <w:bCs/>
                <w:sz w:val="20"/>
                <w:szCs w:val="20"/>
              </w:rPr>
            </w:pPr>
          </w:p>
        </w:tc>
        <w:tc>
          <w:tcPr>
            <w:tcW w:w="6804" w:type="dxa"/>
            <w:gridSpan w:val="12"/>
          </w:tcPr>
          <w:p w:rsidR="00B05F6F" w:rsidRPr="00B05F6F" w:rsidRDefault="00B05F6F" w:rsidP="00FB27BF">
            <w:pPr>
              <w:spacing w:after="0" w:line="240" w:lineRule="auto"/>
              <w:rPr>
                <w:rFonts w:ascii="GHEA Grapalat" w:eastAsia="Times New Roman" w:hAnsi="GHEA Grapalat" w:cs="Sylfaen"/>
                <w:bCs/>
                <w:sz w:val="20"/>
                <w:szCs w:val="20"/>
              </w:rPr>
            </w:pPr>
            <w:r w:rsidRPr="00B05F6F">
              <w:rPr>
                <w:rFonts w:ascii="GHEA Grapalat" w:eastAsia="Times New Roman" w:hAnsi="GHEA Grapalat" w:cs="Sylfaen"/>
                <w:bCs/>
                <w:sz w:val="20"/>
                <w:szCs w:val="20"/>
              </w:rPr>
              <w:t>- Անհատույց տրամադրած ակտիվները, անհատույց կատարված աշխատանքները կամ անհատույց մատուցված ծառայությունները, ներած պարտավորությունները, բացառությամբ՝</w:t>
            </w:r>
          </w:p>
          <w:p w:rsidR="00B05F6F" w:rsidRPr="00B05F6F" w:rsidRDefault="00B05F6F" w:rsidP="00FB27BF">
            <w:pPr>
              <w:spacing w:after="0" w:line="240" w:lineRule="auto"/>
              <w:ind w:firstLine="317"/>
              <w:rPr>
                <w:rFonts w:ascii="GHEA Grapalat" w:eastAsia="Times New Roman" w:hAnsi="GHEA Grapalat" w:cs="Sylfaen"/>
                <w:bCs/>
                <w:sz w:val="20"/>
                <w:szCs w:val="20"/>
              </w:rPr>
            </w:pPr>
            <w:r w:rsidRPr="00B05F6F">
              <w:rPr>
                <w:rFonts w:ascii="GHEA Grapalat" w:eastAsia="Times New Roman" w:hAnsi="GHEA Grapalat" w:cs="Sylfaen"/>
                <w:bCs/>
                <w:sz w:val="20"/>
                <w:szCs w:val="20"/>
              </w:rPr>
              <w:t>ֆիզիկական անձանց օգնության, սննդի կազմակերպման, նրանց համար սոցիալ-մշակութային միջոցառումների կազմակերպման և համանման այլ ծախսերի, բայց ոչ ավելի, քան ֆինանսական տարվա համախառն եկամտի 0.25 տոկոսը, իսկ ֆինանսական տարվա ընթացքում համախառն եկամտի բացակայության դեպքում՝ այդ հարկային տարվա ընթացքում հաշվեգրված աշխատավարձի և դրան հավասարեցված վճարումների հանրագումարի մեկ տոկոսը.</w:t>
            </w:r>
          </w:p>
          <w:p w:rsidR="00B05F6F" w:rsidRPr="00B05F6F" w:rsidRDefault="00B05F6F" w:rsidP="00FB27BF">
            <w:pPr>
              <w:spacing w:after="0" w:line="240" w:lineRule="auto"/>
              <w:ind w:firstLine="317"/>
              <w:rPr>
                <w:rFonts w:ascii="GHEA Grapalat" w:eastAsia="Times New Roman" w:hAnsi="GHEA Grapalat" w:cs="Sylfaen"/>
                <w:bCs/>
                <w:sz w:val="20"/>
                <w:szCs w:val="20"/>
              </w:rPr>
            </w:pPr>
            <w:r w:rsidRPr="00B05F6F">
              <w:rPr>
                <w:rFonts w:ascii="GHEA Grapalat" w:eastAsia="Times New Roman" w:hAnsi="GHEA Grapalat" w:cs="Sylfaen"/>
                <w:bCs/>
                <w:sz w:val="20"/>
                <w:szCs w:val="20"/>
              </w:rPr>
              <w:t>գրադարաններին, թանգարաններին, հանրակրթական դպրոցներին, տուն-գիշերօթիկներին, ծերանոցներին, մանկատներին, առողջապահական կազմակերպություններին, ինչպես նաև ոչ առևտրային կազմակերպություններին տրամադրված ակտիվների, դրանց համար կատարված աշխատանքների և (կամ) դրանց մատուցված ծառայությունների արժեքը, բայց ոչ ավելի, քան ֆինանսական տարվա համախառն եկամտի 0.25 տոկոսը.</w:t>
            </w:r>
          </w:p>
          <w:p w:rsidR="00B05F6F" w:rsidRPr="00B05F6F" w:rsidRDefault="00B05F6F" w:rsidP="00FB27BF">
            <w:pPr>
              <w:spacing w:after="0" w:line="240" w:lineRule="auto"/>
              <w:ind w:firstLine="317"/>
              <w:rPr>
                <w:rFonts w:ascii="GHEA Grapalat" w:eastAsia="Times New Roman" w:hAnsi="GHEA Grapalat" w:cs="Sylfaen"/>
                <w:bCs/>
                <w:sz w:val="20"/>
                <w:szCs w:val="20"/>
              </w:rPr>
            </w:pPr>
            <w:r w:rsidRPr="00B05F6F">
              <w:rPr>
                <w:rFonts w:ascii="GHEA Grapalat" w:eastAsia="Times New Roman" w:hAnsi="GHEA Grapalat" w:cs="Sylfaen"/>
                <w:bCs/>
                <w:sz w:val="20"/>
                <w:szCs w:val="20"/>
              </w:rPr>
              <w:t>Հայաստանի Հանրապետության առողջապահության նախարարության և առողջապահական կազմակերպությունների միջև կնքված պայմանագրերով հաստատված պայմանագրային գումարների փաստացի ծավալներից ավելի կատարված (նույն թվում 10 տոկոս ռիսկի գոտու շրջանակներում), սակայն կողմերի միջև կնքված պայմանագրերի հիմքով պատվիրատուի կողմից չֆինանսավորվող աշխատանքների արժեքն ամբողջությամբ.</w:t>
            </w:r>
          </w:p>
          <w:p w:rsidR="00B05F6F" w:rsidRPr="00B05F6F" w:rsidRDefault="00B05F6F" w:rsidP="000E4751">
            <w:pPr>
              <w:spacing w:after="0" w:line="240" w:lineRule="auto"/>
              <w:ind w:firstLine="33"/>
              <w:rPr>
                <w:rFonts w:ascii="GHEA Grapalat" w:eastAsia="Times New Roman" w:hAnsi="GHEA Grapalat" w:cs="Sylfaen"/>
                <w:bCs/>
                <w:sz w:val="20"/>
                <w:szCs w:val="20"/>
              </w:rPr>
            </w:pPr>
            <w:r w:rsidRPr="00B05F6F">
              <w:rPr>
                <w:rFonts w:ascii="GHEA Grapalat" w:eastAsia="Times New Roman" w:hAnsi="GHEA Grapalat" w:cs="Sylfaen"/>
                <w:bCs/>
                <w:sz w:val="20"/>
                <w:szCs w:val="20"/>
              </w:rPr>
              <w:t>* ՀՀ օրենսդրությամբ սահմանված կարգով` ՀՀ կառավարության որոշումների հիման վրա այլ կազմակերպություններին տրամադրված ակտիվների և ներված պարտավորությունների արժեքը, որոնք ծախս են ճանաչվում ամբողջությամբ</w:t>
            </w:r>
            <w:r w:rsidR="00BB6907">
              <w:rPr>
                <w:rFonts w:ascii="GHEA Grapalat" w:eastAsia="Times New Roman" w:hAnsi="GHEA Grapalat" w:cs="Sylfaen"/>
                <w:bCs/>
                <w:sz w:val="20"/>
                <w:szCs w:val="20"/>
              </w:rPr>
              <w:t>,</w:t>
            </w:r>
            <w:r w:rsidRPr="00B05F6F">
              <w:rPr>
                <w:rFonts w:ascii="GHEA Grapalat" w:eastAsia="Times New Roman" w:hAnsi="GHEA Grapalat" w:cs="Sylfaen"/>
                <w:bCs/>
                <w:sz w:val="20"/>
                <w:szCs w:val="20"/>
              </w:rPr>
              <w:t xml:space="preserve"> հաշվարկի 043 տողում չեն ներառվում.</w:t>
            </w:r>
          </w:p>
        </w:tc>
        <w:tc>
          <w:tcPr>
            <w:tcW w:w="851" w:type="dxa"/>
            <w:gridSpan w:val="2"/>
            <w:vAlign w:val="center"/>
          </w:tcPr>
          <w:p w:rsidR="00B05F6F" w:rsidRPr="00673952" w:rsidRDefault="00B05F6F" w:rsidP="00B05F6F">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043</w:t>
            </w:r>
          </w:p>
        </w:tc>
        <w:tc>
          <w:tcPr>
            <w:tcW w:w="2126" w:type="dxa"/>
          </w:tcPr>
          <w:p w:rsidR="00B05F6F" w:rsidRPr="00673952" w:rsidRDefault="00B05F6F" w:rsidP="00B05F6F">
            <w:pPr>
              <w:spacing w:after="0" w:line="240" w:lineRule="auto"/>
              <w:jc w:val="center"/>
              <w:rPr>
                <w:rFonts w:ascii="GHEA Grapalat" w:eastAsia="Times New Roman" w:hAnsi="GHEA Grapalat" w:cs="Sylfaen"/>
                <w:bCs/>
                <w:sz w:val="20"/>
                <w:szCs w:val="20"/>
              </w:rPr>
            </w:pPr>
          </w:p>
        </w:tc>
      </w:tr>
      <w:tr w:rsidR="00B05F6F" w:rsidTr="00850A94">
        <w:tc>
          <w:tcPr>
            <w:tcW w:w="993" w:type="dxa"/>
          </w:tcPr>
          <w:p w:rsidR="00B05F6F" w:rsidRPr="00673952" w:rsidRDefault="00B05F6F" w:rsidP="00B05F6F">
            <w:pPr>
              <w:spacing w:after="0" w:line="240" w:lineRule="auto"/>
              <w:jc w:val="center"/>
              <w:rPr>
                <w:rFonts w:ascii="GHEA Grapalat" w:eastAsia="Times New Roman" w:hAnsi="GHEA Grapalat" w:cs="Sylfaen"/>
                <w:bCs/>
                <w:sz w:val="20"/>
                <w:szCs w:val="20"/>
              </w:rPr>
            </w:pPr>
          </w:p>
        </w:tc>
        <w:tc>
          <w:tcPr>
            <w:tcW w:w="6804" w:type="dxa"/>
            <w:gridSpan w:val="12"/>
          </w:tcPr>
          <w:p w:rsidR="00B05F6F" w:rsidRPr="00673952" w:rsidRDefault="0037228F" w:rsidP="00461307">
            <w:pPr>
              <w:spacing w:after="0" w:line="240" w:lineRule="auto"/>
              <w:rPr>
                <w:rFonts w:ascii="GHEA Grapalat" w:eastAsia="Times New Roman" w:hAnsi="GHEA Grapalat" w:cs="Sylfaen"/>
                <w:bCs/>
                <w:sz w:val="20"/>
                <w:szCs w:val="20"/>
              </w:rPr>
            </w:pPr>
            <w:r w:rsidRPr="0037228F">
              <w:rPr>
                <w:rFonts w:ascii="GHEA Grapalat" w:eastAsia="Times New Roman" w:hAnsi="GHEA Grapalat" w:cs="Sylfaen"/>
                <w:bCs/>
                <w:sz w:val="20"/>
                <w:szCs w:val="20"/>
              </w:rPr>
              <w:t>- Բաժնետիրոջ լիազորություններ իրականացնող պետական կառավարման մարմիններին և այլ մարմիններին տրամադրված հատկացումների չափով.</w:t>
            </w:r>
          </w:p>
        </w:tc>
        <w:tc>
          <w:tcPr>
            <w:tcW w:w="851" w:type="dxa"/>
            <w:gridSpan w:val="2"/>
            <w:vAlign w:val="center"/>
          </w:tcPr>
          <w:p w:rsidR="00B05F6F" w:rsidRPr="00673952" w:rsidRDefault="0037228F" w:rsidP="00B05F6F">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044</w:t>
            </w:r>
          </w:p>
        </w:tc>
        <w:tc>
          <w:tcPr>
            <w:tcW w:w="2126" w:type="dxa"/>
          </w:tcPr>
          <w:p w:rsidR="00B05F6F" w:rsidRPr="00673952" w:rsidRDefault="00B05F6F" w:rsidP="00B05F6F">
            <w:pPr>
              <w:spacing w:after="0" w:line="240" w:lineRule="auto"/>
              <w:jc w:val="center"/>
              <w:rPr>
                <w:rFonts w:ascii="GHEA Grapalat" w:eastAsia="Times New Roman" w:hAnsi="GHEA Grapalat" w:cs="Sylfaen"/>
                <w:bCs/>
                <w:sz w:val="20"/>
                <w:szCs w:val="20"/>
              </w:rPr>
            </w:pPr>
          </w:p>
        </w:tc>
      </w:tr>
      <w:tr w:rsidR="0037228F" w:rsidTr="00850A94">
        <w:tc>
          <w:tcPr>
            <w:tcW w:w="993" w:type="dxa"/>
          </w:tcPr>
          <w:p w:rsidR="0037228F" w:rsidRPr="00673952" w:rsidRDefault="0037228F" w:rsidP="00B05F6F">
            <w:pPr>
              <w:spacing w:after="0" w:line="240" w:lineRule="auto"/>
              <w:jc w:val="center"/>
              <w:rPr>
                <w:rFonts w:ascii="GHEA Grapalat" w:eastAsia="Times New Roman" w:hAnsi="GHEA Grapalat" w:cs="Sylfaen"/>
                <w:bCs/>
                <w:sz w:val="20"/>
                <w:szCs w:val="20"/>
              </w:rPr>
            </w:pPr>
          </w:p>
        </w:tc>
        <w:tc>
          <w:tcPr>
            <w:tcW w:w="6804" w:type="dxa"/>
            <w:gridSpan w:val="12"/>
          </w:tcPr>
          <w:p w:rsidR="0037228F" w:rsidRPr="00673952" w:rsidRDefault="00372314" w:rsidP="00461307">
            <w:pPr>
              <w:spacing w:after="0" w:line="240" w:lineRule="auto"/>
              <w:rPr>
                <w:rFonts w:ascii="GHEA Grapalat" w:eastAsia="Times New Roman" w:hAnsi="GHEA Grapalat" w:cs="Sylfaen"/>
                <w:bCs/>
                <w:sz w:val="20"/>
                <w:szCs w:val="20"/>
              </w:rPr>
            </w:pPr>
            <w:r w:rsidRPr="00372314">
              <w:rPr>
                <w:rFonts w:ascii="GHEA Grapalat" w:eastAsia="Times New Roman" w:hAnsi="GHEA Grapalat" w:cs="Sylfaen"/>
                <w:bCs/>
                <w:sz w:val="20"/>
                <w:szCs w:val="20"/>
              </w:rPr>
              <w:t>-Սպասարկող տնտեսությունների պահպանման ծախսերի չափով (շինությունների անվճար տրամադրում, հանրային սննդի ձեռնարկություններին կոմունալ ծառայությունների արժեքի վճարում և այլն).</w:t>
            </w:r>
          </w:p>
        </w:tc>
        <w:tc>
          <w:tcPr>
            <w:tcW w:w="851" w:type="dxa"/>
            <w:gridSpan w:val="2"/>
            <w:vAlign w:val="center"/>
          </w:tcPr>
          <w:p w:rsidR="0037228F" w:rsidRPr="00673952" w:rsidRDefault="00372314" w:rsidP="00B05F6F">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045</w:t>
            </w:r>
          </w:p>
        </w:tc>
        <w:tc>
          <w:tcPr>
            <w:tcW w:w="2126" w:type="dxa"/>
          </w:tcPr>
          <w:p w:rsidR="0037228F" w:rsidRPr="00673952" w:rsidRDefault="0037228F" w:rsidP="00B05F6F">
            <w:pPr>
              <w:spacing w:after="0" w:line="240" w:lineRule="auto"/>
              <w:jc w:val="center"/>
              <w:rPr>
                <w:rFonts w:ascii="GHEA Grapalat" w:eastAsia="Times New Roman" w:hAnsi="GHEA Grapalat" w:cs="Sylfaen"/>
                <w:bCs/>
                <w:sz w:val="20"/>
                <w:szCs w:val="20"/>
              </w:rPr>
            </w:pPr>
          </w:p>
        </w:tc>
      </w:tr>
      <w:tr w:rsidR="0037228F" w:rsidTr="00850A94">
        <w:tc>
          <w:tcPr>
            <w:tcW w:w="993" w:type="dxa"/>
          </w:tcPr>
          <w:p w:rsidR="0037228F" w:rsidRPr="00673952" w:rsidRDefault="0037228F" w:rsidP="00B05F6F">
            <w:pPr>
              <w:spacing w:after="0" w:line="240" w:lineRule="auto"/>
              <w:jc w:val="center"/>
              <w:rPr>
                <w:rFonts w:ascii="GHEA Grapalat" w:eastAsia="Times New Roman" w:hAnsi="GHEA Grapalat" w:cs="Sylfaen"/>
                <w:bCs/>
                <w:sz w:val="20"/>
                <w:szCs w:val="20"/>
              </w:rPr>
            </w:pPr>
          </w:p>
        </w:tc>
        <w:tc>
          <w:tcPr>
            <w:tcW w:w="6804" w:type="dxa"/>
            <w:gridSpan w:val="12"/>
          </w:tcPr>
          <w:p w:rsidR="0037228F" w:rsidRPr="00673952" w:rsidRDefault="00372314" w:rsidP="00461307">
            <w:pPr>
              <w:spacing w:after="0" w:line="240" w:lineRule="auto"/>
              <w:rPr>
                <w:rFonts w:ascii="GHEA Grapalat" w:eastAsia="Times New Roman" w:hAnsi="GHEA Grapalat" w:cs="Sylfaen"/>
                <w:bCs/>
                <w:sz w:val="20"/>
                <w:szCs w:val="20"/>
              </w:rPr>
            </w:pPr>
            <w:r w:rsidRPr="00372314">
              <w:rPr>
                <w:rFonts w:ascii="GHEA Grapalat" w:eastAsia="Times New Roman" w:hAnsi="GHEA Grapalat" w:cs="Sylfaen"/>
                <w:bCs/>
                <w:sz w:val="20"/>
                <w:szCs w:val="20"/>
              </w:rPr>
              <w:t>- Արտադրանքի արտադրությանը չառնչվող ծառայությունների մատուցման կամ դրանց դիմաց</w:t>
            </w:r>
            <w:r w:rsidRPr="00372314">
              <w:rPr>
                <w:rFonts w:ascii="Calibri" w:eastAsia="Times New Roman" w:hAnsi="Calibri" w:cs="Calibri"/>
                <w:bCs/>
                <w:sz w:val="20"/>
                <w:szCs w:val="20"/>
              </w:rPr>
              <w:t> </w:t>
            </w:r>
            <w:r w:rsidRPr="00372314">
              <w:rPr>
                <w:rFonts w:ascii="GHEA Grapalat" w:eastAsia="Times New Roman" w:hAnsi="GHEA Grapalat" w:cs="Sylfaen"/>
                <w:bCs/>
                <w:sz w:val="20"/>
                <w:szCs w:val="20"/>
              </w:rPr>
              <w:t xml:space="preserve"> ընկերության կողմից կատարվող ծախսերի չափով (քաղաքների կամ այլ բնակավայրերի բարեկարգման աշխատանքներին, գյուղատնտեսական աշխատանքներին օժանդակության և այլն).</w:t>
            </w:r>
          </w:p>
        </w:tc>
        <w:tc>
          <w:tcPr>
            <w:tcW w:w="851" w:type="dxa"/>
            <w:gridSpan w:val="2"/>
            <w:vAlign w:val="center"/>
          </w:tcPr>
          <w:p w:rsidR="0037228F" w:rsidRPr="00673952" w:rsidRDefault="00372314" w:rsidP="00B05F6F">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046</w:t>
            </w:r>
          </w:p>
        </w:tc>
        <w:tc>
          <w:tcPr>
            <w:tcW w:w="2126" w:type="dxa"/>
          </w:tcPr>
          <w:p w:rsidR="0037228F" w:rsidRPr="00673952" w:rsidRDefault="0037228F" w:rsidP="00B05F6F">
            <w:pPr>
              <w:spacing w:after="0" w:line="240" w:lineRule="auto"/>
              <w:jc w:val="center"/>
              <w:rPr>
                <w:rFonts w:ascii="GHEA Grapalat" w:eastAsia="Times New Roman" w:hAnsi="GHEA Grapalat" w:cs="Sylfaen"/>
                <w:bCs/>
                <w:sz w:val="20"/>
                <w:szCs w:val="20"/>
              </w:rPr>
            </w:pPr>
          </w:p>
        </w:tc>
      </w:tr>
      <w:tr w:rsidR="00CF5CD2" w:rsidTr="00850A94">
        <w:tc>
          <w:tcPr>
            <w:tcW w:w="993" w:type="dxa"/>
          </w:tcPr>
          <w:p w:rsidR="00CF5CD2" w:rsidRPr="00673952" w:rsidRDefault="00CF5CD2" w:rsidP="00CF5CD2">
            <w:pPr>
              <w:spacing w:after="0" w:line="240" w:lineRule="auto"/>
              <w:jc w:val="center"/>
              <w:rPr>
                <w:rFonts w:ascii="GHEA Grapalat" w:eastAsia="Times New Roman" w:hAnsi="GHEA Grapalat" w:cs="Sylfaen"/>
                <w:bCs/>
                <w:sz w:val="20"/>
                <w:szCs w:val="20"/>
              </w:rPr>
            </w:pPr>
          </w:p>
        </w:tc>
        <w:tc>
          <w:tcPr>
            <w:tcW w:w="6804" w:type="dxa"/>
            <w:gridSpan w:val="12"/>
          </w:tcPr>
          <w:p w:rsidR="00CF5CD2" w:rsidRPr="00CF5CD2" w:rsidRDefault="00CF5CD2" w:rsidP="00461307">
            <w:pPr>
              <w:tabs>
                <w:tab w:val="left" w:pos="3431"/>
              </w:tabs>
              <w:spacing w:after="0" w:line="240" w:lineRule="auto"/>
              <w:rPr>
                <w:rFonts w:ascii="GHEA Grapalat" w:eastAsia="Times New Roman" w:hAnsi="GHEA Grapalat" w:cs="Sylfaen"/>
                <w:bCs/>
                <w:sz w:val="20"/>
                <w:szCs w:val="20"/>
              </w:rPr>
            </w:pPr>
            <w:r w:rsidRPr="00CF5CD2">
              <w:rPr>
                <w:rFonts w:ascii="GHEA Grapalat" w:eastAsia="Times New Roman" w:hAnsi="GHEA Grapalat" w:cs="Sylfaen"/>
                <w:bCs/>
                <w:sz w:val="20"/>
                <w:szCs w:val="20"/>
              </w:rPr>
              <w:t>- Շահութաբաժին վճարողի հետ աշխատանքային կամ քաղաքացիաիրավական հարաբերությունների մեջ գտնվող ֆիզիկական անձի՝ գործուղման հետ չկապված կեցության ծախսերը (մասնավորապես, այդ ֆիզիկական անձի համար վարձակալված բնակարանի կամ առանձնատան վարձակալական վճարները, վարձակալության պայմանագրով նախատեսված` էլեկտրաէներգիայի, գազի, ջրի, հեռախոսի վճարները և այլ կոմունալ ծախսերը)՝ անկախ շահութահարկ վճարողի և այդ ֆիզիկական անձի միջև կնքված աշխատանքային կամ քաղաքացիաիրավական պայմանագրերում շահութահարկ վճարողի կողմից այդ ծախսերը կատարելու պարտավորություն ստանձնած լինելու հանգամանքից, բացառությամբ, երբ շահութաբաժին վճարողի և ֆիզիկական անձի միջև կնքված աշխատանքային կամ քաղաքացիաիրավական պայմանագրով նախատեսված է, որ ֆիզիկական անձի աշխատավարձը կամ վարձատրությունը ներառում է նաև վերոնշյալ ծախսերը</w:t>
            </w:r>
          </w:p>
        </w:tc>
        <w:tc>
          <w:tcPr>
            <w:tcW w:w="851" w:type="dxa"/>
            <w:gridSpan w:val="2"/>
            <w:vAlign w:val="center"/>
          </w:tcPr>
          <w:p w:rsidR="00CF5CD2" w:rsidRPr="00673952" w:rsidRDefault="00CF5CD2" w:rsidP="00CF5CD2">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047</w:t>
            </w:r>
          </w:p>
        </w:tc>
        <w:tc>
          <w:tcPr>
            <w:tcW w:w="2126" w:type="dxa"/>
          </w:tcPr>
          <w:p w:rsidR="00CF5CD2" w:rsidRPr="00673952" w:rsidRDefault="00CF5CD2" w:rsidP="00CF5CD2">
            <w:pPr>
              <w:spacing w:after="0" w:line="240" w:lineRule="auto"/>
              <w:jc w:val="center"/>
              <w:rPr>
                <w:rFonts w:ascii="GHEA Grapalat" w:eastAsia="Times New Roman" w:hAnsi="GHEA Grapalat" w:cs="Sylfaen"/>
                <w:bCs/>
                <w:sz w:val="20"/>
                <w:szCs w:val="20"/>
              </w:rPr>
            </w:pPr>
          </w:p>
        </w:tc>
      </w:tr>
      <w:tr w:rsidR="00CF5CD2" w:rsidTr="00850A94">
        <w:tc>
          <w:tcPr>
            <w:tcW w:w="993" w:type="dxa"/>
          </w:tcPr>
          <w:p w:rsidR="00CF5CD2" w:rsidRPr="00673952" w:rsidRDefault="00CF5CD2" w:rsidP="00CF5CD2">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4.</w:t>
            </w:r>
          </w:p>
        </w:tc>
        <w:tc>
          <w:tcPr>
            <w:tcW w:w="6804" w:type="dxa"/>
            <w:gridSpan w:val="12"/>
          </w:tcPr>
          <w:p w:rsidR="00205942" w:rsidRDefault="00CF5CD2" w:rsidP="00461307">
            <w:pPr>
              <w:spacing w:after="0" w:line="240" w:lineRule="auto"/>
              <w:rPr>
                <w:rFonts w:ascii="GHEA Grapalat" w:eastAsia="Times New Roman" w:hAnsi="GHEA Grapalat" w:cs="Sylfaen"/>
                <w:bCs/>
                <w:sz w:val="20"/>
                <w:szCs w:val="20"/>
              </w:rPr>
            </w:pPr>
            <w:r w:rsidRPr="00CF5CD2">
              <w:rPr>
                <w:rFonts w:ascii="GHEA Grapalat" w:eastAsia="Times New Roman" w:hAnsi="GHEA Grapalat" w:cs="Sylfaen"/>
                <w:bCs/>
                <w:sz w:val="20"/>
                <w:szCs w:val="20"/>
              </w:rPr>
              <w:t xml:space="preserve">50 տոկոսից ավելի պետության սեփականություն հանդիսացող բաժնեմաս ունեցող ընկերությունների շահութաբաժինների հաշվարկման բազան որոշելիս զուտ շահույթը (վնասը)` շահութահարկի գծով ծախսերի նվազեցումից հետո ենթակա է ճշգրտման լիազոր մարմնի կողմից կատարված ստուգումներով և վերստուգումներով արձանագրված` ընկերությունների ֆինանսական հաշվետվություններում ցույց չտրված կամ պակաս ցույց տրված հասույթի գումարների չափով </w:t>
            </w:r>
          </w:p>
          <w:p w:rsidR="00CF5CD2" w:rsidRPr="00673952" w:rsidRDefault="00CF5CD2" w:rsidP="00461307">
            <w:pPr>
              <w:spacing w:after="0" w:line="240" w:lineRule="auto"/>
              <w:rPr>
                <w:rFonts w:ascii="GHEA Grapalat" w:eastAsia="Times New Roman" w:hAnsi="GHEA Grapalat" w:cs="Sylfaen"/>
                <w:bCs/>
                <w:sz w:val="20"/>
                <w:szCs w:val="20"/>
              </w:rPr>
            </w:pPr>
            <w:r w:rsidRPr="00CF5CD2">
              <w:rPr>
                <w:rFonts w:ascii="GHEA Grapalat" w:eastAsia="Times New Roman" w:hAnsi="GHEA Grapalat" w:cs="Sylfaen"/>
                <w:bCs/>
                <w:sz w:val="20"/>
                <w:szCs w:val="20"/>
              </w:rPr>
              <w:t>* ավելացումները կատարվում են այն տարիների շահութաբաժնի հաշվարկներում</w:t>
            </w:r>
            <w:r w:rsidR="00BB6907">
              <w:rPr>
                <w:rFonts w:ascii="GHEA Grapalat" w:eastAsia="Times New Roman" w:hAnsi="GHEA Grapalat" w:cs="Sylfaen"/>
                <w:bCs/>
                <w:sz w:val="20"/>
                <w:szCs w:val="20"/>
              </w:rPr>
              <w:t>,</w:t>
            </w:r>
            <w:r w:rsidRPr="00CF5CD2">
              <w:rPr>
                <w:rFonts w:ascii="GHEA Grapalat" w:eastAsia="Times New Roman" w:hAnsi="GHEA Grapalat" w:cs="Sylfaen"/>
                <w:bCs/>
                <w:sz w:val="20"/>
                <w:szCs w:val="20"/>
              </w:rPr>
              <w:t xml:space="preserve"> որին վերաբերում են.</w:t>
            </w:r>
          </w:p>
        </w:tc>
        <w:tc>
          <w:tcPr>
            <w:tcW w:w="851" w:type="dxa"/>
            <w:gridSpan w:val="2"/>
            <w:vAlign w:val="center"/>
          </w:tcPr>
          <w:p w:rsidR="00CF5CD2" w:rsidRPr="00673952" w:rsidRDefault="00CF5CD2" w:rsidP="00CF5CD2">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050</w:t>
            </w:r>
          </w:p>
        </w:tc>
        <w:tc>
          <w:tcPr>
            <w:tcW w:w="2126" w:type="dxa"/>
          </w:tcPr>
          <w:p w:rsidR="00CF5CD2" w:rsidRPr="00673952" w:rsidRDefault="00CF5CD2" w:rsidP="00CF5CD2">
            <w:pPr>
              <w:spacing w:after="0" w:line="240" w:lineRule="auto"/>
              <w:jc w:val="center"/>
              <w:rPr>
                <w:rFonts w:ascii="GHEA Grapalat" w:eastAsia="Times New Roman" w:hAnsi="GHEA Grapalat" w:cs="Sylfaen"/>
                <w:bCs/>
                <w:sz w:val="20"/>
                <w:szCs w:val="20"/>
              </w:rPr>
            </w:pPr>
          </w:p>
        </w:tc>
      </w:tr>
      <w:tr w:rsidR="00CF5CD2" w:rsidTr="00850A94">
        <w:trPr>
          <w:trHeight w:val="366"/>
        </w:trPr>
        <w:tc>
          <w:tcPr>
            <w:tcW w:w="993" w:type="dxa"/>
          </w:tcPr>
          <w:p w:rsidR="00CF5CD2" w:rsidRPr="00673952" w:rsidRDefault="00CF5CD2" w:rsidP="00CF5CD2">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5.</w:t>
            </w:r>
          </w:p>
        </w:tc>
        <w:tc>
          <w:tcPr>
            <w:tcW w:w="6804" w:type="dxa"/>
            <w:gridSpan w:val="12"/>
          </w:tcPr>
          <w:p w:rsidR="00CF5CD2" w:rsidRPr="00673952" w:rsidRDefault="00CF5CD2" w:rsidP="00202F54">
            <w:pPr>
              <w:spacing w:after="0" w:line="240" w:lineRule="auto"/>
              <w:rPr>
                <w:rFonts w:ascii="GHEA Grapalat" w:eastAsia="Times New Roman" w:hAnsi="GHEA Grapalat" w:cs="Sylfaen"/>
                <w:bCs/>
                <w:sz w:val="20"/>
                <w:szCs w:val="20"/>
              </w:rPr>
            </w:pPr>
            <w:r w:rsidRPr="00CF5CD2">
              <w:rPr>
                <w:rFonts w:ascii="GHEA Grapalat" w:eastAsia="Times New Roman" w:hAnsi="GHEA Grapalat" w:cs="Sylfaen"/>
                <w:bCs/>
                <w:sz w:val="20"/>
                <w:szCs w:val="20"/>
              </w:rPr>
              <w:t>Ընդամենը զուտ շահույթին ավելացվող գումար</w:t>
            </w:r>
            <w:r w:rsidR="00202F54">
              <w:rPr>
                <w:rFonts w:ascii="GHEA Grapalat" w:eastAsia="Times New Roman" w:hAnsi="GHEA Grapalat" w:cs="Sylfaen"/>
                <w:bCs/>
                <w:sz w:val="20"/>
                <w:szCs w:val="20"/>
              </w:rPr>
              <w:t xml:space="preserve"> </w:t>
            </w:r>
            <w:r w:rsidRPr="00CF5CD2">
              <w:rPr>
                <w:rFonts w:ascii="GHEA Grapalat" w:eastAsia="Times New Roman" w:hAnsi="GHEA Grapalat" w:cs="Sylfaen"/>
                <w:b/>
                <w:bCs/>
                <w:sz w:val="20"/>
                <w:szCs w:val="20"/>
              </w:rPr>
              <w:t>(020 + 040 + 050)</w:t>
            </w:r>
          </w:p>
        </w:tc>
        <w:tc>
          <w:tcPr>
            <w:tcW w:w="851" w:type="dxa"/>
            <w:gridSpan w:val="2"/>
            <w:vAlign w:val="center"/>
          </w:tcPr>
          <w:p w:rsidR="00CF5CD2" w:rsidRPr="00673952" w:rsidRDefault="00CF5CD2" w:rsidP="00CF5CD2">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060</w:t>
            </w:r>
          </w:p>
        </w:tc>
        <w:tc>
          <w:tcPr>
            <w:tcW w:w="2126" w:type="dxa"/>
          </w:tcPr>
          <w:p w:rsidR="00CF5CD2" w:rsidRPr="00673952" w:rsidRDefault="00CF5CD2" w:rsidP="00CF5CD2">
            <w:pPr>
              <w:spacing w:after="0" w:line="240" w:lineRule="auto"/>
              <w:jc w:val="center"/>
              <w:rPr>
                <w:rFonts w:ascii="GHEA Grapalat" w:eastAsia="Times New Roman" w:hAnsi="GHEA Grapalat" w:cs="Sylfaen"/>
                <w:bCs/>
                <w:sz w:val="20"/>
                <w:szCs w:val="20"/>
              </w:rPr>
            </w:pPr>
          </w:p>
        </w:tc>
      </w:tr>
      <w:tr w:rsidR="00CF5CD2" w:rsidTr="00202F54">
        <w:tc>
          <w:tcPr>
            <w:tcW w:w="993" w:type="dxa"/>
          </w:tcPr>
          <w:p w:rsidR="00CF5CD2" w:rsidRPr="00673952" w:rsidRDefault="00CF5CD2" w:rsidP="00CF5CD2">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6.</w:t>
            </w:r>
          </w:p>
        </w:tc>
        <w:tc>
          <w:tcPr>
            <w:tcW w:w="6804" w:type="dxa"/>
            <w:gridSpan w:val="12"/>
          </w:tcPr>
          <w:p w:rsidR="00CF5CD2" w:rsidRPr="00673952" w:rsidRDefault="00A131C9" w:rsidP="00202F54">
            <w:pPr>
              <w:spacing w:after="0" w:line="240" w:lineRule="auto"/>
              <w:rPr>
                <w:rFonts w:ascii="GHEA Grapalat" w:eastAsia="Times New Roman" w:hAnsi="GHEA Grapalat" w:cs="Sylfaen"/>
                <w:bCs/>
                <w:sz w:val="20"/>
                <w:szCs w:val="20"/>
              </w:rPr>
            </w:pPr>
            <w:r w:rsidRPr="00202F54">
              <w:rPr>
                <w:rFonts w:ascii="GHEA Grapalat" w:eastAsia="Times New Roman" w:hAnsi="GHEA Grapalat" w:cs="Sylfaen"/>
                <w:bCs/>
                <w:sz w:val="20"/>
                <w:szCs w:val="20"/>
              </w:rPr>
              <w:t>Շահութաբաժնի հաշվարկման բազան՝ առանց հաշվետու տարվան նախորդող տարվա վերջի դրությամբ կուտակված վնաս</w:t>
            </w:r>
            <w:r w:rsidR="00202F54">
              <w:rPr>
                <w:rFonts w:ascii="GHEA Grapalat" w:eastAsia="Times New Roman" w:hAnsi="GHEA Grapalat" w:cs="Sylfaen"/>
                <w:bCs/>
                <w:sz w:val="20"/>
                <w:szCs w:val="20"/>
              </w:rPr>
              <w:t>ի</w:t>
            </w:r>
            <w:r w:rsidR="00202F54" w:rsidRPr="00202F54">
              <w:rPr>
                <w:rFonts w:ascii="GHEA Grapalat" w:eastAsia="Times New Roman" w:hAnsi="GHEA Grapalat" w:cs="Sylfaen"/>
                <w:bCs/>
                <w:sz w:val="20"/>
                <w:szCs w:val="20"/>
              </w:rPr>
              <w:t xml:space="preserve"> (զ</w:t>
            </w:r>
            <w:r w:rsidR="00CF5CD2" w:rsidRPr="00CF5CD2">
              <w:rPr>
                <w:rFonts w:ascii="GHEA Grapalat" w:eastAsia="Times New Roman" w:hAnsi="GHEA Grapalat" w:cs="Sylfaen"/>
                <w:bCs/>
                <w:sz w:val="20"/>
                <w:szCs w:val="20"/>
              </w:rPr>
              <w:t>ուտ շահույթը (վնասը)</w:t>
            </w:r>
            <w:r w:rsidR="00EB20BF">
              <w:rPr>
                <w:rFonts w:ascii="GHEA Grapalat" w:eastAsia="Times New Roman" w:hAnsi="GHEA Grapalat" w:cs="Sylfaen"/>
                <w:bCs/>
                <w:sz w:val="20"/>
                <w:szCs w:val="20"/>
              </w:rPr>
              <w:t>՝</w:t>
            </w:r>
            <w:r w:rsidR="00CF5CD2" w:rsidRPr="00CF5CD2">
              <w:rPr>
                <w:rFonts w:ascii="GHEA Grapalat" w:eastAsia="Times New Roman" w:hAnsi="GHEA Grapalat" w:cs="Sylfaen"/>
                <w:bCs/>
                <w:sz w:val="20"/>
                <w:szCs w:val="20"/>
              </w:rPr>
              <w:t xml:space="preserve"> հաշվի առած ավելացումները</w:t>
            </w:r>
            <w:r w:rsidR="00EB20BF">
              <w:rPr>
                <w:rFonts w:ascii="GHEA Grapalat" w:eastAsia="Times New Roman" w:hAnsi="GHEA Grapalat" w:cs="Sylfaen"/>
                <w:bCs/>
                <w:sz w:val="20"/>
                <w:szCs w:val="20"/>
              </w:rPr>
              <w:t>)</w:t>
            </w:r>
            <w:r w:rsidR="00202F54">
              <w:rPr>
                <w:rFonts w:ascii="GHEA Grapalat" w:eastAsia="Times New Roman" w:hAnsi="GHEA Grapalat" w:cs="Sylfaen"/>
                <w:bCs/>
                <w:sz w:val="20"/>
                <w:szCs w:val="20"/>
              </w:rPr>
              <w:t xml:space="preserve"> </w:t>
            </w:r>
            <w:r w:rsidR="00CF5CD2" w:rsidRPr="00733696">
              <w:rPr>
                <w:rFonts w:ascii="GHEA Grapalat" w:eastAsia="Times New Roman" w:hAnsi="GHEA Grapalat" w:cs="Sylfaen"/>
                <w:b/>
                <w:bCs/>
                <w:sz w:val="20"/>
                <w:szCs w:val="20"/>
              </w:rPr>
              <w:t>(010 + 060)</w:t>
            </w:r>
          </w:p>
        </w:tc>
        <w:tc>
          <w:tcPr>
            <w:tcW w:w="851" w:type="dxa"/>
            <w:gridSpan w:val="2"/>
            <w:vAlign w:val="center"/>
          </w:tcPr>
          <w:p w:rsidR="00CF5CD2" w:rsidRPr="00673952" w:rsidRDefault="00CF5CD2" w:rsidP="00CF5CD2">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070</w:t>
            </w:r>
          </w:p>
        </w:tc>
        <w:tc>
          <w:tcPr>
            <w:tcW w:w="2126" w:type="dxa"/>
          </w:tcPr>
          <w:p w:rsidR="00CF5CD2" w:rsidRPr="00673952" w:rsidRDefault="00CF5CD2" w:rsidP="00CF5CD2">
            <w:pPr>
              <w:spacing w:after="0" w:line="240" w:lineRule="auto"/>
              <w:jc w:val="center"/>
              <w:rPr>
                <w:rFonts w:ascii="GHEA Grapalat" w:eastAsia="Times New Roman" w:hAnsi="GHEA Grapalat" w:cs="Sylfaen"/>
                <w:bCs/>
                <w:sz w:val="20"/>
                <w:szCs w:val="20"/>
              </w:rPr>
            </w:pPr>
          </w:p>
        </w:tc>
      </w:tr>
      <w:tr w:rsidR="00CF5CD2" w:rsidTr="00850A94">
        <w:tc>
          <w:tcPr>
            <w:tcW w:w="993" w:type="dxa"/>
          </w:tcPr>
          <w:p w:rsidR="00CF5CD2" w:rsidRPr="00673952" w:rsidRDefault="00CF5CD2" w:rsidP="00CF5CD2">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7.</w:t>
            </w:r>
          </w:p>
        </w:tc>
        <w:tc>
          <w:tcPr>
            <w:tcW w:w="6804" w:type="dxa"/>
            <w:gridSpan w:val="12"/>
          </w:tcPr>
          <w:p w:rsidR="00CF5CD2" w:rsidRPr="00673952" w:rsidRDefault="00F2414C" w:rsidP="00461307">
            <w:pPr>
              <w:spacing w:after="0" w:line="240" w:lineRule="auto"/>
              <w:rPr>
                <w:rFonts w:ascii="GHEA Grapalat" w:eastAsia="Times New Roman" w:hAnsi="GHEA Grapalat" w:cs="Sylfaen"/>
                <w:bCs/>
                <w:sz w:val="20"/>
                <w:szCs w:val="20"/>
              </w:rPr>
            </w:pPr>
            <w:r w:rsidRPr="00F2414C">
              <w:rPr>
                <w:rFonts w:ascii="GHEA Grapalat" w:eastAsia="Times New Roman" w:hAnsi="GHEA Grapalat" w:cs="Sylfaen"/>
                <w:bCs/>
                <w:sz w:val="20"/>
                <w:szCs w:val="20"/>
              </w:rPr>
              <w:t>Շահութաբաժնի տոկոսադրույքը</w:t>
            </w:r>
          </w:p>
        </w:tc>
        <w:tc>
          <w:tcPr>
            <w:tcW w:w="851" w:type="dxa"/>
            <w:gridSpan w:val="2"/>
          </w:tcPr>
          <w:p w:rsidR="00CF5CD2" w:rsidRPr="00673952" w:rsidRDefault="00F2414C" w:rsidP="00CF5CD2">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080</w:t>
            </w:r>
          </w:p>
        </w:tc>
        <w:tc>
          <w:tcPr>
            <w:tcW w:w="2126" w:type="dxa"/>
          </w:tcPr>
          <w:p w:rsidR="00CF5CD2" w:rsidRPr="00673952" w:rsidRDefault="00CF5CD2" w:rsidP="00CF5CD2">
            <w:pPr>
              <w:spacing w:after="0" w:line="240" w:lineRule="auto"/>
              <w:jc w:val="center"/>
              <w:rPr>
                <w:rFonts w:ascii="GHEA Grapalat" w:eastAsia="Times New Roman" w:hAnsi="GHEA Grapalat" w:cs="Sylfaen"/>
                <w:bCs/>
                <w:sz w:val="20"/>
                <w:szCs w:val="20"/>
              </w:rPr>
            </w:pPr>
          </w:p>
        </w:tc>
      </w:tr>
      <w:tr w:rsidR="00CF5CD2" w:rsidTr="00733696">
        <w:tc>
          <w:tcPr>
            <w:tcW w:w="993" w:type="dxa"/>
          </w:tcPr>
          <w:p w:rsidR="00CF5CD2" w:rsidRPr="00673952" w:rsidRDefault="00CF5CD2" w:rsidP="00CF5CD2">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8.</w:t>
            </w:r>
          </w:p>
        </w:tc>
        <w:tc>
          <w:tcPr>
            <w:tcW w:w="6804" w:type="dxa"/>
            <w:gridSpan w:val="12"/>
          </w:tcPr>
          <w:p w:rsidR="00F2414C" w:rsidRPr="00F2414C" w:rsidRDefault="00F2414C" w:rsidP="00461307">
            <w:pPr>
              <w:spacing w:after="0" w:line="240" w:lineRule="auto"/>
              <w:rPr>
                <w:rFonts w:ascii="GHEA Grapalat" w:eastAsia="Times New Roman" w:hAnsi="GHEA Grapalat" w:cs="Sylfaen"/>
                <w:bCs/>
                <w:sz w:val="20"/>
                <w:szCs w:val="20"/>
              </w:rPr>
            </w:pPr>
            <w:r w:rsidRPr="00F2414C">
              <w:rPr>
                <w:rFonts w:ascii="GHEA Grapalat" w:eastAsia="Times New Roman" w:hAnsi="GHEA Grapalat" w:cs="Sylfaen"/>
                <w:bCs/>
                <w:sz w:val="20"/>
                <w:szCs w:val="20"/>
              </w:rPr>
              <w:t>ՀՀ պետական բյուջե վճարման ենթակա շահութաբաժնի գումարը</w:t>
            </w:r>
          </w:p>
          <w:p w:rsidR="00CF5CD2" w:rsidRPr="00733696" w:rsidRDefault="00F2414C" w:rsidP="00461307">
            <w:pPr>
              <w:spacing w:after="0" w:line="240" w:lineRule="auto"/>
              <w:rPr>
                <w:rFonts w:ascii="GHEA Grapalat" w:eastAsia="Times New Roman" w:hAnsi="GHEA Grapalat" w:cs="Sylfaen"/>
                <w:b/>
                <w:bCs/>
                <w:sz w:val="20"/>
                <w:szCs w:val="20"/>
              </w:rPr>
            </w:pPr>
            <w:r w:rsidRPr="00733696">
              <w:rPr>
                <w:rFonts w:ascii="GHEA Grapalat" w:eastAsia="Times New Roman" w:hAnsi="GHEA Grapalat" w:cs="Sylfaen"/>
                <w:b/>
                <w:bCs/>
                <w:sz w:val="20"/>
                <w:szCs w:val="20"/>
              </w:rPr>
              <w:t>(070 x 080)</w:t>
            </w:r>
          </w:p>
        </w:tc>
        <w:tc>
          <w:tcPr>
            <w:tcW w:w="851" w:type="dxa"/>
            <w:gridSpan w:val="2"/>
            <w:vAlign w:val="center"/>
          </w:tcPr>
          <w:p w:rsidR="00CF5CD2" w:rsidRPr="00673952" w:rsidRDefault="00F2414C" w:rsidP="00CF5CD2">
            <w:pPr>
              <w:spacing w:after="0" w:line="240" w:lineRule="auto"/>
              <w:jc w:val="center"/>
              <w:rPr>
                <w:rFonts w:ascii="GHEA Grapalat" w:eastAsia="Times New Roman" w:hAnsi="GHEA Grapalat" w:cs="Sylfaen"/>
                <w:bCs/>
                <w:sz w:val="20"/>
                <w:szCs w:val="20"/>
              </w:rPr>
            </w:pPr>
            <w:r>
              <w:rPr>
                <w:rFonts w:ascii="GHEA Grapalat" w:eastAsia="Times New Roman" w:hAnsi="GHEA Grapalat" w:cs="Sylfaen"/>
                <w:bCs/>
                <w:sz w:val="20"/>
                <w:szCs w:val="20"/>
              </w:rPr>
              <w:t>090</w:t>
            </w:r>
          </w:p>
        </w:tc>
        <w:tc>
          <w:tcPr>
            <w:tcW w:w="2126" w:type="dxa"/>
          </w:tcPr>
          <w:p w:rsidR="00CF5CD2" w:rsidRPr="00673952" w:rsidRDefault="00CF5CD2" w:rsidP="00CF5CD2">
            <w:pPr>
              <w:spacing w:after="0" w:line="240" w:lineRule="auto"/>
              <w:jc w:val="center"/>
              <w:rPr>
                <w:rFonts w:ascii="GHEA Grapalat" w:eastAsia="Times New Roman" w:hAnsi="GHEA Grapalat" w:cs="Sylfaen"/>
                <w:bCs/>
                <w:sz w:val="20"/>
                <w:szCs w:val="20"/>
              </w:rPr>
            </w:pPr>
          </w:p>
        </w:tc>
      </w:tr>
    </w:tbl>
    <w:p w:rsidR="0030665D" w:rsidRDefault="0030665D" w:rsidP="00F1621F">
      <w:pPr>
        <w:spacing w:after="0" w:line="168" w:lineRule="auto"/>
        <w:jc w:val="center"/>
        <w:rPr>
          <w:rFonts w:ascii="GHEA Grapalat" w:eastAsia="Times New Roman" w:hAnsi="GHEA Grapalat" w:cs="Sylfaen"/>
          <w:b/>
          <w:bCs/>
          <w:sz w:val="24"/>
          <w:szCs w:val="24"/>
        </w:rPr>
      </w:pPr>
    </w:p>
    <w:tbl>
      <w:tblPr>
        <w:tblW w:w="5000" w:type="pct"/>
        <w:tblCellSpacing w:w="0" w:type="dxa"/>
        <w:tblCellMar>
          <w:left w:w="0" w:type="dxa"/>
          <w:right w:w="0" w:type="dxa"/>
        </w:tblCellMar>
        <w:tblLook w:val="04A0" w:firstRow="1" w:lastRow="0" w:firstColumn="1" w:lastColumn="0" w:noHBand="0" w:noVBand="1"/>
      </w:tblPr>
      <w:tblGrid>
        <w:gridCol w:w="10065"/>
      </w:tblGrid>
      <w:tr w:rsidR="001B379C" w:rsidRPr="00FE1923" w:rsidTr="004E68C2">
        <w:trPr>
          <w:tblCellSpacing w:w="0" w:type="dxa"/>
        </w:trPr>
        <w:tc>
          <w:tcPr>
            <w:tcW w:w="0" w:type="auto"/>
            <w:vAlign w:val="center"/>
            <w:hideMark/>
          </w:tcPr>
          <w:p w:rsidR="001B379C" w:rsidRPr="00BB6907" w:rsidRDefault="001B379C" w:rsidP="00FE1923">
            <w:pPr>
              <w:spacing w:after="0" w:line="240" w:lineRule="auto"/>
              <w:rPr>
                <w:rFonts w:ascii="GHEA Grapalat" w:eastAsia="Times New Roman" w:hAnsi="GHEA Grapalat" w:cs="Times New Roman"/>
                <w:sz w:val="20"/>
                <w:szCs w:val="20"/>
              </w:rPr>
            </w:pPr>
            <w:r w:rsidRPr="00BB6907">
              <w:rPr>
                <w:rFonts w:ascii="GHEA Grapalat" w:eastAsia="Times New Roman" w:hAnsi="GHEA Grapalat" w:cs="Sylfaen"/>
                <w:sz w:val="20"/>
                <w:szCs w:val="20"/>
              </w:rPr>
              <w:t>Ընկերության</w:t>
            </w:r>
            <w:r w:rsidRPr="00BB6907">
              <w:rPr>
                <w:rFonts w:ascii="GHEA Grapalat" w:eastAsia="Times New Roman" w:hAnsi="GHEA Grapalat" w:cs="Times New Roman"/>
                <w:sz w:val="20"/>
                <w:szCs w:val="20"/>
              </w:rPr>
              <w:t xml:space="preserve"> </w:t>
            </w:r>
            <w:r w:rsidRPr="00BB6907">
              <w:rPr>
                <w:rFonts w:ascii="GHEA Grapalat" w:eastAsia="Times New Roman" w:hAnsi="GHEA Grapalat" w:cs="Sylfaen"/>
                <w:sz w:val="20"/>
                <w:szCs w:val="20"/>
              </w:rPr>
              <w:t>տնօրեն</w:t>
            </w:r>
            <w:r w:rsidRPr="00BB6907">
              <w:rPr>
                <w:rFonts w:ascii="GHEA Grapalat" w:eastAsia="Times New Roman" w:hAnsi="GHEA Grapalat" w:cs="Times New Roman"/>
                <w:sz w:val="20"/>
                <w:szCs w:val="20"/>
              </w:rPr>
              <w:t xml:space="preserve"> (</w:t>
            </w:r>
            <w:r w:rsidRPr="00BB6907">
              <w:rPr>
                <w:rFonts w:ascii="GHEA Grapalat" w:eastAsia="Times New Roman" w:hAnsi="GHEA Grapalat" w:cs="Sylfaen"/>
                <w:sz w:val="20"/>
                <w:szCs w:val="20"/>
              </w:rPr>
              <w:t>ազգանուն</w:t>
            </w:r>
            <w:r w:rsidRPr="00BB6907">
              <w:rPr>
                <w:rFonts w:ascii="GHEA Grapalat" w:eastAsia="Times New Roman" w:hAnsi="GHEA Grapalat" w:cs="Times New Roman"/>
                <w:sz w:val="20"/>
                <w:szCs w:val="20"/>
              </w:rPr>
              <w:t xml:space="preserve"> </w:t>
            </w:r>
            <w:r w:rsidRPr="00BB6907">
              <w:rPr>
                <w:rFonts w:ascii="GHEA Grapalat" w:eastAsia="Times New Roman" w:hAnsi="GHEA Grapalat" w:cs="Sylfaen"/>
                <w:sz w:val="20"/>
                <w:szCs w:val="20"/>
              </w:rPr>
              <w:t>անուն</w:t>
            </w:r>
            <w:r w:rsidRPr="00BB6907">
              <w:rPr>
                <w:rFonts w:ascii="GHEA Grapalat" w:eastAsia="Times New Roman" w:hAnsi="GHEA Grapalat" w:cs="Times New Roman"/>
                <w:sz w:val="20"/>
                <w:szCs w:val="20"/>
              </w:rPr>
              <w:t xml:space="preserve"> </w:t>
            </w:r>
            <w:r w:rsidRPr="00BB6907">
              <w:rPr>
                <w:rFonts w:ascii="GHEA Grapalat" w:eastAsia="Times New Roman" w:hAnsi="GHEA Grapalat" w:cs="Sylfaen"/>
                <w:sz w:val="20"/>
                <w:szCs w:val="20"/>
              </w:rPr>
              <w:t>և</w:t>
            </w:r>
            <w:r w:rsidRPr="00BB6907">
              <w:rPr>
                <w:rFonts w:ascii="GHEA Grapalat" w:eastAsia="Times New Roman" w:hAnsi="GHEA Grapalat" w:cs="Times New Roman"/>
                <w:sz w:val="20"/>
                <w:szCs w:val="20"/>
              </w:rPr>
              <w:t xml:space="preserve"> </w:t>
            </w:r>
            <w:r w:rsidRPr="00BB6907">
              <w:rPr>
                <w:rFonts w:ascii="GHEA Grapalat" w:eastAsia="Times New Roman" w:hAnsi="GHEA Grapalat" w:cs="Sylfaen"/>
                <w:sz w:val="20"/>
                <w:szCs w:val="20"/>
              </w:rPr>
              <w:t>ստորագրություն</w:t>
            </w:r>
            <w:r w:rsidRPr="00BB6907">
              <w:rPr>
                <w:rFonts w:ascii="GHEA Grapalat" w:eastAsia="Times New Roman" w:hAnsi="GHEA Grapalat" w:cs="Times New Roman"/>
                <w:sz w:val="20"/>
                <w:szCs w:val="20"/>
              </w:rPr>
              <w:t>) ____________________________</w:t>
            </w:r>
          </w:p>
        </w:tc>
      </w:tr>
      <w:tr w:rsidR="001B379C" w:rsidRPr="00FE1923" w:rsidTr="004E68C2">
        <w:trPr>
          <w:tblCellSpacing w:w="0" w:type="dxa"/>
        </w:trPr>
        <w:tc>
          <w:tcPr>
            <w:tcW w:w="0" w:type="auto"/>
            <w:vAlign w:val="center"/>
            <w:hideMark/>
          </w:tcPr>
          <w:p w:rsidR="001B379C" w:rsidRPr="00BB6907" w:rsidRDefault="001B379C" w:rsidP="00FE1923">
            <w:pPr>
              <w:spacing w:after="0" w:line="240" w:lineRule="auto"/>
              <w:rPr>
                <w:rFonts w:ascii="GHEA Grapalat" w:eastAsia="Times New Roman" w:hAnsi="GHEA Grapalat" w:cs="Times New Roman"/>
                <w:sz w:val="20"/>
                <w:szCs w:val="20"/>
              </w:rPr>
            </w:pPr>
            <w:r w:rsidRPr="00BB6907">
              <w:rPr>
                <w:rFonts w:ascii="GHEA Grapalat" w:eastAsia="Times New Roman" w:hAnsi="GHEA Grapalat" w:cs="Times New Roman"/>
                <w:sz w:val="20"/>
                <w:szCs w:val="20"/>
              </w:rPr>
              <w:t>__________________________________________________________________</w:t>
            </w:r>
          </w:p>
        </w:tc>
      </w:tr>
      <w:tr w:rsidR="001B379C" w:rsidRPr="00FE1923" w:rsidTr="004E68C2">
        <w:trPr>
          <w:tblCellSpacing w:w="0" w:type="dxa"/>
        </w:trPr>
        <w:tc>
          <w:tcPr>
            <w:tcW w:w="0" w:type="auto"/>
            <w:vAlign w:val="center"/>
            <w:hideMark/>
          </w:tcPr>
          <w:p w:rsidR="001B379C" w:rsidRPr="00BB6907" w:rsidRDefault="001B379C" w:rsidP="00FE1923">
            <w:pPr>
              <w:spacing w:after="0" w:line="240" w:lineRule="auto"/>
              <w:rPr>
                <w:rFonts w:ascii="GHEA Grapalat" w:eastAsia="Times New Roman" w:hAnsi="GHEA Grapalat" w:cs="Times New Roman"/>
                <w:sz w:val="20"/>
                <w:szCs w:val="20"/>
              </w:rPr>
            </w:pPr>
            <w:r w:rsidRPr="00BB6907">
              <w:rPr>
                <w:rFonts w:ascii="GHEA Grapalat" w:eastAsia="Times New Roman" w:hAnsi="GHEA Grapalat" w:cs="Sylfaen"/>
                <w:sz w:val="20"/>
                <w:szCs w:val="20"/>
              </w:rPr>
              <w:t>Ընկերության</w:t>
            </w:r>
            <w:r w:rsidRPr="00BB6907">
              <w:rPr>
                <w:rFonts w:ascii="GHEA Grapalat" w:eastAsia="Times New Roman" w:hAnsi="GHEA Grapalat" w:cs="Times New Roman"/>
                <w:sz w:val="20"/>
                <w:szCs w:val="20"/>
              </w:rPr>
              <w:t xml:space="preserve"> </w:t>
            </w:r>
            <w:r w:rsidRPr="00BB6907">
              <w:rPr>
                <w:rFonts w:ascii="GHEA Grapalat" w:eastAsia="Times New Roman" w:hAnsi="GHEA Grapalat" w:cs="Sylfaen"/>
                <w:sz w:val="20"/>
                <w:szCs w:val="20"/>
              </w:rPr>
              <w:t>գլխավոր</w:t>
            </w:r>
            <w:r w:rsidRPr="00BB6907">
              <w:rPr>
                <w:rFonts w:ascii="GHEA Grapalat" w:eastAsia="Times New Roman" w:hAnsi="GHEA Grapalat" w:cs="Times New Roman"/>
                <w:sz w:val="20"/>
                <w:szCs w:val="20"/>
              </w:rPr>
              <w:t xml:space="preserve"> </w:t>
            </w:r>
            <w:r w:rsidRPr="00BB6907">
              <w:rPr>
                <w:rFonts w:ascii="GHEA Grapalat" w:eastAsia="Times New Roman" w:hAnsi="GHEA Grapalat" w:cs="Sylfaen"/>
                <w:sz w:val="20"/>
                <w:szCs w:val="20"/>
              </w:rPr>
              <w:t>հաշվապահ</w:t>
            </w:r>
            <w:r w:rsidRPr="00BB6907">
              <w:rPr>
                <w:rFonts w:ascii="GHEA Grapalat" w:eastAsia="Times New Roman" w:hAnsi="GHEA Grapalat" w:cs="Times New Roman"/>
                <w:sz w:val="20"/>
                <w:szCs w:val="20"/>
              </w:rPr>
              <w:t xml:space="preserve"> (</w:t>
            </w:r>
            <w:r w:rsidRPr="00BB6907">
              <w:rPr>
                <w:rFonts w:ascii="GHEA Grapalat" w:eastAsia="Times New Roman" w:hAnsi="GHEA Grapalat" w:cs="Sylfaen"/>
                <w:sz w:val="20"/>
                <w:szCs w:val="20"/>
              </w:rPr>
              <w:t>ազգանուն</w:t>
            </w:r>
            <w:r w:rsidRPr="00BB6907">
              <w:rPr>
                <w:rFonts w:ascii="GHEA Grapalat" w:eastAsia="Times New Roman" w:hAnsi="GHEA Grapalat" w:cs="Times New Roman"/>
                <w:sz w:val="20"/>
                <w:szCs w:val="20"/>
              </w:rPr>
              <w:t xml:space="preserve"> </w:t>
            </w:r>
            <w:r w:rsidRPr="00BB6907">
              <w:rPr>
                <w:rFonts w:ascii="GHEA Grapalat" w:eastAsia="Times New Roman" w:hAnsi="GHEA Grapalat" w:cs="Sylfaen"/>
                <w:sz w:val="20"/>
                <w:szCs w:val="20"/>
              </w:rPr>
              <w:t>անուն</w:t>
            </w:r>
            <w:r w:rsidRPr="00BB6907">
              <w:rPr>
                <w:rFonts w:ascii="GHEA Grapalat" w:eastAsia="Times New Roman" w:hAnsi="GHEA Grapalat" w:cs="Times New Roman"/>
                <w:sz w:val="20"/>
                <w:szCs w:val="20"/>
              </w:rPr>
              <w:t xml:space="preserve"> </w:t>
            </w:r>
            <w:r w:rsidRPr="00BB6907">
              <w:rPr>
                <w:rFonts w:ascii="GHEA Grapalat" w:eastAsia="Times New Roman" w:hAnsi="GHEA Grapalat" w:cs="Sylfaen"/>
                <w:sz w:val="20"/>
                <w:szCs w:val="20"/>
              </w:rPr>
              <w:t>և</w:t>
            </w:r>
            <w:r w:rsidRPr="00BB6907">
              <w:rPr>
                <w:rFonts w:ascii="GHEA Grapalat" w:eastAsia="Times New Roman" w:hAnsi="GHEA Grapalat" w:cs="Times New Roman"/>
                <w:sz w:val="20"/>
                <w:szCs w:val="20"/>
              </w:rPr>
              <w:t xml:space="preserve"> </w:t>
            </w:r>
            <w:r w:rsidRPr="00BB6907">
              <w:rPr>
                <w:rFonts w:ascii="GHEA Grapalat" w:eastAsia="Times New Roman" w:hAnsi="GHEA Grapalat" w:cs="Sylfaen"/>
                <w:sz w:val="20"/>
                <w:szCs w:val="20"/>
              </w:rPr>
              <w:t>ստորագրություն</w:t>
            </w:r>
            <w:r w:rsidRPr="00BB6907">
              <w:rPr>
                <w:rFonts w:ascii="GHEA Grapalat" w:eastAsia="Times New Roman" w:hAnsi="GHEA Grapalat" w:cs="Times New Roman"/>
                <w:sz w:val="20"/>
                <w:szCs w:val="20"/>
              </w:rPr>
              <w:t>) ____________________</w:t>
            </w:r>
          </w:p>
        </w:tc>
      </w:tr>
      <w:tr w:rsidR="001B379C" w:rsidRPr="00FE1923" w:rsidTr="004E68C2">
        <w:trPr>
          <w:tblCellSpacing w:w="0" w:type="dxa"/>
        </w:trPr>
        <w:tc>
          <w:tcPr>
            <w:tcW w:w="0" w:type="auto"/>
            <w:vAlign w:val="center"/>
            <w:hideMark/>
          </w:tcPr>
          <w:p w:rsidR="001B379C" w:rsidRPr="00BB6907" w:rsidRDefault="001B379C" w:rsidP="00FE1923">
            <w:pPr>
              <w:spacing w:after="0" w:line="240" w:lineRule="auto"/>
              <w:rPr>
                <w:rFonts w:ascii="GHEA Grapalat" w:eastAsia="Times New Roman" w:hAnsi="GHEA Grapalat" w:cs="Times New Roman"/>
                <w:sz w:val="20"/>
                <w:szCs w:val="20"/>
              </w:rPr>
            </w:pPr>
            <w:r w:rsidRPr="00BB6907">
              <w:rPr>
                <w:rFonts w:ascii="GHEA Grapalat" w:eastAsia="Times New Roman" w:hAnsi="GHEA Grapalat" w:cs="Times New Roman"/>
                <w:sz w:val="20"/>
                <w:szCs w:val="20"/>
              </w:rPr>
              <w:t>__________________________________________________________________</w:t>
            </w:r>
          </w:p>
        </w:tc>
      </w:tr>
    </w:tbl>
    <w:p w:rsidR="001339A7" w:rsidRPr="00BB6907" w:rsidRDefault="001B379C" w:rsidP="00F1621F">
      <w:pPr>
        <w:spacing w:after="0" w:line="360" w:lineRule="auto"/>
        <w:rPr>
          <w:rFonts w:ascii="GHEA Grapalat" w:hAnsi="GHEA Grapalat"/>
          <w:sz w:val="20"/>
          <w:szCs w:val="20"/>
        </w:rPr>
      </w:pPr>
      <w:r w:rsidRPr="00BB6907">
        <w:rPr>
          <w:rFonts w:ascii="GHEA Grapalat" w:eastAsia="Times New Roman" w:hAnsi="GHEA Grapalat" w:cs="Sylfaen"/>
          <w:sz w:val="20"/>
          <w:szCs w:val="20"/>
        </w:rPr>
        <w:t>կնիքի</w:t>
      </w:r>
      <w:r w:rsidRPr="00BB6907">
        <w:rPr>
          <w:rFonts w:ascii="GHEA Grapalat" w:eastAsia="Times New Roman" w:hAnsi="GHEA Grapalat" w:cs="Times New Roman"/>
          <w:sz w:val="20"/>
          <w:szCs w:val="20"/>
        </w:rPr>
        <w:t xml:space="preserve"> </w:t>
      </w:r>
      <w:r w:rsidRPr="00BB6907">
        <w:rPr>
          <w:rFonts w:ascii="GHEA Grapalat" w:eastAsia="Times New Roman" w:hAnsi="GHEA Grapalat" w:cs="Sylfaen"/>
          <w:sz w:val="20"/>
          <w:szCs w:val="20"/>
        </w:rPr>
        <w:t>տեղը</w:t>
      </w:r>
      <w:r w:rsidRPr="00BB6907">
        <w:rPr>
          <w:rFonts w:ascii="GHEA Grapalat" w:eastAsia="Times New Roman" w:hAnsi="GHEA Grapalat" w:cs="Times New Roman"/>
          <w:sz w:val="20"/>
          <w:szCs w:val="20"/>
        </w:rPr>
        <w:t>.</w:t>
      </w:r>
    </w:p>
    <w:sectPr w:rsidR="001339A7" w:rsidRPr="00BB6907" w:rsidSect="00FE1923">
      <w:pgSz w:w="12240" w:h="15840"/>
      <w:pgMar w:top="1135" w:right="1041"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62"/>
    <w:rsid w:val="00026F13"/>
    <w:rsid w:val="0006565F"/>
    <w:rsid w:val="0008609E"/>
    <w:rsid w:val="000E4751"/>
    <w:rsid w:val="001117CC"/>
    <w:rsid w:val="001251AB"/>
    <w:rsid w:val="001339A7"/>
    <w:rsid w:val="001B379C"/>
    <w:rsid w:val="001D4146"/>
    <w:rsid w:val="001E156A"/>
    <w:rsid w:val="00202F54"/>
    <w:rsid w:val="00205942"/>
    <w:rsid w:val="00247F7B"/>
    <w:rsid w:val="00277137"/>
    <w:rsid w:val="00284A74"/>
    <w:rsid w:val="0030665D"/>
    <w:rsid w:val="00307899"/>
    <w:rsid w:val="0036688A"/>
    <w:rsid w:val="0037228F"/>
    <w:rsid w:val="00372314"/>
    <w:rsid w:val="0040439E"/>
    <w:rsid w:val="004365E0"/>
    <w:rsid w:val="00461307"/>
    <w:rsid w:val="00493131"/>
    <w:rsid w:val="004B1A44"/>
    <w:rsid w:val="004C249B"/>
    <w:rsid w:val="0055778B"/>
    <w:rsid w:val="00673952"/>
    <w:rsid w:val="00693C7A"/>
    <w:rsid w:val="00695EB5"/>
    <w:rsid w:val="0070194B"/>
    <w:rsid w:val="00733696"/>
    <w:rsid w:val="007406C7"/>
    <w:rsid w:val="007B2B91"/>
    <w:rsid w:val="00850A94"/>
    <w:rsid w:val="008947FC"/>
    <w:rsid w:val="00896107"/>
    <w:rsid w:val="00977D67"/>
    <w:rsid w:val="009C741C"/>
    <w:rsid w:val="009E7C66"/>
    <w:rsid w:val="00A131C9"/>
    <w:rsid w:val="00A4042A"/>
    <w:rsid w:val="00AA0C91"/>
    <w:rsid w:val="00B05F6F"/>
    <w:rsid w:val="00B54EB6"/>
    <w:rsid w:val="00BB6907"/>
    <w:rsid w:val="00BC5FEC"/>
    <w:rsid w:val="00BF5078"/>
    <w:rsid w:val="00C87450"/>
    <w:rsid w:val="00C92BE0"/>
    <w:rsid w:val="00CB76A6"/>
    <w:rsid w:val="00CC1F2F"/>
    <w:rsid w:val="00CF5CD2"/>
    <w:rsid w:val="00D12800"/>
    <w:rsid w:val="00D24B1F"/>
    <w:rsid w:val="00D71050"/>
    <w:rsid w:val="00E3175B"/>
    <w:rsid w:val="00EB20BF"/>
    <w:rsid w:val="00EB2A20"/>
    <w:rsid w:val="00F1621F"/>
    <w:rsid w:val="00F2414C"/>
    <w:rsid w:val="00F92562"/>
    <w:rsid w:val="00FB27BF"/>
    <w:rsid w:val="00FD0BA3"/>
    <w:rsid w:val="00FE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0FD01-ED3A-471F-A226-9008D281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79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1B379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B379C"/>
    <w:rPr>
      <w:rFonts w:ascii="Arial" w:eastAsia="Times New Roman" w:hAnsi="Arial" w:cs="Arial"/>
      <w:vanish/>
      <w:sz w:val="16"/>
      <w:szCs w:val="16"/>
    </w:rPr>
  </w:style>
  <w:style w:type="paragraph" w:styleId="NormalWeb">
    <w:name w:val="Normal (Web)"/>
    <w:basedOn w:val="Normal"/>
    <w:uiPriority w:val="99"/>
    <w:unhideWhenUsed/>
    <w:rsid w:val="001B37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379C"/>
    <w:rPr>
      <w:b/>
      <w:bCs/>
    </w:rPr>
  </w:style>
  <w:style w:type="character" w:styleId="Emphasis">
    <w:name w:val="Emphasis"/>
    <w:basedOn w:val="DefaultParagraphFont"/>
    <w:uiPriority w:val="20"/>
    <w:qFormat/>
    <w:rsid w:val="001B379C"/>
    <w:rPr>
      <w:i/>
      <w:iCs/>
    </w:rPr>
  </w:style>
  <w:style w:type="paragraph" w:styleId="z-BottomofForm">
    <w:name w:val="HTML Bottom of Form"/>
    <w:basedOn w:val="Normal"/>
    <w:next w:val="Normal"/>
    <w:link w:val="z-BottomofFormChar"/>
    <w:hidden/>
    <w:uiPriority w:val="99"/>
    <w:semiHidden/>
    <w:unhideWhenUsed/>
    <w:rsid w:val="001B379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B379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B3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79C"/>
    <w:rPr>
      <w:rFonts w:ascii="Tahoma" w:hAnsi="Tahoma" w:cs="Tahoma"/>
      <w:sz w:val="16"/>
      <w:szCs w:val="16"/>
    </w:rPr>
  </w:style>
  <w:style w:type="paragraph" w:styleId="ListParagraph">
    <w:name w:val="List Paragraph"/>
    <w:basedOn w:val="Normal"/>
    <w:uiPriority w:val="34"/>
    <w:qFormat/>
    <w:rsid w:val="001251AB"/>
    <w:pPr>
      <w:ind w:left="720"/>
      <w:contextualSpacing/>
    </w:pPr>
  </w:style>
  <w:style w:type="table" w:styleId="TableGrid">
    <w:name w:val="Table Grid"/>
    <w:basedOn w:val="TableNormal"/>
    <w:uiPriority w:val="39"/>
    <w:rsid w:val="0055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308760">
      <w:bodyDiv w:val="1"/>
      <w:marLeft w:val="0"/>
      <w:marRight w:val="0"/>
      <w:marTop w:val="0"/>
      <w:marBottom w:val="0"/>
      <w:divBdr>
        <w:top w:val="none" w:sz="0" w:space="0" w:color="auto"/>
        <w:left w:val="none" w:sz="0" w:space="0" w:color="auto"/>
        <w:bottom w:val="none" w:sz="0" w:space="0" w:color="auto"/>
        <w:right w:val="none" w:sz="0" w:space="0" w:color="auto"/>
      </w:divBdr>
    </w:div>
    <w:div w:id="830485716">
      <w:bodyDiv w:val="1"/>
      <w:marLeft w:val="0"/>
      <w:marRight w:val="0"/>
      <w:marTop w:val="0"/>
      <w:marBottom w:val="0"/>
      <w:divBdr>
        <w:top w:val="none" w:sz="0" w:space="0" w:color="auto"/>
        <w:left w:val="none" w:sz="0" w:space="0" w:color="auto"/>
        <w:bottom w:val="none" w:sz="0" w:space="0" w:color="auto"/>
        <w:right w:val="none" w:sz="0" w:space="0" w:color="auto"/>
      </w:divBdr>
    </w:div>
    <w:div w:id="1267075304">
      <w:bodyDiv w:val="1"/>
      <w:marLeft w:val="0"/>
      <w:marRight w:val="0"/>
      <w:marTop w:val="0"/>
      <w:marBottom w:val="0"/>
      <w:divBdr>
        <w:top w:val="none" w:sz="0" w:space="0" w:color="auto"/>
        <w:left w:val="none" w:sz="0" w:space="0" w:color="auto"/>
        <w:bottom w:val="none" w:sz="0" w:space="0" w:color="auto"/>
        <w:right w:val="none" w:sz="0" w:space="0" w:color="auto"/>
      </w:divBdr>
    </w:div>
    <w:div w:id="136000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Vardan Urfalyan</dc:creator>
  <cp:keywords/>
  <dc:description/>
  <cp:lastModifiedBy>Lilit Martirosyan</cp:lastModifiedBy>
  <cp:revision>2</cp:revision>
  <dcterms:created xsi:type="dcterms:W3CDTF">2023-02-02T12:37:00Z</dcterms:created>
  <dcterms:modified xsi:type="dcterms:W3CDTF">2023-02-02T12:37:00Z</dcterms:modified>
</cp:coreProperties>
</file>