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47" w:rsidRDefault="00657F47">
      <w:pPr>
        <w:spacing w:after="0" w:line="33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657F47" w:rsidRDefault="008C17CB">
      <w:pPr>
        <w:spacing w:after="0" w:line="33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:rsidR="00657F47" w:rsidRDefault="008C17CB">
      <w:pPr>
        <w:spacing w:after="0" w:line="336" w:lineRule="auto"/>
        <w:jc w:val="center"/>
        <w:rPr>
          <w:rFonts w:ascii="GHEA Grapalat" w:eastAsia="GHEA Grapalat" w:hAnsi="GHEA Grapalat" w:cs="GHEA Grapalat"/>
          <w:b/>
          <w:sz w:val="26"/>
          <w:szCs w:val="26"/>
        </w:rPr>
      </w:pPr>
      <w:r>
        <w:rPr>
          <w:rFonts w:ascii="GHEA Grapalat" w:eastAsia="GHEA Grapalat" w:hAnsi="GHEA Grapalat" w:cs="GHEA Grapalat"/>
          <w:b/>
          <w:sz w:val="26"/>
          <w:szCs w:val="26"/>
        </w:rPr>
        <w:t>ՈՐՈՇՈՒՄ</w:t>
      </w:r>
    </w:p>
    <w:p w:rsidR="00657F47" w:rsidRDefault="008C17CB">
      <w:pPr>
        <w:spacing w:after="0" w:line="360" w:lineRule="auto"/>
        <w:ind w:firstLine="851"/>
        <w:jc w:val="center"/>
        <w:rPr>
          <w:rFonts w:ascii="Merriweather" w:eastAsia="Merriweather" w:hAnsi="Merriweather" w:cs="Merriweather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br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__ </w:t>
      </w:r>
      <w:r>
        <w:rPr>
          <w:rFonts w:ascii="GHEA Grapalat" w:eastAsia="GHEA Grapalat" w:hAnsi="GHEA Grapalat" w:cs="GHEA Grapalat"/>
          <w:sz w:val="24"/>
          <w:szCs w:val="24"/>
        </w:rPr>
        <w:t xml:space="preserve">դեկտեմբերի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2022 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N __ - Ն</w:t>
      </w:r>
    </w:p>
    <w:p w:rsidR="00657F47" w:rsidRDefault="00657F47">
      <w:pPr>
        <w:spacing w:after="0" w:line="360" w:lineRule="auto"/>
        <w:ind w:firstLine="851"/>
        <w:jc w:val="center"/>
        <w:rPr>
          <w:rFonts w:ascii="GHEA Grapalat" w:eastAsia="GHEA Grapalat" w:hAnsi="GHEA Grapalat" w:cs="GHEA Grapalat"/>
          <w:color w:val="000000"/>
        </w:rPr>
      </w:pP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ԻՐԱՎԱԲԱՆԱԿԱՆ ԱՆՁԻ ՀԱՐԿԱԴԻՐ ԼՈՒԾԱՐՄԱՆ ՆՊԱՏԱԿՈՎ ԼՈՒԾԱՐՄԱՆ ՀԱՆՁՆԱԺՈՂՈՎԻ ՁԵՎԱՎՈՐՄԱՆ, ԼՈՒԾԱՐՄԱՆ ՀԱՆՁՆԱԺՈՂՈՎ (ԼՈՒԾԱՐՈՂ) ՆՇԱՆԱԿԵԼՈՒ ԿԱՐԳԸ, ԼՈՒԾԱՐՄԱՆ ԿԱՐԳԸ ԵՎ ԺԱՄԿԵՏՆԵՐԸ ՍԱՀՄԱՆԵԼՈՒ ՄԱՍԻՆ</w:t>
      </w: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Հայաստանի Հանրապետության քրեակատարողական օրենսգրքի 129-րդ հոդվածի 3-րդ </w:t>
      </w:r>
      <w:r w:rsidR="00E925C7">
        <w:rPr>
          <w:rFonts w:ascii="GHEA Grapalat" w:eastAsia="GHEA Grapalat" w:hAnsi="GHEA Grapalat" w:cs="GHEA Grapalat"/>
          <w:color w:val="000000"/>
          <w:sz w:val="24"/>
          <w:szCs w:val="24"/>
        </w:rPr>
        <w:t>մաս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ով՝ Հայաստանի Հանրապետության կառավարությունը </w:t>
      </w:r>
      <w:r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որոշում է.</w:t>
      </w: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1. Սահմանել՝</w:t>
      </w: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</w:t>
      </w:r>
      <w:r>
        <w:rPr>
          <w:rFonts w:ascii="GHEA Grapalat" w:eastAsia="GHEA Grapalat" w:hAnsi="GHEA Grapalat" w:cs="GHEA Grapalat"/>
          <w:sz w:val="24"/>
          <w:szCs w:val="24"/>
        </w:rPr>
        <w:t>Իրավաբանական անձի հարկադիր լուծարման նպատակով լուծարման հանձնաժողովի ձևավորման, լուծարման հանձնաժողով (լուծարող) նշանակելու կարգը՝ համաձայն հավելված N 1-ի.</w:t>
      </w: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2) Իրավաբանական անձի հարկադիր լուծարման կարգը և ժամկետները՝ համաձայն հավելված N 2-ի:</w:t>
      </w: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Սույն որոշումն ուժի մեջ է մտնում 2023 թվականի հունվարի 1-ից:</w:t>
      </w: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color w:val="000000"/>
          <w:sz w:val="24"/>
          <w:szCs w:val="24"/>
        </w:rPr>
      </w:pP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657F47" w:rsidRDefault="00D93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  </w:t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վարչապետ</w:t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</w:t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</w:t>
      </w:r>
      <w:r w:rsidR="008C17C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Ն. Փաշինյան</w:t>
      </w: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Երևան</w:t>
      </w:r>
    </w:p>
    <w:p w:rsidR="00657F47" w:rsidRDefault="008C17CB">
      <w:pPr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br w:type="page"/>
      </w:r>
    </w:p>
    <w:p w:rsidR="00657F47" w:rsidRPr="00E0586D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center"/>
        <w:rPr>
          <w:rFonts w:ascii="GHEA Grapalat" w:eastAsia="GHEA Grapalat" w:hAnsi="GHEA Grapalat" w:cs="GHEA Grapalat"/>
          <w:color w:val="000000"/>
          <w:sz w:val="20"/>
          <w:szCs w:val="20"/>
          <w:highlight w:val="white"/>
        </w:rPr>
      </w:pPr>
      <w:r w:rsidRPr="00E0586D">
        <w:rPr>
          <w:rFonts w:ascii="GHEA Grapalat" w:eastAsia="GHEA Grapalat" w:hAnsi="GHEA Grapalat" w:cs="GHEA Grapalat"/>
          <w:color w:val="000000"/>
          <w:sz w:val="20"/>
          <w:szCs w:val="20"/>
          <w:highlight w:val="white"/>
        </w:rPr>
        <w:lastRenderedPageBreak/>
        <w:t>Հավելված 1</w:t>
      </w:r>
    </w:p>
    <w:p w:rsidR="00657F47" w:rsidRPr="00E0586D" w:rsidRDefault="008C1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804"/>
        <w:jc w:val="center"/>
        <w:rPr>
          <w:rFonts w:ascii="GHEA Grapalat" w:eastAsia="GHEA Grapalat" w:hAnsi="GHEA Grapalat" w:cs="GHEA Grapalat"/>
          <w:color w:val="000000"/>
          <w:sz w:val="20"/>
          <w:szCs w:val="20"/>
        </w:rPr>
      </w:pPr>
      <w:r w:rsidRPr="00E0586D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ՀՀ կառավարության 2022 թվականի </w:t>
      </w:r>
      <w:r w:rsidRPr="00E0586D">
        <w:rPr>
          <w:rFonts w:ascii="GHEA Grapalat" w:eastAsia="GHEA Grapalat" w:hAnsi="GHEA Grapalat" w:cs="GHEA Grapalat"/>
          <w:sz w:val="20"/>
          <w:szCs w:val="20"/>
        </w:rPr>
        <w:t>դեկտեմբերի</w:t>
      </w:r>
      <w:r w:rsidR="00D93FD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Pr="00E0586D">
        <w:rPr>
          <w:rFonts w:ascii="GHEA Grapalat" w:eastAsia="GHEA Grapalat" w:hAnsi="GHEA Grapalat" w:cs="GHEA Grapalat"/>
          <w:color w:val="000000"/>
          <w:sz w:val="20"/>
          <w:szCs w:val="20"/>
        </w:rPr>
        <w:t>-ի N</w:t>
      </w:r>
      <w:r w:rsidR="00D93FD6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 w:rsidRPr="00E0586D">
        <w:rPr>
          <w:rFonts w:ascii="GHEA Grapalat" w:eastAsia="GHEA Grapalat" w:hAnsi="GHEA Grapalat" w:cs="GHEA Grapalat"/>
          <w:color w:val="000000"/>
          <w:sz w:val="20"/>
          <w:szCs w:val="20"/>
        </w:rPr>
        <w:t>-Ն</w:t>
      </w:r>
    </w:p>
    <w:p w:rsidR="00657F47" w:rsidRPr="00E0586D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0"/>
          <w:szCs w:val="20"/>
        </w:rPr>
      </w:pPr>
      <w:r w:rsidRPr="00E0586D">
        <w:rPr>
          <w:rFonts w:ascii="GHEA Grapalat" w:eastAsia="GHEA Grapalat" w:hAnsi="GHEA Grapalat" w:cs="GHEA Grapalat"/>
          <w:sz w:val="20"/>
          <w:szCs w:val="20"/>
        </w:rPr>
        <w:t>որոշման</w:t>
      </w: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ԿԱՐԳ</w:t>
      </w:r>
    </w:p>
    <w:p w:rsidR="00657F47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ԻՐԱՎԱԲԱՆԱԿԱՆ ԱՆՁԻ ՀԱՐԿԱԴԻՐ ԼՈՒԾԱՐՄԱՆ ՆՊԱՏԱԿՈՎ ԼՈՒԾԱՐՄԱՆ ՀԱՆՁՆԱԺՈՂՈՎԻ ՁԵՎԱՎՈՐՄԱՆ, ԼՈՒԾԱՐՄԱՆ ՀԱՆՁՆԱԺՈՂՈՎ (ԼՈՒԾԱՐՈՂ) ՆՇԱՆԱԿԵԼՈՒ</w:t>
      </w: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Pr="00E925C7" w:rsidRDefault="008C17CB" w:rsidP="00E92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925C7">
        <w:rPr>
          <w:rFonts w:ascii="GHEA Grapalat" w:eastAsia="GHEA Grapalat" w:hAnsi="GHEA Grapalat" w:cs="GHEA Grapalat"/>
          <w:sz w:val="24"/>
          <w:szCs w:val="24"/>
        </w:rPr>
        <w:t>1. Իրավաբանական անձի հարկադիր լուծարման հանձնաժողովի (այսուհետ՝ Հանձնաժողով) ձևավորումը,</w:t>
      </w:r>
      <w:r w:rsidR="00D93F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925C7">
        <w:rPr>
          <w:rFonts w:ascii="GHEA Grapalat" w:eastAsia="GHEA Grapalat" w:hAnsi="GHEA Grapalat" w:cs="GHEA Grapalat"/>
          <w:sz w:val="24"/>
          <w:szCs w:val="24"/>
        </w:rPr>
        <w:t xml:space="preserve">գործունեության դադարեցումը և Հանձնաժողովի նախագահի նշանակումը իրականացվում է Պրոբացիայի ծառայության պետի հրամանով՝ 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դատարանի եզրափակիչ դատական ակտն օրինական ուժի մեջ մտնելուց </w:t>
      </w:r>
      <w:r w:rsidRPr="00E925C7">
        <w:rPr>
          <w:rFonts w:ascii="GHEA Grapalat" w:eastAsia="GHEA Grapalat" w:hAnsi="GHEA Grapalat" w:cs="GHEA Grapalat"/>
          <w:sz w:val="24"/>
          <w:szCs w:val="24"/>
        </w:rPr>
        <w:t>հետո՝ եռօրյա ժամկետում:</w:t>
      </w:r>
    </w:p>
    <w:p w:rsidR="00657F47" w:rsidRPr="00E925C7" w:rsidRDefault="008C17CB" w:rsidP="00E92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925C7">
        <w:rPr>
          <w:rFonts w:ascii="GHEA Grapalat" w:eastAsia="GHEA Grapalat" w:hAnsi="GHEA Grapalat" w:cs="GHEA Grapalat"/>
          <w:sz w:val="24"/>
          <w:szCs w:val="24"/>
        </w:rPr>
        <w:t>2. Հանձնաժողովի ձևավորման վերաբերյալ Պրոբացիայի ծառայության պետի հրամանը պետք է պարունակի՝</w:t>
      </w:r>
    </w:p>
    <w:p w:rsidR="00657F47" w:rsidRPr="00E925C7" w:rsidRDefault="008C17CB" w:rsidP="00E92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925C7">
        <w:rPr>
          <w:rFonts w:ascii="GHEA Grapalat" w:eastAsia="GHEA Grapalat" w:hAnsi="GHEA Grapalat" w:cs="GHEA Grapalat"/>
          <w:sz w:val="24"/>
          <w:szCs w:val="24"/>
        </w:rPr>
        <w:t>1) լուծարվող իրավաբանական անձի նույնականացման տվյալները.</w:t>
      </w:r>
    </w:p>
    <w:p w:rsidR="00657F47" w:rsidRPr="00E925C7" w:rsidRDefault="008C17CB" w:rsidP="00E92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925C7">
        <w:rPr>
          <w:rFonts w:ascii="GHEA Grapalat" w:eastAsia="GHEA Grapalat" w:hAnsi="GHEA Grapalat" w:cs="GHEA Grapalat"/>
          <w:sz w:val="24"/>
          <w:szCs w:val="24"/>
        </w:rPr>
        <w:t>2) լուծարվող իրավաբանական անձի ընդհանուր կանոնադրական կապիտալի մաս կազմող միջոցները.</w:t>
      </w:r>
    </w:p>
    <w:p w:rsidR="00657F47" w:rsidRPr="00E925C7" w:rsidRDefault="008C17CB" w:rsidP="00E92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925C7">
        <w:rPr>
          <w:rFonts w:ascii="GHEA Grapalat" w:eastAsia="GHEA Grapalat" w:hAnsi="GHEA Grapalat" w:cs="GHEA Grapalat"/>
          <w:sz w:val="24"/>
          <w:szCs w:val="24"/>
        </w:rPr>
        <w:t>3) լուծարման գործընթացի ժամկետը, որը չի կարող գերազանցել 12 ամիսը.</w:t>
      </w:r>
    </w:p>
    <w:p w:rsidR="00657F47" w:rsidRPr="00E925C7" w:rsidRDefault="00862FEC" w:rsidP="00E92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>4</w:t>
      </w:r>
      <w:r w:rsidR="008C17CB" w:rsidRPr="00E925C7">
        <w:rPr>
          <w:rFonts w:ascii="GHEA Grapalat" w:eastAsia="GHEA Grapalat" w:hAnsi="GHEA Grapalat" w:cs="GHEA Grapalat"/>
          <w:sz w:val="24"/>
          <w:szCs w:val="24"/>
        </w:rPr>
        <w:t>) Հանձնաժողովի կազմը:</w:t>
      </w:r>
    </w:p>
    <w:p w:rsidR="00657F47" w:rsidRPr="00D93FD6" w:rsidRDefault="008C17CB" w:rsidP="00E92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925C7">
        <w:rPr>
          <w:rFonts w:ascii="GHEA Grapalat" w:eastAsia="GHEA Grapalat" w:hAnsi="GHEA Grapalat" w:cs="GHEA Grapalat"/>
          <w:sz w:val="24"/>
          <w:szCs w:val="24"/>
        </w:rPr>
        <w:tab/>
      </w:r>
      <w:r w:rsidR="00D93FD6">
        <w:rPr>
          <w:rFonts w:ascii="GHEA Grapalat" w:eastAsia="GHEA Grapalat" w:hAnsi="GHEA Grapalat" w:cs="GHEA Grapalat"/>
          <w:sz w:val="24"/>
          <w:szCs w:val="24"/>
          <w:lang w:val="en-US"/>
        </w:rPr>
        <w:t>3</w:t>
      </w:r>
      <w:r w:rsidRPr="00E925C7">
        <w:rPr>
          <w:rFonts w:ascii="GHEA Grapalat" w:eastAsia="GHEA Grapalat" w:hAnsi="GHEA Grapalat" w:cs="GHEA Grapalat"/>
          <w:sz w:val="24"/>
          <w:szCs w:val="24"/>
        </w:rPr>
        <w:t>. Հանձնաժողովի կազմում ընդգրկվում են առավելագույնը երկուական ներկայացուցիչներ՝ Արդարադատության նախարարության իրավաբանական անձանց պետական ռեգիստրի գործակալությունից, Ֆինանսների նախարարությունից, Պրոբացիայի ծառայությունից և Դատախազությունից</w:t>
      </w:r>
      <w:r w:rsidR="00D93FD6" w:rsidRPr="00E925C7">
        <w:rPr>
          <w:rFonts w:ascii="GHEA Grapalat" w:eastAsia="GHEA Grapalat" w:hAnsi="GHEA Grapalat" w:cs="GHEA Grapalat"/>
          <w:sz w:val="24"/>
          <w:szCs w:val="24"/>
        </w:rPr>
        <w:t>:</w:t>
      </w:r>
    </w:p>
    <w:p w:rsidR="00657F47" w:rsidRPr="00E925C7" w:rsidRDefault="008C17CB" w:rsidP="00E925C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sz w:val="24"/>
          <w:szCs w:val="24"/>
        </w:rPr>
        <w:tab/>
      </w:r>
      <w:r w:rsidR="00D93FD6">
        <w:rPr>
          <w:rFonts w:ascii="GHEA Grapalat" w:eastAsia="GHEA Grapalat" w:hAnsi="GHEA Grapalat" w:cs="GHEA Grapalat"/>
          <w:sz w:val="24"/>
          <w:szCs w:val="24"/>
          <w:lang w:val="en-US"/>
        </w:rPr>
        <w:t>4</w:t>
      </w:r>
      <w:r w:rsidRPr="00E925C7">
        <w:rPr>
          <w:rFonts w:ascii="GHEA Grapalat" w:eastAsia="GHEA Grapalat" w:hAnsi="GHEA Grapalat" w:cs="GHEA Grapalat"/>
          <w:sz w:val="24"/>
          <w:szCs w:val="24"/>
        </w:rPr>
        <w:t>.</w:t>
      </w:r>
      <w:r w:rsidRPr="00E925C7">
        <w:rPr>
          <w:rFonts w:ascii="GHEA Grapalat" w:eastAsia="Merriweather" w:hAnsi="GHEA Grapalat" w:cs="Merriweather"/>
        </w:rPr>
        <w:t xml:space="preserve"> 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Հանձնաժողովն իր աշխատանքները կազմակերպում է նիստերի միջոցով, որը ղեկավարում է Նախագահը: </w:t>
      </w:r>
    </w:p>
    <w:p w:rsidR="00657F47" w:rsidRPr="00E925C7" w:rsidRDefault="008C17CB" w:rsidP="00E925C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en-US"/>
        </w:rPr>
        <w:t>5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. Հանձնաժողովի 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en-US"/>
        </w:rPr>
        <w:t xml:space="preserve">նիստերը 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ենթակա են արձանագրման՝ Նախագահի կողմից համապատասխան արձանագրության կազմման միջոցով:</w:t>
      </w:r>
    </w:p>
    <w:p w:rsidR="00657F47" w:rsidRPr="00E925C7" w:rsidRDefault="008C17CB" w:rsidP="00E925C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ab/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en-US"/>
        </w:rPr>
        <w:t>6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 Հանձնաժողովի նիստերը իրավազոր են Հանձնաժողովի անդամների առնվազն կեսից ավելիի մասնակցության դեպքում:</w:t>
      </w:r>
    </w:p>
    <w:p w:rsidR="00657F47" w:rsidRPr="00E925C7" w:rsidRDefault="008C17CB" w:rsidP="00E925C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en-US"/>
        </w:rPr>
        <w:t>7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. </w:t>
      </w:r>
      <w:r w:rsidRPr="00E925C7">
        <w:rPr>
          <w:rFonts w:ascii="GHEA Grapalat" w:eastAsia="Tahoma" w:hAnsi="GHEA Grapalat" w:cs="Tahoma"/>
          <w:sz w:val="24"/>
          <w:szCs w:val="24"/>
          <w:highlight w:val="white"/>
        </w:rPr>
        <w:t xml:space="preserve">Հանձնաժողովի որոշումներն ընդունվում են նիստին ներկա </w:t>
      </w:r>
      <w:r w:rsidR="00D93FD6">
        <w:rPr>
          <w:rFonts w:ascii="GHEA Grapalat" w:eastAsia="Tahoma" w:hAnsi="GHEA Grapalat" w:cs="Tahoma"/>
          <w:sz w:val="24"/>
          <w:szCs w:val="24"/>
          <w:highlight w:val="white"/>
          <w:lang w:val="en-US"/>
        </w:rPr>
        <w:t>Հ</w:t>
      </w:r>
      <w:r w:rsidRPr="00E925C7">
        <w:rPr>
          <w:rFonts w:ascii="GHEA Grapalat" w:eastAsia="Tahoma" w:hAnsi="GHEA Grapalat" w:cs="Tahoma"/>
          <w:sz w:val="24"/>
          <w:szCs w:val="24"/>
          <w:highlight w:val="white"/>
        </w:rPr>
        <w:t xml:space="preserve">անձնաժողովի անդամների ձայների մեծամասնությամբ: Ձայների հավասարության դեպքում </w:t>
      </w:r>
      <w:r w:rsidR="00D93FD6">
        <w:rPr>
          <w:rFonts w:ascii="GHEA Grapalat" w:eastAsia="Tahoma" w:hAnsi="GHEA Grapalat" w:cs="Tahoma"/>
          <w:sz w:val="24"/>
          <w:szCs w:val="24"/>
          <w:highlight w:val="white"/>
          <w:lang w:val="en-US"/>
        </w:rPr>
        <w:t>Հ</w:t>
      </w:r>
      <w:r w:rsidRPr="00E925C7">
        <w:rPr>
          <w:rFonts w:ascii="GHEA Grapalat" w:eastAsia="Tahoma" w:hAnsi="GHEA Grapalat" w:cs="Tahoma"/>
          <w:sz w:val="24"/>
          <w:szCs w:val="24"/>
          <w:highlight w:val="white"/>
        </w:rPr>
        <w:t>անձնաժողովի նախագահի ձայնը որոշիչ է:</w:t>
      </w:r>
    </w:p>
    <w:p w:rsidR="00657F4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</w: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57F47" w:rsidRDefault="008C17CB">
      <w:pPr>
        <w:rPr>
          <w:rFonts w:ascii="GHEA Grapalat" w:eastAsia="GHEA Grapalat" w:hAnsi="GHEA Grapalat" w:cs="GHEA Grapalat"/>
          <w:sz w:val="24"/>
          <w:szCs w:val="24"/>
        </w:rPr>
      </w:pPr>
      <w:r>
        <w:br w:type="page"/>
      </w:r>
    </w:p>
    <w:p w:rsidR="00657F47" w:rsidRPr="00E0586D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center"/>
        <w:rPr>
          <w:rFonts w:ascii="GHEA Grapalat" w:eastAsia="GHEA Grapalat" w:hAnsi="GHEA Grapalat" w:cs="GHEA Grapalat"/>
          <w:color w:val="000000"/>
          <w:sz w:val="20"/>
          <w:szCs w:val="20"/>
          <w:highlight w:val="white"/>
        </w:rPr>
      </w:pPr>
      <w:bookmarkStart w:id="1" w:name="_heading=h.30j0zll" w:colFirst="0" w:colLast="0"/>
      <w:bookmarkEnd w:id="1"/>
      <w:r w:rsidRPr="00E0586D">
        <w:rPr>
          <w:rFonts w:ascii="GHEA Grapalat" w:eastAsia="GHEA Grapalat" w:hAnsi="GHEA Grapalat" w:cs="GHEA Grapalat"/>
          <w:color w:val="000000"/>
          <w:sz w:val="20"/>
          <w:szCs w:val="20"/>
          <w:highlight w:val="white"/>
        </w:rPr>
        <w:lastRenderedPageBreak/>
        <w:t>Հավելված 2</w:t>
      </w:r>
    </w:p>
    <w:p w:rsidR="00657F47" w:rsidRPr="00E0586D" w:rsidRDefault="008C1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804"/>
        <w:jc w:val="center"/>
        <w:rPr>
          <w:rFonts w:ascii="GHEA Grapalat" w:eastAsia="GHEA Grapalat" w:hAnsi="GHEA Grapalat" w:cs="GHEA Grapalat"/>
          <w:color w:val="000000"/>
          <w:sz w:val="20"/>
          <w:szCs w:val="20"/>
        </w:rPr>
      </w:pPr>
      <w:r w:rsidRPr="00E0586D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ՀՀ կառավարության 2022 թվականի </w:t>
      </w:r>
      <w:r w:rsidRPr="00E0586D">
        <w:rPr>
          <w:rFonts w:ascii="GHEA Grapalat" w:eastAsia="GHEA Grapalat" w:hAnsi="GHEA Grapalat" w:cs="GHEA Grapalat"/>
          <w:sz w:val="20"/>
          <w:szCs w:val="20"/>
        </w:rPr>
        <w:t>դեկտեմբերի</w:t>
      </w:r>
      <w:r w:rsidR="00D93FD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Pr="00E0586D">
        <w:rPr>
          <w:rFonts w:ascii="GHEA Grapalat" w:eastAsia="GHEA Grapalat" w:hAnsi="GHEA Grapalat" w:cs="GHEA Grapalat"/>
          <w:color w:val="000000"/>
          <w:sz w:val="20"/>
          <w:szCs w:val="20"/>
        </w:rPr>
        <w:t>-ի N</w:t>
      </w:r>
      <w:r w:rsidR="00D93FD6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 w:rsidRPr="00E0586D">
        <w:rPr>
          <w:rFonts w:ascii="GHEA Grapalat" w:eastAsia="GHEA Grapalat" w:hAnsi="GHEA Grapalat" w:cs="GHEA Grapalat"/>
          <w:color w:val="000000"/>
          <w:sz w:val="20"/>
          <w:szCs w:val="20"/>
        </w:rPr>
        <w:t>-Ն</w:t>
      </w:r>
    </w:p>
    <w:p w:rsidR="00657F47" w:rsidRPr="00E0586D" w:rsidRDefault="008C17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center"/>
        <w:rPr>
          <w:rFonts w:ascii="GHEA Grapalat" w:eastAsia="GHEA Grapalat" w:hAnsi="GHEA Grapalat" w:cs="GHEA Grapalat"/>
          <w:sz w:val="20"/>
          <w:szCs w:val="20"/>
        </w:rPr>
      </w:pPr>
      <w:r w:rsidRPr="00E0586D">
        <w:rPr>
          <w:rFonts w:ascii="GHEA Grapalat" w:eastAsia="GHEA Grapalat" w:hAnsi="GHEA Grapalat" w:cs="GHEA Grapalat"/>
          <w:sz w:val="20"/>
          <w:szCs w:val="20"/>
        </w:rPr>
        <w:t>որոշման</w:t>
      </w:r>
    </w:p>
    <w:p w:rsidR="00657F47" w:rsidRDefault="00D93FD6" w:rsidP="00D93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ԿԱՐԳ</w:t>
      </w:r>
    </w:p>
    <w:p w:rsidR="00657F47" w:rsidRDefault="008C17CB" w:rsidP="00D93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ԻՐԱՎԱԲԱՆԱԿԱՆ ԱՆՁԻ ՀԱՐԿԱԴԻՐ ԼՈՒԾԱՐՄԱՆ</w:t>
      </w:r>
      <w:r w:rsidR="00D93FD6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</w:p>
    <w:p w:rsidR="00657F47" w:rsidRDefault="00657F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ab/>
      </w:r>
      <w:r w:rsidRPr="00E925C7">
        <w:rPr>
          <w:rFonts w:ascii="GHEA Grapalat" w:eastAsia="GHEA Grapalat" w:hAnsi="GHEA Grapalat" w:cs="GHEA Grapalat"/>
          <w:sz w:val="24"/>
          <w:szCs w:val="24"/>
        </w:rPr>
        <w:t>1. Ձևավորման պահից Հանձնաժողովին են անցնում իրավաբանական անձի գործերի կառավարման լիազորություններ, այդ թվում՝ լուծարվող իրավաբանական անձի անունից ներկայացուցչությունը: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>2. Հանձնաժողովն իրավասու է լուծարվող կազմակերպության՝ պարտատերերի պահանջների ներկայացման համար սահմանելու ժամկետ՝ լու</w:t>
      </w:r>
      <w:r w:rsidRPr="00E925C7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ծարման մասին հրապարակման պահից՝ 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առնվազն 4 ամիս տևողությամբ:</w:t>
      </w:r>
    </w:p>
    <w:p w:rsidR="00657F47" w:rsidRPr="00E925C7" w:rsidRDefault="008C17CB">
      <w:pPr>
        <w:shd w:val="clear" w:color="auto" w:fill="FFFFFF"/>
        <w:tabs>
          <w:tab w:val="left" w:pos="851"/>
          <w:tab w:val="left" w:pos="1080"/>
          <w:tab w:val="left" w:pos="126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 xml:space="preserve">3. </w:t>
      </w:r>
      <w:r w:rsidRPr="00E925C7">
        <w:rPr>
          <w:rFonts w:ascii="GHEA Grapalat" w:eastAsia="Tahoma" w:hAnsi="GHEA Grapalat" w:cs="Tahoma"/>
          <w:sz w:val="24"/>
          <w:szCs w:val="24"/>
          <w:highlight w:val="white"/>
        </w:rPr>
        <w:t>Պարտատերերի կողմից պահանջների ներկայացման ժամկետի ավարտից հետո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Հանձնաժողովը լուծարվող կազմակերպության պարտատերերի հետ իրականացում է հաշվարկ՝ իրավաբանական անձի գույքի կազմի, պարտատերերի ներկայացրած պահանջների ցանկի, ինչպես նաև պահանջների քննարկման արդյունքների մասին, կազմելով՝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լուծարման միջանկյալ հաշվեկշիռ:</w:t>
      </w:r>
    </w:p>
    <w:p w:rsidR="00657F47" w:rsidRPr="00E925C7" w:rsidRDefault="008C17CB" w:rsidP="00E925C7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 xml:space="preserve">4. </w:t>
      </w:r>
      <w:r w:rsidR="00E925C7" w:rsidRPr="00E925C7">
        <w:rPr>
          <w:rFonts w:ascii="GHEA Grapalat" w:hAnsi="GHEA Grapalat"/>
          <w:sz w:val="24"/>
          <w:szCs w:val="24"/>
        </w:rPr>
        <w:t>Հանձնաժողովը լուծարման հաշվեկշիռ կազմում է պարտատերերի հետ հաշվարկներն ավարտելուց հետո և եռօրյա ժամկետում հաստատման է ներկայ</w:t>
      </w:r>
      <w:r w:rsidR="00D93FD6">
        <w:rPr>
          <w:rFonts w:ascii="GHEA Grapalat" w:hAnsi="GHEA Grapalat"/>
          <w:sz w:val="24"/>
          <w:szCs w:val="24"/>
          <w:lang w:val="en-US"/>
        </w:rPr>
        <w:t>ա</w:t>
      </w:r>
      <w:r w:rsidR="00E925C7" w:rsidRPr="00E925C7">
        <w:rPr>
          <w:rFonts w:ascii="GHEA Grapalat" w:hAnsi="GHEA Grapalat"/>
          <w:sz w:val="24"/>
          <w:szCs w:val="24"/>
        </w:rPr>
        <w:t xml:space="preserve">ցվում Պրոբացիայի ծառայության </w:t>
      </w:r>
      <w:r w:rsidR="00D93FD6">
        <w:rPr>
          <w:rFonts w:ascii="GHEA Grapalat" w:hAnsi="GHEA Grapalat"/>
          <w:sz w:val="24"/>
          <w:szCs w:val="24"/>
          <w:lang w:val="en-US"/>
        </w:rPr>
        <w:t>պետ</w:t>
      </w:r>
      <w:r w:rsidR="00E925C7" w:rsidRPr="00E925C7">
        <w:rPr>
          <w:rFonts w:ascii="GHEA Grapalat" w:hAnsi="GHEA Grapalat"/>
          <w:sz w:val="24"/>
          <w:szCs w:val="24"/>
        </w:rPr>
        <w:t xml:space="preserve">ին: Հաստատված լուծարման հաշվեկշիռը լուծարման </w:t>
      </w:r>
      <w:r w:rsidR="00D93FD6">
        <w:rPr>
          <w:rFonts w:ascii="GHEA Grapalat" w:hAnsi="GHEA Grapalat"/>
          <w:sz w:val="24"/>
          <w:szCs w:val="24"/>
          <w:lang w:val="en-US"/>
        </w:rPr>
        <w:t>Հ</w:t>
      </w:r>
      <w:r w:rsidR="00E925C7" w:rsidRPr="00E925C7">
        <w:rPr>
          <w:rFonts w:ascii="GHEA Grapalat" w:hAnsi="GHEA Grapalat"/>
          <w:sz w:val="24"/>
          <w:szCs w:val="24"/>
        </w:rPr>
        <w:t>անձնաժողովը ներկայացնում է Արդարադատության նախարարության իրավաբանական անձանց պետական ռեգիստրի գործակալություն: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 xml:space="preserve">5. Լուծարվող կազմակերպության պարտատերերի պահանջները՝ ըստ ներկայացման հերթականության, բավարարվում են 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en-US"/>
        </w:rPr>
        <w:t>հետևյալ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հաջորդականությամբ՝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>1) գույքի գրավով ապահովված պարտավորություններ.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>2) քաղաքացիների կյանքին կամ առողջությանը պատճառված վնաս` համապատասխան պարբերական վճարումների կապիտալացման միջոցով.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>3) աշխատանքային պայմանագրով աշխատող անձանց արձակման նպաստների, աշխատավարձի և հեղինակային պայմանագրերով վարձատրությունը.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ab/>
        <w:t>4) բյուջե կատարվող պարտադիր վճարների պարտքը.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 xml:space="preserve">5) մնացած պարտատերերի </w:t>
      </w:r>
      <w:r w:rsidRPr="00E925C7">
        <w:rPr>
          <w:rFonts w:ascii="GHEA Grapalat" w:eastAsia="GHEA Grapalat" w:hAnsi="GHEA Grapalat" w:cs="GHEA Grapalat"/>
          <w:sz w:val="24"/>
          <w:szCs w:val="24"/>
          <w:highlight w:val="white"/>
        </w:rPr>
        <w:t>հանդեպ ունեցած պարտավորություններ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` բացառությամբ ստորադաս փոխառություններով պարտատերերի.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>6) փոխառություններով պարտատերերի հ</w:t>
      </w:r>
      <w:r w:rsidRPr="00E925C7">
        <w:rPr>
          <w:rFonts w:ascii="GHEA Grapalat" w:eastAsia="GHEA Grapalat" w:hAnsi="GHEA Grapalat" w:cs="GHEA Grapalat"/>
          <w:sz w:val="24"/>
          <w:szCs w:val="24"/>
          <w:highlight w:val="white"/>
        </w:rPr>
        <w:t>անդեպ ունեցած պարտավորություններ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: 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>6. Հանձնաժողովի կողմից պարտատիրոջ պահանջների բավարարումը մերժելու կամ դրանք քննարկելուց խուսափելու դեպքում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en-US"/>
        </w:rPr>
        <w:t>՝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մինչև իրավաբանական անձի լուծարման հաշվեկշռի հաստատումը պարտատերն իրավունք ունի Հայաստանի Հանրապետության քաղաքացիական օրենսգրքի 70-րդ հոդվածի 2-րդ մասով սահմանված կարգով հայց հարուցել ընդդեմ Հանձնաժողովի:</w:t>
      </w:r>
    </w:p>
    <w:p w:rsidR="00657F47" w:rsidRPr="00E925C7" w:rsidRDefault="008C17CB">
      <w:pPr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>7. Լուծարվող իրավաբանական անձի լուծարման եզրափակիչ ակտը պետք է պարունակի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հետևյալ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տեղեկություններ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ը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657F47" w:rsidRPr="00E925C7" w:rsidRDefault="008C17CB">
      <w:pPr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>1) իրենց պահանջները ներկայացրած պարտատերերի պահանջների բավարարման.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>2) վիճելի պահանջների.</w:t>
      </w:r>
    </w:p>
    <w:p w:rsidR="00657F47" w:rsidRPr="00E925C7" w:rsidRDefault="008C17CB">
      <w:pPr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>3) իրենց պահանջները չներկայացրած հայտնի պարտատերերի.</w:t>
      </w:r>
    </w:p>
    <w:p w:rsidR="00657F47" w:rsidRPr="00E925C7" w:rsidRDefault="008C17CB">
      <w:pPr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>4) իրենց պահանջները չներկայացրած հայտնի պարտատերերի պահանջների բավարարման նպատակով անհրաժեշտ դրամական միջոցների դեպոնացման.</w:t>
      </w:r>
    </w:p>
    <w:p w:rsidR="00657F47" w:rsidRPr="00E925C7" w:rsidRDefault="008C17CB">
      <w:pPr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>5) սահմանված ժամկետի ավարտից հետո դիմած պարտատերերի, ներկայացրած պահանջների.</w:t>
      </w:r>
    </w:p>
    <w:p w:rsidR="00657F47" w:rsidRPr="00E925C7" w:rsidRDefault="008C17CB">
      <w:pPr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 xml:space="preserve">6) լուծարվող իրավաբանական անձի կանոնադրական կապիտալում առկա մնացած գույքը կազմակերպության հիմադիրների (մասնակիցների) միջև բաշխելու վերաբերյալ: 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  <w:t>8. Հանձնաժողովի կողմից պահանջներ ներկայացնելու համար սահմանված ժամկետի ավարտից հետո պարտատիրոջ ներկայացրած պահանջները բավարարվում են լուծարված իրավաբանական անձի գույքից, որը մնացել է պարտատերերի` ժամանակին ներկայացված պահանջները բավարարելուց հետո: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ab/>
      </w:r>
      <w:r w:rsidRPr="00E925C7">
        <w:rPr>
          <w:rFonts w:ascii="GHEA Grapalat" w:eastAsia="GHEA Grapalat" w:hAnsi="GHEA Grapalat" w:cs="GHEA Grapalat"/>
          <w:sz w:val="24"/>
          <w:szCs w:val="24"/>
          <w:highlight w:val="white"/>
        </w:rPr>
        <w:t>9. Հանձնաժողովի մերժած պահանջները, եթե պարտատերը հայցով չի դիմել դատարան, ինչպես նաև դատարանի վճռով մերժված պահանջները համարվում են ամբողջությամբ մարված: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ab/>
        <w:t>1</w:t>
      </w:r>
      <w:r w:rsidRPr="00E925C7">
        <w:rPr>
          <w:rFonts w:ascii="GHEA Grapalat" w:eastAsia="GHEA Grapalat" w:hAnsi="GHEA Grapalat" w:cs="GHEA Grapalat"/>
          <w:sz w:val="24"/>
          <w:szCs w:val="24"/>
          <w:highlight w:val="white"/>
        </w:rPr>
        <w:t>0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. 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>Հարկադիր լուծարված իրավաբանական անձի գույքը՝ պարտատերերի պահանջները բավարարելուց հետո, Հանձնաժողովի համապատասխան որոշման հիման վրա փոխանցվում է նրա հիմնադիրներին (մասնակիցներին կամ բաժնետերերին), եթե այլ բան նախատեսված չէ օրենքով, այլ իրավական ակտերով, ինչպես նաև լուծարվող իրավաբանական անձի կանոնադրությամբ:</w:t>
      </w:r>
    </w:p>
    <w:p w:rsidR="00657F47" w:rsidRPr="00E925C7" w:rsidRDefault="008C17C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ab/>
        <w:t>1</w:t>
      </w:r>
      <w:r w:rsidRPr="00E925C7">
        <w:rPr>
          <w:rFonts w:ascii="GHEA Grapalat" w:eastAsia="GHEA Grapalat" w:hAnsi="GHEA Grapalat" w:cs="GHEA Grapalat"/>
          <w:sz w:val="24"/>
          <w:szCs w:val="24"/>
        </w:rPr>
        <w:t>1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>. Հանձնաժ</w:t>
      </w:r>
      <w:r w:rsidR="00D93FD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ո</w:t>
      </w:r>
      <w:r w:rsidRPr="00E925C7">
        <w:rPr>
          <w:rFonts w:ascii="GHEA Grapalat" w:eastAsia="GHEA Grapalat" w:hAnsi="GHEA Grapalat" w:cs="GHEA Grapalat"/>
          <w:color w:val="000000"/>
          <w:sz w:val="24"/>
          <w:szCs w:val="24"/>
        </w:rPr>
        <w:t>ղովի անդամները կրում են համապարտ պատասխանատվություն՝ իրենց մեղքով իրավաբանական անձին կամ այլ անձանց պատճառած վնասների համար:</w:t>
      </w:r>
    </w:p>
    <w:p w:rsidR="00657F47" w:rsidRDefault="00657F47">
      <w:pPr>
        <w:tabs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sz w:val="28"/>
          <w:szCs w:val="28"/>
        </w:rPr>
      </w:pPr>
    </w:p>
    <w:sectPr w:rsidR="00657F47" w:rsidSect="00657F47">
      <w:headerReference w:type="default" r:id="rId7"/>
      <w:pgSz w:w="12240" w:h="15840"/>
      <w:pgMar w:top="925" w:right="567" w:bottom="567" w:left="1134" w:header="144" w:footer="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B8" w:rsidRDefault="00C108B8" w:rsidP="00657F47">
      <w:pPr>
        <w:spacing w:after="0" w:line="240" w:lineRule="auto"/>
      </w:pPr>
      <w:r>
        <w:separator/>
      </w:r>
    </w:p>
  </w:endnote>
  <w:endnote w:type="continuationSeparator" w:id="0">
    <w:p w:rsidR="00C108B8" w:rsidRDefault="00C108B8" w:rsidP="0065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B8" w:rsidRDefault="00C108B8" w:rsidP="00657F47">
      <w:pPr>
        <w:spacing w:after="0" w:line="240" w:lineRule="auto"/>
      </w:pPr>
      <w:r>
        <w:separator/>
      </w:r>
    </w:p>
  </w:footnote>
  <w:footnote w:type="continuationSeparator" w:id="0">
    <w:p w:rsidR="00C108B8" w:rsidRDefault="00C108B8" w:rsidP="0065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47" w:rsidRDefault="008C17C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b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ab/>
    </w:r>
    <w:r>
      <w:rPr>
        <w:rFonts w:ascii="GHEA Grapalat" w:eastAsia="GHEA Grapalat" w:hAnsi="GHEA Grapalat" w:cs="GHEA Grapalat"/>
        <w:b/>
        <w:color w:val="000000"/>
        <w:sz w:val="20"/>
        <w:szCs w:val="20"/>
      </w:rPr>
      <w:t>Արդարադատության</w:t>
    </w:r>
    <w:r w:rsidR="00D93FD6">
      <w:rPr>
        <w:rFonts w:ascii="GHEA Grapalat" w:eastAsia="GHEA Grapalat" w:hAnsi="GHEA Grapalat" w:cs="GHEA Grapalat"/>
        <w:b/>
        <w:color w:val="000000"/>
        <w:sz w:val="20"/>
        <w:szCs w:val="20"/>
      </w:rPr>
      <w:t xml:space="preserve">              </w:t>
    </w:r>
    <w:r>
      <w:rPr>
        <w:rFonts w:ascii="GHEA Grapalat" w:eastAsia="GHEA Grapalat" w:hAnsi="GHEA Grapalat" w:cs="GHEA Grapalat"/>
        <w:b/>
        <w:color w:val="000000"/>
        <w:sz w:val="20"/>
        <w:szCs w:val="20"/>
      </w:rPr>
      <w:tab/>
    </w:r>
    <w:r w:rsidR="00D93FD6">
      <w:rPr>
        <w:rFonts w:ascii="GHEA Grapalat" w:eastAsia="GHEA Grapalat" w:hAnsi="GHEA Grapalat" w:cs="GHEA Grapalat"/>
        <w:b/>
        <w:color w:val="000000"/>
        <w:sz w:val="20"/>
        <w:szCs w:val="20"/>
        <w:lang w:val="en-US"/>
      </w:rPr>
      <w:t xml:space="preserve">  </w:t>
    </w:r>
    <w:r>
      <w:rPr>
        <w:rFonts w:ascii="GHEA Grapalat" w:eastAsia="GHEA Grapalat" w:hAnsi="GHEA Grapalat" w:cs="GHEA Grapalat"/>
        <w:b/>
        <w:color w:val="000000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-617854</wp:posOffset>
          </wp:positionH>
          <wp:positionV relativeFrom="paragraph">
            <wp:posOffset>11430</wp:posOffset>
          </wp:positionV>
          <wp:extent cx="457200" cy="444500"/>
          <wp:effectExtent l="0" t="0" r="0" b="0"/>
          <wp:wrapSquare wrapText="bothSides" distT="0" distB="0" distL="0" distR="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57F47" w:rsidRDefault="008C17C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b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Նախարարություն</w:t>
    </w:r>
  </w:p>
  <w:p w:rsidR="00657F47" w:rsidRDefault="00657F4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sz w:val="18"/>
        <w:szCs w:val="18"/>
      </w:rPr>
    </w:pPr>
  </w:p>
  <w:p w:rsidR="00657F47" w:rsidRDefault="00657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7700"/>
        <w:tab w:val="right" w:pos="9360"/>
        <w:tab w:val="right" w:pos="10539"/>
      </w:tabs>
      <w:spacing w:after="0" w:line="240" w:lineRule="auto"/>
      <w:rPr>
        <w:rFonts w:ascii="GHEA Grapalat" w:eastAsia="GHEA Grapalat" w:hAnsi="GHEA Grapalat" w:cs="GHEA Grapalat"/>
        <w:b/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F47"/>
    <w:rsid w:val="002E0E75"/>
    <w:rsid w:val="00657F47"/>
    <w:rsid w:val="00862FEC"/>
    <w:rsid w:val="008C17CB"/>
    <w:rsid w:val="00C108B8"/>
    <w:rsid w:val="00D138AC"/>
    <w:rsid w:val="00D93FD6"/>
    <w:rsid w:val="00E0586D"/>
    <w:rsid w:val="00E72ACE"/>
    <w:rsid w:val="00E9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D8"/>
  </w:style>
  <w:style w:type="paragraph" w:styleId="Heading1">
    <w:name w:val="heading 1"/>
    <w:basedOn w:val="Normal3"/>
    <w:next w:val="Normal3"/>
    <w:rsid w:val="00101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rsid w:val="00101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rsid w:val="00101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101A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101A0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rsid w:val="00101A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57F47"/>
  </w:style>
  <w:style w:type="paragraph" w:styleId="Title">
    <w:name w:val="Title"/>
    <w:basedOn w:val="Normal3"/>
    <w:next w:val="Normal3"/>
    <w:rsid w:val="00101A0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734FA"/>
  </w:style>
  <w:style w:type="paragraph" w:customStyle="1" w:styleId="Normal2">
    <w:name w:val="Normal2"/>
    <w:rsid w:val="00051A50"/>
  </w:style>
  <w:style w:type="paragraph" w:customStyle="1" w:styleId="Normal3">
    <w:name w:val="Normal3"/>
    <w:rsid w:val="00101A0B"/>
  </w:style>
  <w:style w:type="paragraph" w:customStyle="1" w:styleId="dec-date">
    <w:name w:val="dec-dat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33"/>
  </w:style>
  <w:style w:type="paragraph" w:styleId="Footer">
    <w:name w:val="footer"/>
    <w:basedOn w:val="Normal"/>
    <w:link w:val="Foot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33"/>
  </w:style>
  <w:style w:type="paragraph" w:styleId="Subtitle">
    <w:name w:val="Subtitle"/>
    <w:basedOn w:val="Normal"/>
    <w:next w:val="Normal"/>
    <w:rsid w:val="00657F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51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Bullets,List Paragraph nowy,Liste 1,Paragraphe de liste PBLH,Dot pt,F5 List Paragraph,Bullet1,3"/>
    <w:basedOn w:val="Normal"/>
    <w:link w:val="ListParagraphChar"/>
    <w:uiPriority w:val="34"/>
    <w:qFormat/>
    <w:rsid w:val="000F25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7202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Bullets Char,List Paragraph nowy Char,Liste 1 Char"/>
    <w:link w:val="ListParagraph"/>
    <w:uiPriority w:val="34"/>
    <w:qFormat/>
    <w:rsid w:val="00C24FFC"/>
  </w:style>
  <w:style w:type="paragraph" w:styleId="CommentText">
    <w:name w:val="annotation text"/>
    <w:basedOn w:val="Normal"/>
    <w:link w:val="CommentTextChar"/>
    <w:uiPriority w:val="99"/>
    <w:semiHidden/>
    <w:unhideWhenUsed/>
    <w:rsid w:val="0065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F4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7F4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0VpV8FS/A4pzzBAlfKJeNQztEw==">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Ar-Lazaryan</cp:lastModifiedBy>
  <cp:revision>5</cp:revision>
  <dcterms:created xsi:type="dcterms:W3CDTF">2022-12-20T14:36:00Z</dcterms:created>
  <dcterms:modified xsi:type="dcterms:W3CDTF">2022-12-20T15:10:00Z</dcterms:modified>
</cp:coreProperties>
</file>