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EA" w:rsidRPr="006067F9" w:rsidRDefault="003C6AEA" w:rsidP="003C6AEA">
      <w:pPr>
        <w:spacing w:after="0" w:line="240" w:lineRule="auto"/>
        <w:ind w:left="301"/>
        <w:jc w:val="right"/>
        <w:rPr>
          <w:rFonts w:ascii="GHEA Grapalat" w:hAnsi="GHEA Grapalat" w:cs="Sylfaen"/>
          <w:sz w:val="20"/>
          <w:szCs w:val="20"/>
        </w:rPr>
      </w:pPr>
      <w:r w:rsidRPr="006067F9">
        <w:rPr>
          <w:rFonts w:ascii="GHEA Grapalat" w:hAnsi="GHEA Grapalat" w:cs="Sylfaen"/>
          <w:sz w:val="20"/>
          <w:szCs w:val="20"/>
          <w:lang w:val="nl-NL"/>
        </w:rPr>
        <w:t>Հավելված</w:t>
      </w:r>
      <w:r w:rsidRPr="006067F9">
        <w:rPr>
          <w:rFonts w:ascii="GHEA Grapalat" w:hAnsi="GHEA Grapalat" w:cs="Sylfaen"/>
          <w:sz w:val="20"/>
          <w:szCs w:val="20"/>
        </w:rPr>
        <w:t xml:space="preserve"> </w:t>
      </w:r>
      <w:r w:rsidRPr="006067F9">
        <w:rPr>
          <w:rFonts w:ascii="GHEA Grapalat" w:hAnsi="GHEA Grapalat" w:cs="Sylfaen"/>
          <w:sz w:val="20"/>
          <w:szCs w:val="20"/>
          <w:lang w:val="en-US"/>
        </w:rPr>
        <w:t>1</w:t>
      </w:r>
      <w:r w:rsidRPr="006067F9">
        <w:rPr>
          <w:rFonts w:ascii="GHEA Grapalat" w:hAnsi="GHEA Grapalat" w:cs="Sylfaen"/>
          <w:sz w:val="20"/>
          <w:szCs w:val="20"/>
        </w:rPr>
        <w:t xml:space="preserve"> </w:t>
      </w:r>
    </w:p>
    <w:p w:rsidR="003C6AEA" w:rsidRPr="006067F9" w:rsidRDefault="003C6AEA" w:rsidP="003C6AEA">
      <w:pPr>
        <w:tabs>
          <w:tab w:val="left" w:pos="4875"/>
          <w:tab w:val="right" w:pos="10466"/>
        </w:tabs>
        <w:spacing w:after="0" w:line="240" w:lineRule="auto"/>
        <w:ind w:left="300"/>
        <w:jc w:val="right"/>
        <w:rPr>
          <w:rFonts w:ascii="GHEA Grapalat" w:hAnsi="GHEA Grapalat" w:cs="Sylfaen"/>
          <w:lang w:val="nl-NL"/>
        </w:rPr>
      </w:pPr>
      <w:r w:rsidRPr="006067F9">
        <w:rPr>
          <w:rFonts w:ascii="GHEA Grapalat" w:hAnsi="GHEA Grapalat" w:cs="Sylfaen"/>
        </w:rPr>
        <w:t xml:space="preserve">                                                                             </w:t>
      </w:r>
      <w:r w:rsidRPr="006067F9">
        <w:rPr>
          <w:rFonts w:ascii="GHEA Grapalat" w:hAnsi="GHEA Grapalat" w:cs="Sylfaen"/>
          <w:lang w:val="nl-NL"/>
        </w:rPr>
        <w:t xml:space="preserve"> </w:t>
      </w:r>
      <w:r w:rsidRPr="006067F9">
        <w:rPr>
          <w:rFonts w:ascii="GHEA Grapalat" w:hAnsi="GHEA Grapalat" w:cs="Sylfaen"/>
          <w:lang w:val="hy-AM"/>
        </w:rPr>
        <w:t>ՀՀ</w:t>
      </w:r>
      <w:r w:rsidRPr="006067F9">
        <w:rPr>
          <w:rFonts w:ascii="GHEA Grapalat" w:hAnsi="GHEA Grapalat" w:cs="Sylfaen"/>
          <w:lang w:val="nl-NL"/>
        </w:rPr>
        <w:t xml:space="preserve"> </w:t>
      </w:r>
      <w:r w:rsidRPr="006067F9">
        <w:rPr>
          <w:rFonts w:ascii="GHEA Grapalat" w:hAnsi="GHEA Grapalat" w:cs="Sylfaen"/>
          <w:lang w:val="hy-AM"/>
        </w:rPr>
        <w:t>Լոռու</w:t>
      </w:r>
      <w:r w:rsidRPr="006067F9">
        <w:rPr>
          <w:rFonts w:ascii="GHEA Grapalat" w:hAnsi="GHEA Grapalat" w:cs="Sylfaen"/>
          <w:lang w:val="nl-NL"/>
        </w:rPr>
        <w:t xml:space="preserve"> </w:t>
      </w:r>
      <w:r w:rsidRPr="006067F9">
        <w:rPr>
          <w:rFonts w:ascii="GHEA Grapalat" w:hAnsi="GHEA Grapalat" w:cs="Sylfaen"/>
          <w:lang w:val="hy-AM"/>
        </w:rPr>
        <w:t>մարզ</w:t>
      </w:r>
      <w:r w:rsidRPr="006067F9">
        <w:rPr>
          <w:rFonts w:ascii="GHEA Grapalat" w:hAnsi="GHEA Grapalat" w:cs="Sylfaen"/>
          <w:lang w:val="nl-NL"/>
        </w:rPr>
        <w:t xml:space="preserve"> Տաշիր համայնքի ավագանու</w:t>
      </w:r>
    </w:p>
    <w:p w:rsidR="003C6AEA" w:rsidRPr="006067F9" w:rsidRDefault="003C6AEA" w:rsidP="003C6AEA">
      <w:pPr>
        <w:tabs>
          <w:tab w:val="left" w:pos="3064"/>
        </w:tabs>
        <w:spacing w:after="0" w:line="240" w:lineRule="auto"/>
        <w:jc w:val="right"/>
        <w:rPr>
          <w:rFonts w:ascii="GHEA Grapalat" w:hAnsi="GHEA Grapalat"/>
          <w:u w:val="single"/>
          <w:lang w:val="hy-AM"/>
        </w:rPr>
      </w:pPr>
      <w:r w:rsidRPr="006067F9">
        <w:rPr>
          <w:rFonts w:ascii="GHEA Grapalat" w:hAnsi="GHEA Grapalat" w:cs="Sylfaen"/>
          <w:lang w:val="nl-NL"/>
        </w:rPr>
        <w:t xml:space="preserve">                                                                                2022 թ  --------------------   N </w:t>
      </w:r>
      <w:r w:rsidRPr="006067F9">
        <w:rPr>
          <w:rFonts w:ascii="GHEA Grapalat" w:hAnsi="GHEA Grapalat" w:cs="Sylfaen"/>
          <w:lang w:val="hy-AM"/>
        </w:rPr>
        <w:t>-</w:t>
      </w:r>
      <w:r w:rsidRPr="006067F9">
        <w:rPr>
          <w:rFonts w:ascii="GHEA Grapalat" w:hAnsi="GHEA Grapalat" w:cs="Sylfaen"/>
        </w:rPr>
        <w:t>Ն</w:t>
      </w:r>
      <w:r w:rsidRPr="006067F9">
        <w:rPr>
          <w:rFonts w:ascii="GHEA Grapalat" w:hAnsi="GHEA Grapalat" w:cs="Sylfaen"/>
          <w:lang w:val="nl-NL"/>
        </w:rPr>
        <w:t xml:space="preserve"> որոշման</w:t>
      </w:r>
    </w:p>
    <w:p w:rsidR="003C6AEA" w:rsidRPr="006067F9" w:rsidRDefault="003C6AEA" w:rsidP="003C6AEA">
      <w:pPr>
        <w:tabs>
          <w:tab w:val="left" w:pos="709"/>
        </w:tabs>
        <w:spacing w:after="0" w:line="24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C6AEA" w:rsidRPr="006067F9" w:rsidRDefault="003C6AEA" w:rsidP="003C6AEA">
      <w:pPr>
        <w:tabs>
          <w:tab w:val="left" w:pos="709"/>
        </w:tabs>
        <w:spacing w:after="0" w:line="240" w:lineRule="auto"/>
        <w:ind w:left="720"/>
        <w:jc w:val="center"/>
        <w:rPr>
          <w:rFonts w:ascii="GHEA Grapalat" w:hAnsi="GHEA Grapalat" w:cs="Sylfaen"/>
          <w:b/>
          <w:sz w:val="24"/>
          <w:szCs w:val="24"/>
          <w:lang w:val="nl-NL"/>
        </w:rPr>
      </w:pPr>
      <w:r w:rsidRPr="006067F9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ԼՈՌՈՒ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ՏԱՇԻՐԻ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ՏԱՐԱԾՔՈՒՄ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202</w:t>
      </w:r>
      <w:r w:rsidR="006067F9" w:rsidRPr="006067F9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ՀԱՄԱՐ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ՏԵՂԱԿԱՆ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ՏՈՒՐՔԵՐԻ</w:t>
      </w:r>
      <w:r w:rsidRPr="006067F9">
        <w:rPr>
          <w:rFonts w:ascii="GHEA Grapalat" w:hAnsi="GHEA Grapalat" w:cs="Sylfaen"/>
          <w:b/>
          <w:sz w:val="24"/>
          <w:szCs w:val="24"/>
          <w:lang w:val="nl-NL"/>
        </w:rPr>
        <w:t xml:space="preserve"> </w:t>
      </w:r>
      <w:r w:rsidRPr="006067F9">
        <w:rPr>
          <w:rFonts w:ascii="GHEA Grapalat" w:hAnsi="GHEA Grapalat" w:cs="Sylfaen"/>
          <w:b/>
          <w:sz w:val="24"/>
          <w:szCs w:val="24"/>
          <w:lang w:val="hy-AM"/>
        </w:rPr>
        <w:t>ՏԵՍԱԿՆԵՐՆ ՈՒ ԴՐՈՒՅՔԱՉԱՓԵՐԸ</w:t>
      </w:r>
    </w:p>
    <w:p w:rsidR="003C6AEA" w:rsidRPr="006067F9" w:rsidRDefault="003C6AEA" w:rsidP="003C6AEA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nl-NL"/>
        </w:rPr>
      </w:pPr>
    </w:p>
    <w:p w:rsidR="003C6AEA" w:rsidRPr="006067F9" w:rsidRDefault="003C6AEA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1.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համայնքներում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սահմանվում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տեղական</w:t>
      </w:r>
      <w:hyperlink r:id="rId4" w:history="1">
        <w:r w:rsidRPr="006067F9">
          <w:rPr>
            <w:rStyle w:val="a4"/>
            <w:rFonts w:ascii="Calibri" w:hAnsi="Calibri" w:cs="Calibri"/>
            <w:sz w:val="21"/>
            <w:szCs w:val="21"/>
            <w:lang w:val="nl-NL"/>
          </w:rPr>
          <w:t> </w:t>
        </w:r>
        <w:r w:rsidRPr="006067F9">
          <w:rPr>
            <w:rStyle w:val="a4"/>
            <w:rFonts w:ascii="GHEA Grapalat" w:hAnsi="GHEA Grapalat" w:cs="Arial Unicode"/>
            <w:sz w:val="21"/>
            <w:szCs w:val="21"/>
          </w:rPr>
          <w:t>տուրքերի</w:t>
        </w:r>
        <w:r w:rsidRPr="006067F9">
          <w:rPr>
            <w:rStyle w:val="a4"/>
            <w:rFonts w:ascii="GHEA Grapalat" w:hAnsi="GHEA Grapalat"/>
            <w:sz w:val="21"/>
            <w:szCs w:val="21"/>
            <w:lang w:val="nl-NL"/>
          </w:rPr>
          <w:t xml:space="preserve"> </w:t>
        </w:r>
        <w:r w:rsidRPr="006067F9">
          <w:rPr>
            <w:rStyle w:val="a4"/>
            <w:rFonts w:ascii="GHEA Grapalat" w:hAnsi="GHEA Grapalat" w:cs="Arial Unicode"/>
            <w:sz w:val="21"/>
            <w:szCs w:val="21"/>
          </w:rPr>
          <w:t>հետևյալ</w:t>
        </w:r>
        <w:r w:rsidRPr="006067F9">
          <w:rPr>
            <w:rStyle w:val="a4"/>
            <w:rFonts w:ascii="GHEA Grapalat" w:hAnsi="GHEA Grapalat"/>
            <w:sz w:val="21"/>
            <w:szCs w:val="21"/>
            <w:lang w:val="nl-NL"/>
          </w:rPr>
          <w:t xml:space="preserve"> </w:t>
        </w:r>
        <w:r w:rsidRPr="006067F9">
          <w:rPr>
            <w:rStyle w:val="a4"/>
            <w:rFonts w:ascii="GHEA Grapalat" w:hAnsi="GHEA Grapalat" w:cs="Arial Unicode"/>
            <w:sz w:val="21"/>
            <w:szCs w:val="21"/>
          </w:rPr>
          <w:t>դրույքաչափերը</w:t>
        </w:r>
      </w:hyperlink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1)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օրենսդրությամբ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կարգով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հաստատված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ճարտարապետաշինարարական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նախագծին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համապատասխան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տեղադրման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>) (</w:t>
      </w:r>
      <w:r w:rsidRPr="006067F9">
        <w:rPr>
          <w:rFonts w:ascii="GHEA Grapalat" w:hAnsi="GHEA Grapalat"/>
          <w:color w:val="000000"/>
          <w:sz w:val="21"/>
          <w:szCs w:val="21"/>
        </w:rPr>
        <w:t>բացառությամբ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օրենսդրությամբ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թույլտվություն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չպահանջող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դեպքերի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6067F9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300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անհատական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այդ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այգեգործական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ամառանոցային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տների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ինչպես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հասարակական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տասնհինգ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սույն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«</w:t>
      </w: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» </w:t>
      </w:r>
      <w:r w:rsidRPr="006067F9">
        <w:rPr>
          <w:rFonts w:ascii="GHEA Grapalat" w:hAnsi="GHEA Grapalat"/>
          <w:color w:val="000000"/>
          <w:sz w:val="21"/>
          <w:szCs w:val="21"/>
        </w:rPr>
        <w:t>ենթակետով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չնախատեսված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երեսուն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b/>
          <w:bCs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- 500-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- 1000-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3000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- 3000-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- 20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2)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գոյություն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վերակառուցման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վերականգնման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ուժեղացման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արդիականացման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բարեկարգման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աշխատանքների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բացառությամբ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օրենսդրությամբ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չպահանջվող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եթե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կարգով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հաստատված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ճարտարապետաշինարարական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նախագծով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չի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նախատեսվում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կցակառույցների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վերնակառույցների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շենքի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գաբարիտային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չափերն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ընդլայնող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այդ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ստորգետնյա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հետևանքով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ավելացում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գործառական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փոփոխություն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բացի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վերակառուցման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ուժեղացման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վերականգնման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արդիականացման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աշխատանքներից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նախատեսվում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է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կցակառույցների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վերնակառույցների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շենքի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տրամաչափային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չափերն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ընդլայնող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այդ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ստորգետնյա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հետևանքով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ավելացում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գործառական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փոփոխություն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բացի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սույն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«</w:t>
      </w: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» </w:t>
      </w:r>
      <w:r w:rsidRPr="006067F9">
        <w:rPr>
          <w:rFonts w:ascii="GHEA Grapalat" w:hAnsi="GHEA Grapalat"/>
          <w:color w:val="000000"/>
          <w:sz w:val="21"/>
          <w:szCs w:val="21"/>
        </w:rPr>
        <w:t>ենթակետով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դրույքաչափից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կիրառվում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սույն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հոդվածի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1-</w:t>
      </w:r>
      <w:r w:rsidRPr="006067F9">
        <w:rPr>
          <w:rFonts w:ascii="GHEA Grapalat" w:hAnsi="GHEA Grapalat"/>
          <w:color w:val="000000"/>
          <w:sz w:val="21"/>
          <w:szCs w:val="21"/>
        </w:rPr>
        <w:t>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1-</w:t>
      </w:r>
      <w:r w:rsidRPr="006067F9">
        <w:rPr>
          <w:rFonts w:ascii="GHEA Grapalat" w:hAnsi="GHEA Grapalat"/>
          <w:color w:val="000000"/>
          <w:sz w:val="21"/>
          <w:szCs w:val="21"/>
        </w:rPr>
        <w:t>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lastRenderedPageBreak/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նորմերը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դրույքաչափերը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գործառական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փոփոխության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մասով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նախատեսվում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է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միայն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կցակառույցների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վերնակառույցների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շենքի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գաբարիտային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չափերն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ընդլայնող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կառույցների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այդ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ստորգետնյա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գործառական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փոփոխություն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ապա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սույն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իմաստով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է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որի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նկատմամբ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կիրառվում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շինարարության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սույն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հոդվածի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1-</w:t>
      </w:r>
      <w:r w:rsidRPr="006067F9">
        <w:rPr>
          <w:rFonts w:ascii="GHEA Grapalat" w:hAnsi="GHEA Grapalat"/>
          <w:color w:val="000000"/>
          <w:sz w:val="21"/>
          <w:szCs w:val="21"/>
        </w:rPr>
        <w:t>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1-</w:t>
      </w:r>
      <w:r w:rsidRPr="006067F9">
        <w:rPr>
          <w:rFonts w:ascii="GHEA Grapalat" w:hAnsi="GHEA Grapalat"/>
          <w:color w:val="000000"/>
          <w:sz w:val="21"/>
          <w:szCs w:val="21"/>
        </w:rPr>
        <w:t>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նորմերը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դրույքաչափերը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3)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շենքերի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քաղաքաշինական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քանդման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բացառությամբ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օրենսդրությամբ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քանդման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չպահանջվող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4)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վառելիքի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4.1)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սեղմված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4.2)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հեղուկացված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նավթային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ածխաջրածնային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5)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կառավարության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ցանկում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ընդգրկված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սահմանամերձ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բարձրլեռնային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վառելիքի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5.1)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կառավարության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ցանկում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ընդգրկված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սահմանամերձ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բարձրլեռնային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5.2)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կառավարության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ցանկում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ընդգրկված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սահմանամերձ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բարձրլեռնային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իրավական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ակտերով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պահանջները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բավարարող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լցավորման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կայանում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հեղուկացված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նավթային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ածխաջրածնային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6)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գտնվող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խանութներում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կրպակներում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հեղուկ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վառելիքի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սեղմված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հեղուկացված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նավթային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ածխաջրածնային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մանրածախ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ավտոլվացման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ավտոմեքենաների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տեխնիկական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սպասարկման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նորոգման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ծառայության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տնտեսավարողի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գործունեության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վայրում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տեխնիկական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վաթսուն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7)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կառավարության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ցանկում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ընդգրկված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սահմանամերձ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բարձրլեռնային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գտնվող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խանութներում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կրպակներում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հեղուկ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վառելիքի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սեղմված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հեղուկացված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նավթային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ածխաջրածնային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գազերի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մանրածախ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ավտոլվացման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կետերում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ավտոմեքենաների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տեխնիկական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սպասարկման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նորոգման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ծառայության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տնտեսավարողի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գործունեության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վայրում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տեխնիկական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հեղուկների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8)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թանկարժեք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մետաղներից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պատրաստված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որոշակի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վայրում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մանրածախ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իրականացնելու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lastRenderedPageBreak/>
        <w:t xml:space="preserve">9)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ոգելից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ալկոհոլային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խմիչքների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սահմանափակումներին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համապատասխան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փոխարինիչների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նմանակների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ոգելից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ալկոհոլային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խմիչքի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եռամսյակի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26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- 26-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տասը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- 50-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տասներեք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br/>
        <w:t>- 100-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br/>
        <w:t xml:space="preserve">- 500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վաթսունհինգ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սահմանափակումներին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համապատասխան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փոխարինիչների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ծխախոտային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արտադրատեսակների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նմանակների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եռամսյակի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26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- 26-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տասը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- 50-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տասներեք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- 100-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br/>
        <w:t xml:space="preserve">- 500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վաճառքի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դեպքում՝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վաթսունհինգ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10) </w:t>
      </w:r>
      <w:r w:rsidRPr="006067F9">
        <w:rPr>
          <w:rFonts w:ascii="GHEA Grapalat" w:hAnsi="GHEA Grapalat"/>
          <w:color w:val="000000"/>
          <w:sz w:val="21"/>
          <w:szCs w:val="21"/>
        </w:rPr>
        <w:t>իրավաբանական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անձանց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անհատ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ձեռնարկատերերին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«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ծառայությունների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մասին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»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բացօթյա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11)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զվարճանքի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շահումով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խաղերի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վիճակախաղերի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խաղատներին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բաղնիքներին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սաունաներին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ժամը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24.00-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հետո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աշխատելու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առևտրի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քսանհինգ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զվարճանքի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բաղնիքների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սաունաների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խաղատն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երի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ե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շահումով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խաղերի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զ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վիճակախաղերի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lastRenderedPageBreak/>
        <w:t xml:space="preserve">12)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իրականացման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ավագանու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որոշմամբ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կանոններին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համապատասխան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)</w:t>
      </w:r>
      <w:r w:rsidRPr="006067F9">
        <w:rPr>
          <w:rFonts w:ascii="GHEA Grapalat" w:hAnsi="GHEA Grapalat"/>
          <w:color w:val="000000"/>
          <w:sz w:val="21"/>
          <w:szCs w:val="21"/>
        </w:rPr>
        <w:t>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տնտեսավարողի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գործունեության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առանձնացված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վայրում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իրականացման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տուրքը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եռամսյակի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է՝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ներսում՝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26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հազար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- 26-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տասը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- 50-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տասնհինգ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- 100-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քսան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b/>
          <w:bCs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- 200-</w:t>
      </w:r>
      <w:r w:rsidRPr="006067F9">
        <w:rPr>
          <w:rFonts w:ascii="GHEA Grapalat" w:hAnsi="GHEA Grapalat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500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երեսուն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b/>
          <w:bCs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- 500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ոչ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հիմնական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շինությունների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ներսում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`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26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- 26-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- 50-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չորս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- 100-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</w:t>
      </w:r>
      <w:r w:rsidRPr="006067F9">
        <w:rPr>
          <w:rFonts w:ascii="GHEA Grapalat" w:hAnsi="GHEA Grapalat"/>
          <w:color w:val="000000"/>
          <w:sz w:val="21"/>
          <w:szCs w:val="21"/>
        </w:rPr>
        <w:t>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՝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ութ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- 200-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500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տասնհինգ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Calibri" w:hAnsi="Calibri" w:cs="Calibri"/>
          <w:color w:val="000000"/>
          <w:sz w:val="21"/>
          <w:szCs w:val="21"/>
          <w:lang w:val="nl-NL"/>
        </w:rPr>
        <w:t> 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- 500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մետր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 w:cs="Arial Unicode"/>
          <w:color w:val="000000"/>
          <w:sz w:val="21"/>
          <w:szCs w:val="21"/>
        </w:rPr>
        <w:t>ընդհանո</w:t>
      </w:r>
      <w:r w:rsidRPr="006067F9">
        <w:rPr>
          <w:rFonts w:ascii="GHEA Grapalat" w:hAnsi="GHEA Grapalat"/>
          <w:color w:val="000000"/>
          <w:sz w:val="21"/>
          <w:szCs w:val="21"/>
        </w:rPr>
        <w:t>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մակերես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ունեցող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սննդի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օբյեկտի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քսանհինգ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13) </w:t>
      </w:r>
      <w:r w:rsidRPr="006067F9">
        <w:rPr>
          <w:rFonts w:ascii="GHEA Grapalat" w:hAnsi="GHEA Grapalat"/>
          <w:color w:val="000000"/>
          <w:sz w:val="21"/>
          <w:szCs w:val="21"/>
        </w:rPr>
        <w:t>քաղաքային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ավագանու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որոշմամբ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տնային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կենդանիներ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պահելու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14) </w:t>
      </w:r>
      <w:r w:rsidRPr="006067F9">
        <w:rPr>
          <w:rFonts w:ascii="GHEA Grapalat" w:hAnsi="GHEA Grapalat"/>
          <w:color w:val="000000"/>
          <w:sz w:val="21"/>
          <w:szCs w:val="21"/>
        </w:rPr>
        <w:t>ավագանու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կարգին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պայմաններին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համապատասխան՝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տեղադրելու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բացառությամբ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սահմաններից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դուրս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գտնվող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պետական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նշանակության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ավտոմոբիլային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ճանապարհների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օտարման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շերտերում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պաշտպանական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գոտիներում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տեղադրվող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յուրաքանչյուր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ամիս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քառակուսի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մետրի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ալկոհոլային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սպիրտի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պարունակությունը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մինչև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 </w:t>
      </w:r>
      <w:r w:rsidRPr="006067F9">
        <w:rPr>
          <w:rFonts w:ascii="GHEA Grapalat" w:hAnsi="GHEA Grapalat"/>
          <w:color w:val="000000"/>
          <w:sz w:val="21"/>
          <w:szCs w:val="21"/>
        </w:rPr>
        <w:t>ծավալային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տոկոս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արտադրանք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երկու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թունդ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ալկոհոլային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սպիրտի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պարունակությունը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20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ավելի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ծավալային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տոկոս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արտադրանք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երեք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սոցիալական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զրո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`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հինգ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ե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դատարկ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վահանակների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տեղադրելու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տուրքի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25 %-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ի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չափով՝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երեք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յոթանասունհինգ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զ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. </w:t>
      </w:r>
      <w:r w:rsidRPr="006067F9">
        <w:rPr>
          <w:rFonts w:ascii="GHEA Grapalat" w:hAnsi="GHEA Grapalat"/>
          <w:color w:val="000000"/>
          <w:sz w:val="21"/>
          <w:szCs w:val="21"/>
        </w:rPr>
        <w:t>եթե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տարածող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գովազդակիրը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տեղաբաշխել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տարածել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է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իր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կազմակերպության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գովազդը՝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վարչական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տարածքում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այլ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արտաքին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գովազդ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տեղադրելու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սահմանված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տուրքի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10 %-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ի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չափով՝մեկ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հիսուն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="00CA612E"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="00CA612E" w:rsidRPr="003B09F1">
        <w:rPr>
          <w:rFonts w:ascii="GHEA Grapalat" w:hAnsi="GHEA Grapalat"/>
          <w:color w:val="000000"/>
          <w:sz w:val="21"/>
          <w:szCs w:val="21"/>
          <w:lang w:val="nl-NL"/>
        </w:rPr>
        <w:t>,</w:t>
      </w:r>
    </w:p>
    <w:p w:rsidR="002F3E87" w:rsidRPr="003B09F1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nl-NL"/>
        </w:rPr>
      </w:pP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lastRenderedPageBreak/>
        <w:t xml:space="preserve">15) </w:t>
      </w:r>
      <w:r w:rsidRPr="006067F9">
        <w:rPr>
          <w:rFonts w:ascii="GHEA Grapalat" w:hAnsi="GHEA Grapalat"/>
          <w:color w:val="000000"/>
          <w:sz w:val="21"/>
          <w:szCs w:val="21"/>
        </w:rPr>
        <w:t>Հայաստանի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Հանրապետության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համայնքների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կազմում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ընդգրկված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բնակավայրերի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խորհրդանիշները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(</w:t>
      </w:r>
      <w:r w:rsidRPr="006067F9">
        <w:rPr>
          <w:rFonts w:ascii="GHEA Grapalat" w:hAnsi="GHEA Grapalat"/>
          <w:color w:val="000000"/>
          <w:sz w:val="21"/>
          <w:szCs w:val="21"/>
        </w:rPr>
        <w:t>զինանշանը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անվանումը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) </w:t>
      </w:r>
      <w:r w:rsidRPr="006067F9">
        <w:rPr>
          <w:rFonts w:ascii="GHEA Grapalat" w:hAnsi="GHEA Grapalat"/>
          <w:color w:val="000000"/>
          <w:sz w:val="21"/>
          <w:szCs w:val="21"/>
        </w:rPr>
        <w:t>որպես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օրենքով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գրանցված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ապրանքային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նշան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ապրանքների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արտադրության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աշխատանքների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կատարման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կամ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ծառայությունների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մատուցման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գործընթացներում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, </w:t>
      </w:r>
      <w:r w:rsidRPr="006067F9">
        <w:rPr>
          <w:rFonts w:ascii="GHEA Grapalat" w:hAnsi="GHEA Grapalat"/>
          <w:color w:val="000000"/>
          <w:sz w:val="21"/>
          <w:szCs w:val="21"/>
        </w:rPr>
        <w:t>ինչպես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նաև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ֆիրմային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անվանումներում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օգտագործելու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թույլտվություն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տրամադրելու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օրացուցային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տարվա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համար՝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հարյուր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հազար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Pr="003B09F1">
        <w:rPr>
          <w:rFonts w:ascii="GHEA Grapalat" w:hAnsi="GHEA Grapalat"/>
          <w:color w:val="000000"/>
          <w:sz w:val="21"/>
          <w:szCs w:val="21"/>
          <w:lang w:val="nl-NL"/>
        </w:rPr>
        <w:t>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16) համայնքի վարչական տարածքում մարդատար-տաքսու (բացառությամբ երթուղային տաքսիների՝ միկրոավտոբուսների) ծառայություն իրականացնելու թույլտվության համար՝ օրացուցային տարում յուրաքանչյուր մեքենայի համար` տասը հազար դրամ.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17) համայնքի վարչական տարածքում քաղաքացիական հոգեհանգստի (հրաժեշտի) ծիսակատարության ծառայությունների իրականացման և (կամ) մատուցման թույլտվության համար՝ օրացուցային տարվա համար` հինգ հարյուր հազար դրամ.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18) համայնքի վարչական տարածքում մասնավոր գերեզմանատան կազմակերպման և շահագործման թույլտվության համար՝ օրացուցային տարվա համար՝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ա. 3 հա-ից մինչև 5 հա մակերես ունեցող գերեզմանատների համար՝ երկու միլիոն հինգ հարյուր հազար դրամ,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բ. 5 հա-ից մինչև 7 հա մակերես ունեցող գերեզմանատների համար՝ հինգ միլիոն դրամ,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գ. 7 հա-ից մինչև 10 հա մակերես ունեցող գերեզմանատների համար՝ յոթ միլիոն դրամ,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դ. 10 հա-ից ավել մակերես ունեցող գերեզմանատների համար՝ տասը միլիոն դրամ.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19) համայնքի վարչական տարածքում տեխնիկական և հատուկ նշանակության հրավառություն իրականացնելու թույլտվության համար՝ օրացուցային տարվա համար հիսուն հազար դրամ.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>20) համայնքի տարածքում սահմանափակման ենթակա ծառայության օբյեկտի գործունեության թույլտվության համար՝</w:t>
      </w:r>
    </w:p>
    <w:p w:rsidR="002F3E87" w:rsidRPr="006067F9" w:rsidRDefault="002F3E87" w:rsidP="002F3E87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</w:rPr>
      </w:pPr>
      <w:r w:rsidRPr="006067F9">
        <w:rPr>
          <w:rFonts w:ascii="GHEA Grapalat" w:hAnsi="GHEA Grapalat"/>
          <w:color w:val="000000"/>
          <w:sz w:val="21"/>
          <w:szCs w:val="21"/>
        </w:rPr>
        <w:t xml:space="preserve">ա. «Առևտրի և ծառայությունների մասին» օրենքի 15.2-րդ հոդվածով սահմանված սահմանափակման ենթակա ծառայության օբյեկտների (բացառությամբ հեստապարային ակումբների) համար՝ օրացուցային տարվա համար` համայնքի վարչական տարածքում </w:t>
      </w:r>
      <w:r w:rsidR="003B09F1">
        <w:rPr>
          <w:rFonts w:ascii="GHEA Grapalat" w:hAnsi="GHEA Grapalat"/>
          <w:color w:val="000000"/>
          <w:sz w:val="21"/>
          <w:szCs w:val="21"/>
        </w:rPr>
        <w:t>քսան հազար</w:t>
      </w:r>
      <w:r w:rsidRPr="006067F9">
        <w:rPr>
          <w:rFonts w:ascii="GHEA Grapalat" w:hAnsi="GHEA Grapalat"/>
          <w:color w:val="000000"/>
          <w:sz w:val="21"/>
          <w:szCs w:val="21"/>
        </w:rPr>
        <w:t>դրամ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br/>
      </w:r>
      <w:r w:rsidRPr="006067F9">
        <w:rPr>
          <w:rFonts w:ascii="GHEA Grapalat" w:hAnsi="GHEA Grapalat"/>
          <w:color w:val="000000"/>
          <w:sz w:val="21"/>
          <w:szCs w:val="21"/>
        </w:rPr>
        <w:t>բ. հեստապարային ակումբի համար՝ օրացուցային տարվա համ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t>ար` համայնքի վարչական տարածքում</w:t>
      </w:r>
      <w:r w:rsidR="003B09F1">
        <w:rPr>
          <w:rFonts w:ascii="Calibri" w:hAnsi="Calibri" w:cs="Calibri"/>
          <w:color w:val="000000"/>
          <w:sz w:val="21"/>
          <w:szCs w:val="21"/>
        </w:rPr>
        <w:t> </w:t>
      </w:r>
      <w:bookmarkStart w:id="0" w:name="_GoBack"/>
      <w:bookmarkEnd w:id="0"/>
      <w:r w:rsidR="00CA57E6" w:rsidRPr="006067F9">
        <w:rPr>
          <w:rFonts w:ascii="GHEA Grapalat" w:hAnsi="GHEA Grapalat" w:cs="GHEA Grapalat"/>
          <w:color w:val="000000"/>
          <w:sz w:val="21"/>
          <w:szCs w:val="21"/>
        </w:rPr>
        <w:t>երեք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t xml:space="preserve"> </w:t>
      </w:r>
      <w:r w:rsidR="00CA57E6" w:rsidRPr="006067F9">
        <w:rPr>
          <w:rFonts w:ascii="GHEA Grapalat" w:hAnsi="GHEA Grapalat" w:cs="GHEA Grapalat"/>
          <w:color w:val="000000"/>
          <w:sz w:val="21"/>
          <w:szCs w:val="21"/>
        </w:rPr>
        <w:t>հարյուր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t xml:space="preserve"> </w:t>
      </w:r>
      <w:r w:rsidR="00CA57E6" w:rsidRPr="006067F9">
        <w:rPr>
          <w:rFonts w:ascii="GHEA Grapalat" w:hAnsi="GHEA Grapalat" w:cs="GHEA Grapalat"/>
          <w:color w:val="000000"/>
          <w:sz w:val="21"/>
          <w:szCs w:val="21"/>
        </w:rPr>
        <w:t>հազար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6067F9">
        <w:rPr>
          <w:rFonts w:ascii="GHEA Grapalat" w:hAnsi="GHEA Grapalat"/>
          <w:color w:val="000000"/>
          <w:sz w:val="21"/>
          <w:szCs w:val="21"/>
        </w:rPr>
        <w:t xml:space="preserve"> դրամ, 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br/>
      </w:r>
      <w:r w:rsidRPr="006067F9">
        <w:rPr>
          <w:rFonts w:ascii="GHEA Grapalat" w:hAnsi="GHEA Grapalat"/>
          <w:color w:val="000000"/>
          <w:sz w:val="21"/>
          <w:szCs w:val="21"/>
        </w:rPr>
        <w:t>21)   համայնքի տարածքում հանրային սննդի ծառայություն մատուցող անձանց՝ տվյալ օբյեկտին հարակից ընդհանուր օգտագործման տարածքներում ամառային (մայիսի 1-ից հոկտեմբերի 31-ը ներառյալ) և ձմեռային (նոյեմբերի 1-ից ապրիլի 30-ը ներառյալ) սեզոններին հանրային սննդի ծառայության կազմա</w:t>
      </w:r>
      <w:r w:rsidR="00CA57E6" w:rsidRPr="006067F9">
        <w:rPr>
          <w:rFonts w:ascii="GHEA Grapalat" w:hAnsi="GHEA Grapalat"/>
          <w:color w:val="000000"/>
          <w:sz w:val="21"/>
          <w:szCs w:val="21"/>
        </w:rPr>
        <w:t xml:space="preserve">կերպման թույլտվության համար՝ </w:t>
      </w:r>
      <w:r w:rsidRPr="006067F9">
        <w:rPr>
          <w:rFonts w:ascii="GHEA Grapalat" w:hAnsi="GHEA Grapalat"/>
          <w:color w:val="000000"/>
          <w:sz w:val="21"/>
          <w:szCs w:val="21"/>
        </w:rPr>
        <w:t>տասը հազար դրամ՝ մեկ քառակուսի մետրի համար:</w:t>
      </w:r>
    </w:p>
    <w:p w:rsidR="000661B4" w:rsidRPr="006067F9" w:rsidRDefault="000661B4" w:rsidP="002F3E87">
      <w:pPr>
        <w:jc w:val="both"/>
        <w:rPr>
          <w:rFonts w:ascii="GHEA Grapalat" w:hAnsi="GHEA Grapalat"/>
        </w:rPr>
      </w:pPr>
    </w:p>
    <w:sectPr w:rsidR="000661B4" w:rsidRPr="0060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A2"/>
    <w:rsid w:val="000661B4"/>
    <w:rsid w:val="002F3E87"/>
    <w:rsid w:val="003B09F1"/>
    <w:rsid w:val="003C6AEA"/>
    <w:rsid w:val="006067F9"/>
    <w:rsid w:val="008246A2"/>
    <w:rsid w:val="00A66F54"/>
    <w:rsid w:val="00BB4EEF"/>
    <w:rsid w:val="00CA57E6"/>
    <w:rsid w:val="00CA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455AA3B-BD5B-446A-A02E-091EBAD0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3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rlis.am/documentview.aspx?docid=1636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2022-11-10T15:08:00Z</dcterms:created>
  <dcterms:modified xsi:type="dcterms:W3CDTF">2022-11-22T11:35:00Z</dcterms:modified>
</cp:coreProperties>
</file>